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设备维修管理办法</w:t>
      </w:r>
    </w:p>
    <w:p>
      <w:r>
        <w:t>第一条 设备发生故障后，操作人员应在 30 分钟内报告设备动力科，并填写报修单。</w:t>
      </w:r>
    </w:p>
    <w:p>
      <w:r>
        <w:t>第二条 紧急故障指影响生产线运行、存在安全隐患的故障，应优先安排处理。</w:t>
      </w:r>
    </w:p>
    <w:p>
      <w:r>
        <w:t>第三条 一般故障由当班维修工按序处理，原则上 3 个工作日内完成。</w:t>
      </w:r>
    </w:p>
    <w:p>
      <w:r>
        <w:t>第四条 维修完成后，维修工应在报修单上填写处理结果并签字确认。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