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研发项目立项管理办法</w:t>
      </w:r>
    </w:p>
    <w:p>
      <w:r>
        <w:t>文件编号：ZD-XM-2025-007</w:t>
      </w:r>
    </w:p>
    <w:p>
      <w:r>
        <w:t>生效日期：2025年7月1日</w:t>
      </w:r>
    </w:p>
    <w:p>
      <w:r>
        <w:t>适用范围：公司及各子公司所有研发类项目</w:t>
      </w:r>
    </w:p>
    <w:p>
      <w:pPr>
        <w:pStyle w:val="Heading1"/>
      </w:pPr>
      <w:r>
        <w:t>第一章 总则</w:t>
      </w:r>
    </w:p>
    <w:p>
      <w:r>
        <w:t>第一条 为规范研发项目立项管理，提高资源配置效率，依据公司《项目管理总则》，制定本办法。</w:t>
      </w:r>
    </w:p>
    <w:p>
      <w:r>
        <w:t>第二条 本办法所称研发项目，指以新产品、新技术、新工艺开发为目的，预算金额在 50 万元以上的项目。</w:t>
      </w:r>
    </w:p>
    <w:p>
      <w:r>
        <w:t>第三条 立项管理遵循「分级审批、预算约束、过程留痕」的原则。</w:t>
      </w:r>
    </w:p>
    <w:p>
      <w:pPr>
        <w:pStyle w:val="Heading1"/>
      </w:pPr>
      <w:r>
        <w:t>第二章 立项条件</w:t>
      </w:r>
    </w:p>
    <w:p>
      <w:r>
        <w:t>第四条 申请立项的项目应同时满足下列条件：</w:t>
      </w:r>
    </w:p>
    <w:p>
      <w:r>
        <w:t>（一）有明确的技术目标与可量化的考核指标；</w:t>
      </w:r>
    </w:p>
    <w:p>
      <w:r>
        <w:t>（二）预算金额已纳入年度预算或经专项审批；</w:t>
      </w:r>
    </w:p>
    <w:p>
      <w:r>
        <w:t>（三）项目负责人具有中级及以上技术职称，或具有 3 年以上相关项目经验；</w:t>
      </w:r>
    </w:p>
    <w:p>
      <w:r>
        <w:t>（四）项目周期不超过 24 个月。</w:t>
      </w:r>
    </w:p>
    <w:p>
      <w:r>
        <w:t>第五条 有下列情形之一的，不予立项：</w:t>
      </w:r>
    </w:p>
    <w:p>
      <w:r>
        <w:t>（一）目标与在研项目高度重复的；</w:t>
      </w:r>
    </w:p>
    <w:p>
      <w:r>
        <w:t>（二）预算来源不明确的；</w:t>
      </w:r>
    </w:p>
    <w:p>
      <w:r>
        <w:t>（三）项目负责人同一年度已负责 3 个及以上在研项目的。</w:t>
      </w:r>
    </w:p>
    <w:p>
      <w:pPr>
        <w:pStyle w:val="Heading1"/>
      </w:pPr>
      <w:r>
        <w:t>第三章 审批流程</w:t>
      </w:r>
    </w:p>
    <w:p>
      <w:r>
        <w:t>第六条 立项审批分为三级：</w:t>
      </w:r>
    </w:p>
    <w:p>
      <w:r>
        <w:t>一级：50 万元（含）至 200 万元，由事业部总经理审批；</w:t>
      </w:r>
    </w:p>
    <w:p>
      <w:r>
        <w:t>二级：200 万元（含）至 500 万元，由分管副总裁审批；</w:t>
      </w:r>
    </w:p>
    <w:p>
      <w:r>
        <w:t>三级：500 万元（含）以上，由总裁办公会审议。</w:t>
      </w:r>
    </w:p>
    <w:p>
      <w:r>
        <w:t>第七条 审批应当在受理之日起 15 个工作日内完成，需要补充材料的，补充时间不计入审批时限。</w:t>
      </w:r>
    </w:p>
    <w:p>
      <w:pPr>
        <w:pStyle w:val="Heading1"/>
      </w:pPr>
      <w:r>
        <w:t>第四章 附则</w:t>
      </w:r>
    </w:p>
    <w:p>
      <w:r>
        <w:t>第八条 本办法由信息化管理部负责解释。</w:t>
      </w:r>
    </w:p>
    <w:p>
      <w:r>
        <w:t>第九条 本办法自公布之日起施行。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