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BD2F" w14:textId="77777777" w:rsidR="00F64A58" w:rsidRPr="009C7AF2" w:rsidRDefault="00F64A58" w:rsidP="00F64A58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D51E6">
        <w:rPr>
          <w:rFonts w:ascii="Times New Roman" w:hAnsi="Times New Roman" w:cs="Times New Roman"/>
          <w:b/>
          <w:bCs/>
          <w:lang w:val="en-US"/>
        </w:rPr>
        <w:t xml:space="preserve">Table 1. </w:t>
      </w:r>
      <w:r w:rsidRPr="009C7AF2">
        <w:rPr>
          <w:rFonts w:ascii="Times New Roman" w:hAnsi="Times New Roman" w:cs="Times New Roman"/>
          <w:lang w:val="en-US"/>
        </w:rPr>
        <w:t>Eligibility Criteria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3118"/>
        <w:gridCol w:w="3209"/>
      </w:tblGrid>
      <w:tr w:rsidR="00F64A58" w:rsidRPr="000D51E6" w14:paraId="087F2BDD" w14:textId="77777777" w:rsidTr="004A4613"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</w:tcPr>
          <w:p w14:paraId="107C8021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134C337B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Inclusion Criteria</w:t>
            </w:r>
          </w:p>
        </w:tc>
        <w:tc>
          <w:tcPr>
            <w:tcW w:w="3209" w:type="dxa"/>
            <w:tcBorders>
              <w:top w:val="single" w:sz="4" w:space="0" w:color="auto"/>
              <w:bottom w:val="single" w:sz="4" w:space="0" w:color="auto"/>
            </w:tcBorders>
          </w:tcPr>
          <w:p w14:paraId="6D5F9FB7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Exclusion Criteria</w:t>
            </w:r>
          </w:p>
        </w:tc>
      </w:tr>
      <w:tr w:rsidR="00F64A58" w:rsidRPr="000D51E6" w14:paraId="1FAEBDD4" w14:textId="77777777" w:rsidTr="004A4613">
        <w:tc>
          <w:tcPr>
            <w:tcW w:w="2689" w:type="dxa"/>
            <w:tcBorders>
              <w:top w:val="single" w:sz="4" w:space="0" w:color="auto"/>
            </w:tcBorders>
          </w:tcPr>
          <w:p w14:paraId="11C284D8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Study Type</w:t>
            </w: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6E6F17DA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Original experimental research articles investigating the anticancer activity of MNQ.</w:t>
            </w:r>
          </w:p>
        </w:tc>
        <w:tc>
          <w:tcPr>
            <w:tcW w:w="3209" w:type="dxa"/>
            <w:tcBorders>
              <w:top w:val="single" w:sz="4" w:space="0" w:color="auto"/>
            </w:tcBorders>
          </w:tcPr>
          <w:p w14:paraId="36F2E7AE" w14:textId="77777777" w:rsidR="00F64A58" w:rsidRPr="00467502" w:rsidRDefault="00F64A58" w:rsidP="004A4613">
            <w:pPr>
              <w:jc w:val="both"/>
              <w:rPr>
                <w:rFonts w:ascii="Times New Roman" w:hAnsi="Times New Roman" w:cs="Times New Roman"/>
              </w:rPr>
            </w:pPr>
            <w:r w:rsidRPr="000D51E6">
              <w:rPr>
                <w:rFonts w:ascii="Times New Roman" w:hAnsi="Times New Roman" w:cs="Times New Roman"/>
              </w:rPr>
              <w:t xml:space="preserve">Reviews, conference abstracts, theses, editorials, commentaries, or </w:t>
            </w:r>
            <w:proofErr w:type="gramStart"/>
            <w:r w:rsidRPr="000D51E6">
              <w:rPr>
                <w:rFonts w:ascii="Times New Roman" w:hAnsi="Times New Roman" w:cs="Times New Roman"/>
              </w:rPr>
              <w:t>other</w:t>
            </w:r>
            <w:proofErr w:type="gramEnd"/>
            <w:r w:rsidRPr="000D51E6">
              <w:rPr>
                <w:rFonts w:ascii="Times New Roman" w:hAnsi="Times New Roman" w:cs="Times New Roman"/>
              </w:rPr>
              <w:t xml:space="preserve"> non-original research.</w:t>
            </w:r>
          </w:p>
        </w:tc>
      </w:tr>
      <w:tr w:rsidR="00F64A58" w:rsidRPr="000D51E6" w14:paraId="07397951" w14:textId="77777777" w:rsidTr="004A4613">
        <w:tc>
          <w:tcPr>
            <w:tcW w:w="2689" w:type="dxa"/>
          </w:tcPr>
          <w:p w14:paraId="0DB529A9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Model System</w:t>
            </w:r>
          </w:p>
        </w:tc>
        <w:tc>
          <w:tcPr>
            <w:tcW w:w="3118" w:type="dxa"/>
          </w:tcPr>
          <w:p w14:paraId="7A0C0258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Human or animal cancer cell lines or in vivo tumour models.</w:t>
            </w:r>
          </w:p>
        </w:tc>
        <w:tc>
          <w:tcPr>
            <w:tcW w:w="3209" w:type="dxa"/>
          </w:tcPr>
          <w:p w14:paraId="39C2F4E3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Non-cancer cell lines, normal tissue models, or non-tumour biological systems.</w:t>
            </w:r>
          </w:p>
        </w:tc>
      </w:tr>
      <w:tr w:rsidR="00F64A58" w:rsidRPr="000D51E6" w14:paraId="4F101E19" w14:textId="77777777" w:rsidTr="004A4613">
        <w:tc>
          <w:tcPr>
            <w:tcW w:w="2689" w:type="dxa"/>
          </w:tcPr>
          <w:p w14:paraId="42EFCB87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Intervention</w:t>
            </w:r>
          </w:p>
        </w:tc>
        <w:tc>
          <w:tcPr>
            <w:tcW w:w="3118" w:type="dxa"/>
          </w:tcPr>
          <w:p w14:paraId="045FCF3E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MNQ used as a purified compound obtained through natural extraction, chemical synthesis, or semi-synthetic preparation.</w:t>
            </w:r>
          </w:p>
        </w:tc>
        <w:tc>
          <w:tcPr>
            <w:tcW w:w="3209" w:type="dxa"/>
          </w:tcPr>
          <w:p w14:paraId="6A9E1ECA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 xml:space="preserve">Crude extracts, partially purified fractions, structural </w:t>
            </w:r>
            <w:proofErr w:type="spellStart"/>
            <w:r w:rsidRPr="000D51E6">
              <w:rPr>
                <w:rFonts w:ascii="Times New Roman" w:hAnsi="Times New Roman" w:cs="Times New Roman"/>
              </w:rPr>
              <w:t>analogs</w:t>
            </w:r>
            <w:proofErr w:type="spellEnd"/>
            <w:r w:rsidRPr="000D51E6">
              <w:rPr>
                <w:rFonts w:ascii="Times New Roman" w:hAnsi="Times New Roman" w:cs="Times New Roman"/>
              </w:rPr>
              <w:t>, or multi-component formulations containing MNQ.</w:t>
            </w:r>
          </w:p>
        </w:tc>
      </w:tr>
      <w:tr w:rsidR="00F64A58" w:rsidRPr="000D51E6" w14:paraId="52B9CFBD" w14:textId="77777777" w:rsidTr="004A4613">
        <w:tc>
          <w:tcPr>
            <w:tcW w:w="2689" w:type="dxa"/>
            <w:tcBorders>
              <w:bottom w:val="single" w:sz="4" w:space="0" w:color="auto"/>
            </w:tcBorders>
          </w:tcPr>
          <w:p w14:paraId="385F8272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Outcome Measures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431C0F54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Evaluation of at least one measurable anticancer endpoint, including but not limited to cell viability, cytotoxicity, apoptosis, cell-cycle regulation, inhibition of invasion or migration, tumour growth suppression, or modulation of molecular signalling pathways.</w:t>
            </w:r>
          </w:p>
        </w:tc>
        <w:tc>
          <w:tcPr>
            <w:tcW w:w="3209" w:type="dxa"/>
            <w:tcBorders>
              <w:bottom w:val="single" w:sz="4" w:space="0" w:color="auto"/>
            </w:tcBorders>
          </w:tcPr>
          <w:p w14:paraId="2684E109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Studies assessing non-cancer biological activities such as antimicrobial, antifungal, antioxidant, or anti-inflammatory effects without evaluating cancer-related outcomes.</w:t>
            </w:r>
          </w:p>
        </w:tc>
      </w:tr>
      <w:tr w:rsidR="00F64A58" w:rsidRPr="000D51E6" w14:paraId="7BD12A26" w14:textId="77777777" w:rsidTr="004A4613">
        <w:tc>
          <w:tcPr>
            <w:tcW w:w="2689" w:type="dxa"/>
            <w:tcBorders>
              <w:top w:val="single" w:sz="4" w:space="0" w:color="auto"/>
              <w:bottom w:val="single" w:sz="4" w:space="0" w:color="auto"/>
            </w:tcBorders>
          </w:tcPr>
          <w:p w14:paraId="3D636BB7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Language / Accessibility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2A280E18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Full-text peer-reviewed articles in English.</w:t>
            </w:r>
          </w:p>
        </w:tc>
        <w:tc>
          <w:tcPr>
            <w:tcW w:w="3209" w:type="dxa"/>
            <w:tcBorders>
              <w:top w:val="single" w:sz="4" w:space="0" w:color="auto"/>
              <w:bottom w:val="single" w:sz="4" w:space="0" w:color="auto"/>
            </w:tcBorders>
          </w:tcPr>
          <w:p w14:paraId="5DB1748D" w14:textId="77777777" w:rsidR="00F64A58" w:rsidRPr="000D51E6" w:rsidRDefault="00F64A58" w:rsidP="004A461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0D51E6">
              <w:rPr>
                <w:rFonts w:ascii="Times New Roman" w:hAnsi="Times New Roman" w:cs="Times New Roman"/>
              </w:rPr>
              <w:t>Non-English, incomplete, or inaccessible full-text articles.</w:t>
            </w:r>
          </w:p>
        </w:tc>
      </w:tr>
    </w:tbl>
    <w:p w14:paraId="224AE759" w14:textId="77777777" w:rsidR="00F64A58" w:rsidRPr="000D51E6" w:rsidRDefault="00F64A58" w:rsidP="00F64A58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747A494D" w14:textId="77777777" w:rsidR="00F64A58" w:rsidRPr="00F64A58" w:rsidRDefault="00F64A58">
      <w:pPr>
        <w:rPr>
          <w:lang w:val="en-US"/>
        </w:rPr>
      </w:pPr>
    </w:p>
    <w:sectPr w:rsidR="00F64A58" w:rsidRPr="00F64A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58"/>
    <w:rsid w:val="00E732AB"/>
    <w:rsid w:val="00F6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41FC9"/>
  <w15:chartTrackingRefBased/>
  <w15:docId w15:val="{754921B0-E1DE-40D7-9FD3-4E0028B0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A58"/>
  </w:style>
  <w:style w:type="paragraph" w:styleId="Heading1">
    <w:name w:val="heading 1"/>
    <w:basedOn w:val="Normal"/>
    <w:next w:val="Normal"/>
    <w:link w:val="Heading1Char"/>
    <w:uiPriority w:val="9"/>
    <w:qFormat/>
    <w:rsid w:val="00F64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A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4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Shan Tan</dc:creator>
  <cp:keywords/>
  <dc:description/>
  <cp:lastModifiedBy>Yu Shan Tan</cp:lastModifiedBy>
  <cp:revision>1</cp:revision>
  <dcterms:created xsi:type="dcterms:W3CDTF">2026-02-03T03:26:00Z</dcterms:created>
  <dcterms:modified xsi:type="dcterms:W3CDTF">2026-02-03T03:51:00Z</dcterms:modified>
</cp:coreProperties>
</file>