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JMP演習：個人成長モデル入門</w:t>
      </w:r>
    </w:p>
    <w:p>
      <w:pPr>
        <w:spacing w:after="40"/>
        <w:jc w:val="center"/>
      </w:pPr>
      <w:r>
        <w:rPr>
          <w:b/>
          <w:bCs/>
          <w:color w:val="C00000"/>
          <w:sz w:val="26"/>
          <w:szCs w:val="26"/>
        </w:rPr>
        <w:t xml:space="preserve">解答編（指導者用）</w:t>
      </w:r>
    </w:p>
    <w:p>
      <w:pPr>
        <w:spacing w:after="300"/>
        <w:jc w:val="center"/>
      </w:pPr>
      <w:r>
        <w:rPr>
          <w:color w:val="555555"/>
          <w:sz w:val="20"/>
          <w:szCs w:val="20"/>
        </w:rPr>
        <w:t xml:space="preserve">Opposites Naming Task (Willett, 1988) データ／SAS PROC MIXED (REML, DDFM=BW) の結果に基づく</w:t>
      </w:r>
    </w:p>
    <w:p>
      <w:pPr>
        <w:spacing w:after="150"/>
      </w:pPr>
      <w:r>
        <w:rPr>
          <w:i/>
          <w:iCs/>
          <w:color w:val="555555"/>
          <w:sz w:val="20"/>
          <w:szCs w:val="20"/>
        </w:rPr>
        <w:t xml:space="preserve">数値はSingerの解説（SAS PROC MIXED, REML, between-within DF）に基づきます。JMP Mixed Modelは既定でKenward-Roger DF法を用いるため、SE・p値・自由度がわずかに異なる場合がありますが、点推定値と結論は一致します。</w:t>
      </w:r>
    </w:p>
    <w:p>
      <w:pPr>
        <w:pStyle w:val="Heading1"/>
        <w:spacing w:after="150" w:before="300"/>
      </w:pPr>
      <w:r>
        <w:t xml:space="preserve">Step 1：無条件成長モデル（Model 1）―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13"/>
        <w:gridCol w:w="2913"/>
      </w:tblGrid>
      <w:tr>
        <w:trPr>
          <w:tblHeader/>
        </w:trPr>
        <w:tc>
          <w:tcPr>
            <w:tcW w:type="dxa" w:w="3600"/>
            <w:shd w:fill="D9E2F3" w:val="clear"/>
            <w:tcMar>
              <w:top w:type="dxa" w:w="60"/>
              <w:left w:type="dxa" w:w="100"/>
              <w:bottom w:type="dxa" w:w="60"/>
              <w:right w:type="dxa" w:w="100"/>
            </w:tcMar>
            <w:vAlign w:val="center"/>
          </w:tcPr>
          <w:p>
            <w:pPr>
              <w:jc w:val="center"/>
            </w:pPr>
            <w:r>
              <w:rPr>
                <w:b/>
                <w:bCs/>
              </w:rPr>
              <w:t xml:space="preserve">パラメータ</w:t>
            </w:r>
          </w:p>
        </w:tc>
        <w:tc>
          <w:tcPr>
            <w:tcW w:type="dxa" w:w="2513"/>
            <w:shd w:fill="D9E2F3" w:val="clear"/>
            <w:tcMar>
              <w:top w:type="dxa" w:w="60"/>
              <w:left w:type="dxa" w:w="100"/>
              <w:bottom w:type="dxa" w:w="60"/>
              <w:right w:type="dxa" w:w="100"/>
            </w:tcMar>
            <w:vAlign w:val="center"/>
          </w:tcPr>
          <w:p>
            <w:pPr>
              <w:jc w:val="center"/>
            </w:pPr>
            <w:r>
              <w:rPr>
                <w:b/>
                <w:bCs/>
              </w:rPr>
              <w:t xml:space="preserve">推定値</w:t>
            </w:r>
          </w:p>
        </w:tc>
        <w:tc>
          <w:tcPr>
            <w:tcW w:type="dxa" w:w="2913"/>
            <w:shd w:fill="D9E2F3" w:val="clear"/>
            <w:tcMar>
              <w:top w:type="dxa" w:w="60"/>
              <w:left w:type="dxa" w:w="100"/>
              <w:bottom w:type="dxa" w:w="60"/>
              <w:right w:type="dxa" w:w="100"/>
            </w:tcMar>
            <w:vAlign w:val="center"/>
          </w:tcPr>
          <w:p>
            <w:pPr>
              <w:jc w:val="center"/>
            </w:pPr>
            <w:r>
              <w:rPr>
                <w:b/>
                <w:bCs/>
              </w:rPr>
              <w:t xml:space="preserve">備考</w:t>
            </w:r>
          </w:p>
        </w:tc>
      </w:tr>
      <w:tr>
        <w:tc>
          <w:tcPr>
            <w:tcW w:type="dxa" w:w="3600"/>
            <w:tcMar>
              <w:top w:type="dxa" w:w="60"/>
              <w:left w:type="dxa" w:w="100"/>
              <w:bottom w:type="dxa" w:w="60"/>
              <w:right w:type="dxa" w:w="100"/>
            </w:tcMar>
            <w:vAlign w:val="center"/>
          </w:tcPr>
          <w:p>
            <w:pPr>
              <w:jc w:val="left"/>
            </w:pPr>
            <w:r>
              <w:rPr>
                <w:b w:val="false"/>
                <w:bCs w:val="false"/>
              </w:rPr>
              <w:t xml:space="preserve">切片（Intercept）</w:t>
            </w:r>
          </w:p>
        </w:tc>
        <w:tc>
          <w:tcPr>
            <w:tcW w:type="dxa" w:w="2513"/>
            <w:tcMar>
              <w:top w:type="dxa" w:w="60"/>
              <w:left w:type="dxa" w:w="100"/>
              <w:bottom w:type="dxa" w:w="60"/>
              <w:right w:type="dxa" w:w="100"/>
            </w:tcMar>
            <w:vAlign w:val="center"/>
          </w:tcPr>
          <w:p>
            <w:pPr>
              <w:jc w:val="left"/>
            </w:pPr>
            <w:r>
              <w:rPr>
                <w:b w:val="false"/>
                <w:bCs w:val="false"/>
              </w:rPr>
              <w:t xml:space="preserve">164.37（SE=6.12, p&lt;.0001）</w:t>
            </w:r>
          </w:p>
        </w:tc>
        <w:tc>
          <w:tcPr>
            <w:tcW w:type="dxa" w:w="2913"/>
            <w:tcMar>
              <w:top w:type="dxa" w:w="60"/>
              <w:left w:type="dxa" w:w="100"/>
              <w:bottom w:type="dxa" w:w="60"/>
              <w:right w:type="dxa" w:w="100"/>
            </w:tcMar>
            <w:vAlign w:val="center"/>
          </w:tcPr>
          <w:p>
            <w:pPr>
              <w:jc w:val="left"/>
            </w:pPr>
            <w:r>
              <w:rPr>
                <w:b w:val="false"/>
                <w:bCs w:val="false"/>
              </w:rPr>
              <w:t xml:space="preserve">time=0時点の平均スコア</w:t>
            </w:r>
          </w:p>
        </w:tc>
      </w:tr>
      <w:tr>
        <w:tc>
          <w:tcPr>
            <w:tcW w:type="dxa" w:w="3600"/>
            <w:tcMar>
              <w:top w:type="dxa" w:w="60"/>
              <w:left w:type="dxa" w:w="100"/>
              <w:bottom w:type="dxa" w:w="60"/>
              <w:right w:type="dxa" w:w="100"/>
            </w:tcMar>
            <w:vAlign w:val="center"/>
          </w:tcPr>
          <w:p>
            <w:pPr>
              <w:jc w:val="left"/>
            </w:pPr>
            <w:r>
              <w:rPr>
                <w:b w:val="false"/>
                <w:bCs w:val="false"/>
              </w:rPr>
              <w:t xml:space="preserve">time（平均成長率）</w:t>
            </w:r>
          </w:p>
        </w:tc>
        <w:tc>
          <w:tcPr>
            <w:tcW w:type="dxa" w:w="2513"/>
            <w:tcMar>
              <w:top w:type="dxa" w:w="60"/>
              <w:left w:type="dxa" w:w="100"/>
              <w:bottom w:type="dxa" w:w="60"/>
              <w:right w:type="dxa" w:w="100"/>
            </w:tcMar>
            <w:vAlign w:val="center"/>
          </w:tcPr>
          <w:p>
            <w:pPr>
              <w:jc w:val="left"/>
            </w:pPr>
            <w:r>
              <w:rPr>
                <w:b w:val="false"/>
                <w:bCs w:val="false"/>
              </w:rPr>
              <w:t xml:space="preserve">26.96（SE=2.17, p&lt;.0001）</w:t>
            </w:r>
          </w:p>
        </w:tc>
        <w:tc>
          <w:tcPr>
            <w:tcW w:type="dxa" w:w="2913"/>
            <w:tcMar>
              <w:top w:type="dxa" w:w="60"/>
              <w:left w:type="dxa" w:w="100"/>
              <w:bottom w:type="dxa" w:w="60"/>
              <w:right w:type="dxa" w:w="100"/>
            </w:tcMar>
            <w:vAlign w:val="center"/>
          </w:tcPr>
          <w:p>
            <w:pPr>
              <w:jc w:val="left"/>
            </w:pPr>
            <w:r>
              <w:rPr>
                <w:b w:val="false"/>
                <w:bCs w:val="false"/>
              </w:rPr>
              <w:t xml:space="preserve">1時点あたりの平均的な伸び</w:t>
            </w:r>
          </w:p>
        </w:tc>
      </w:tr>
      <w:tr>
        <w:tc>
          <w:tcPr>
            <w:tcW w:type="dxa" w:w="3600"/>
            <w:tcMar>
              <w:top w:type="dxa" w:w="60"/>
              <w:left w:type="dxa" w:w="100"/>
              <w:bottom w:type="dxa" w:w="60"/>
              <w:right w:type="dxa" w:w="100"/>
            </w:tcMar>
            <w:vAlign w:val="center"/>
          </w:tcPr>
          <w:p>
            <w:pPr>
              <w:jc w:val="left"/>
            </w:pPr>
            <w:r>
              <w:rPr>
                <w:b w:val="false"/>
                <w:bCs w:val="false"/>
              </w:rPr>
              <w:t xml:space="preserve">Var(Intercept)</w:t>
            </w:r>
          </w:p>
        </w:tc>
        <w:tc>
          <w:tcPr>
            <w:tcW w:type="dxa" w:w="2513"/>
            <w:tcMar>
              <w:top w:type="dxa" w:w="60"/>
              <w:left w:type="dxa" w:w="100"/>
              <w:bottom w:type="dxa" w:w="60"/>
              <w:right w:type="dxa" w:w="100"/>
            </w:tcMar>
            <w:vAlign w:val="center"/>
          </w:tcPr>
          <w:p>
            <w:pPr>
              <w:jc w:val="left"/>
            </w:pPr>
            <w:r>
              <w:rPr>
                <w:b w:val="false"/>
                <w:bCs w:val="false"/>
              </w:rPr>
              <w:t xml:space="preserve">1198.78（p&lt;.0001）</w:t>
            </w:r>
          </w:p>
        </w:tc>
        <w:tc>
          <w:tcPr>
            <w:tcW w:type="dxa" w:w="2913"/>
            <w:tcMar>
              <w:top w:type="dxa" w:w="60"/>
              <w:left w:type="dxa" w:w="100"/>
              <w:bottom w:type="dxa" w:w="60"/>
              <w:right w:type="dxa" w:w="100"/>
            </w:tcMar>
            <w:vAlign w:val="center"/>
          </w:tcPr>
          <w:p>
            <w:pPr>
              <w:jc w:val="left"/>
            </w:pPr>
            <w:r>
              <w:rPr>
                <w:b w:val="false"/>
                <w:bCs w:val="false"/>
              </w:rPr>
              <w:t xml:space="preserve">初期値の個人差</w:t>
            </w:r>
          </w:p>
        </w:tc>
      </w:tr>
      <w:tr>
        <w:tc>
          <w:tcPr>
            <w:tcW w:type="dxa" w:w="3600"/>
            <w:tcMar>
              <w:top w:type="dxa" w:w="60"/>
              <w:left w:type="dxa" w:w="100"/>
              <w:bottom w:type="dxa" w:w="60"/>
              <w:right w:type="dxa" w:w="100"/>
            </w:tcMar>
            <w:vAlign w:val="center"/>
          </w:tcPr>
          <w:p>
            <w:pPr>
              <w:jc w:val="left"/>
            </w:pPr>
            <w:r>
              <w:rPr>
                <w:b w:val="false"/>
                <w:bCs w:val="false"/>
              </w:rPr>
              <w:t xml:space="preserve">Var(time)</w:t>
            </w:r>
          </w:p>
        </w:tc>
        <w:tc>
          <w:tcPr>
            <w:tcW w:type="dxa" w:w="2513"/>
            <w:tcMar>
              <w:top w:type="dxa" w:w="60"/>
              <w:left w:type="dxa" w:w="100"/>
              <w:bottom w:type="dxa" w:w="60"/>
              <w:right w:type="dxa" w:w="100"/>
            </w:tcMar>
            <w:vAlign w:val="center"/>
          </w:tcPr>
          <w:p>
            <w:pPr>
              <w:jc w:val="left"/>
            </w:pPr>
            <w:r>
              <w:rPr>
                <w:b w:val="false"/>
                <w:bCs w:val="false"/>
              </w:rPr>
              <w:t xml:space="preserve">132.40（p=.0005）</w:t>
            </w:r>
          </w:p>
        </w:tc>
        <w:tc>
          <w:tcPr>
            <w:tcW w:type="dxa" w:w="2913"/>
            <w:tcMar>
              <w:top w:type="dxa" w:w="60"/>
              <w:left w:type="dxa" w:w="100"/>
              <w:bottom w:type="dxa" w:w="60"/>
              <w:right w:type="dxa" w:w="100"/>
            </w:tcMar>
            <w:vAlign w:val="center"/>
          </w:tcPr>
          <w:p>
            <w:pPr>
              <w:jc w:val="left"/>
            </w:pPr>
            <w:r>
              <w:rPr>
                <w:b w:val="false"/>
                <w:bCs w:val="false"/>
              </w:rPr>
              <w:t xml:space="preserve">成長率の個人差</w:t>
            </w:r>
          </w:p>
        </w:tc>
      </w:tr>
      <w:tr>
        <w:tc>
          <w:tcPr>
            <w:tcW w:type="dxa" w:w="3600"/>
            <w:tcMar>
              <w:top w:type="dxa" w:w="60"/>
              <w:left w:type="dxa" w:w="100"/>
              <w:bottom w:type="dxa" w:w="60"/>
              <w:right w:type="dxa" w:w="100"/>
            </w:tcMar>
            <w:vAlign w:val="center"/>
          </w:tcPr>
          <w:p>
            <w:pPr>
              <w:jc w:val="left"/>
            </w:pPr>
            <w:r>
              <w:rPr>
                <w:b w:val="false"/>
                <w:bCs w:val="false"/>
              </w:rPr>
              <w:t xml:space="preserve">Cov(Intercept, time)</w:t>
            </w:r>
          </w:p>
        </w:tc>
        <w:tc>
          <w:tcPr>
            <w:tcW w:type="dxa" w:w="2513"/>
            <w:tcMar>
              <w:top w:type="dxa" w:w="60"/>
              <w:left w:type="dxa" w:w="100"/>
              <w:bottom w:type="dxa" w:w="60"/>
              <w:right w:type="dxa" w:w="100"/>
            </w:tcMar>
            <w:vAlign w:val="center"/>
          </w:tcPr>
          <w:p>
            <w:pPr>
              <w:jc w:val="left"/>
            </w:pPr>
            <w:r>
              <w:rPr>
                <w:b w:val="false"/>
                <w:bCs w:val="false"/>
              </w:rPr>
              <w:t xml:space="preserve">-179.26（p=.0439）</w:t>
            </w:r>
          </w:p>
        </w:tc>
        <w:tc>
          <w:tcPr>
            <w:tcW w:type="dxa" w:w="2913"/>
            <w:tcMar>
              <w:top w:type="dxa" w:w="60"/>
              <w:left w:type="dxa" w:w="100"/>
              <w:bottom w:type="dxa" w:w="60"/>
              <w:right w:type="dxa" w:w="100"/>
            </w:tcMar>
            <w:vAlign w:val="center"/>
          </w:tcPr>
          <w:p>
            <w:pPr>
              <w:jc w:val="left"/>
            </w:pPr>
            <w:r>
              <w:rPr>
                <w:b w:val="false"/>
                <w:bCs w:val="false"/>
              </w:rPr>
              <w:t xml:space="preserve">初期値と成長率の関係</w:t>
            </w:r>
          </w:p>
        </w:tc>
      </w:tr>
      <w:tr>
        <w:tc>
          <w:tcPr>
            <w:tcW w:type="dxa" w:w="3600"/>
            <w:tcMar>
              <w:top w:type="dxa" w:w="60"/>
              <w:left w:type="dxa" w:w="100"/>
              <w:bottom w:type="dxa" w:w="60"/>
              <w:right w:type="dxa" w:w="100"/>
            </w:tcMar>
            <w:vAlign w:val="center"/>
          </w:tcPr>
          <w:p>
            <w:pPr>
              <w:jc w:val="left"/>
            </w:pPr>
            <w:r>
              <w:rPr>
                <w:b w:val="false"/>
                <w:bCs w:val="false"/>
              </w:rPr>
              <w:t xml:space="preserve">Residual分散</w:t>
            </w:r>
          </w:p>
        </w:tc>
        <w:tc>
          <w:tcPr>
            <w:tcW w:type="dxa" w:w="2513"/>
            <w:tcMar>
              <w:top w:type="dxa" w:w="60"/>
              <w:left w:type="dxa" w:w="100"/>
              <w:bottom w:type="dxa" w:w="60"/>
              <w:right w:type="dxa" w:w="100"/>
            </w:tcMar>
            <w:vAlign w:val="center"/>
          </w:tcPr>
          <w:p>
            <w:pPr>
              <w:jc w:val="left"/>
            </w:pPr>
            <w:r>
              <w:rPr>
                <w:b w:val="false"/>
                <w:bCs w:val="false"/>
              </w:rPr>
              <w:t xml:space="preserve">159.48（p&lt;.0001）</w:t>
            </w:r>
          </w:p>
        </w:tc>
        <w:tc>
          <w:tcPr>
            <w:tcW w:type="dxa" w:w="2913"/>
            <w:tcMar>
              <w:top w:type="dxa" w:w="60"/>
              <w:left w:type="dxa" w:w="100"/>
              <w:bottom w:type="dxa" w:w="60"/>
              <w:right w:type="dxa" w:w="100"/>
            </w:tcMar>
            <w:vAlign w:val="center"/>
          </w:tcPr>
          <w:p>
            <w:pPr>
              <w:jc w:val="left"/>
            </w:pPr>
            <w:r>
              <w:rPr>
                <w:b w:val="false"/>
                <w:bCs w:val="false"/>
              </w:rPr>
              <w:t xml:space="preserve">時点内の測定誤差</w:t>
            </w:r>
          </w:p>
        </w:tc>
      </w:tr>
    </w:tbl>
    <w:p>
      <w:pPr>
        <w:spacing w:after="100"/>
      </w:pPr>
    </w:p>
    <w:p>
      <w:pPr>
        <w:spacing w:after="140"/>
      </w:pPr>
      <w:r>
        <w:rPr>
          <w:b/>
          <w:bCs/>
          <w:color w:val="1F4E79"/>
        </w:rPr>
        <w:t xml:space="preserve">Q1.　</w:t>
      </w:r>
      <w:r>
        <w:t xml:space="preserve">time係数=26.96は、1時点（1週間相当）ごとに、対義語呼称課題のスコアが平均26.96点上昇することを意味する。切片164.37と合わせ、平均的な成長曲線は y = 164.37 + 26.96×time と表される。</w:t>
      </w:r>
    </w:p>
    <w:p>
      <w:pPr>
        <w:spacing w:after="140"/>
      </w:pPr>
      <w:r>
        <w:rPr>
          <w:b/>
          <w:bCs/>
          <w:color w:val="1F4E79"/>
        </w:rPr>
        <w:t xml:space="preserve">Q2.　</w:t>
      </w:r>
      <w:r>
        <w:t xml:space="preserve">Var(time)=132.40が有意（p=.0005）であることは、成長率（傾き）が個人間で有意にばらついていることを意味する。つまり、全員が同じ速度で伸びているわけではなく、速く伸びる人・ゆっくり伸びる人がいる。</w:t>
      </w:r>
    </w:p>
    <w:p>
      <w:pPr>
        <w:spacing w:after="140"/>
      </w:pPr>
      <w:r>
        <w:rPr>
          <w:b/>
          <w:bCs/>
          <w:color w:val="1F4E79"/>
        </w:rPr>
        <w:t xml:space="preserve">Q3.　</w:t>
      </w:r>
      <w:r>
        <w:t xml:space="preserve">Cov(Intercept, time)=-179.26は負であり、統計的にも有意（p=.0439）。これは、初期値（time=0時点のスコア）が高い人ほど、その後の成長率は緩やかになる傾向があることを示唆する（いわゆる「天井効果」や平均への回帰と整合的な関係）。</w:t>
      </w:r>
    </w:p>
    <w:p>
      <w:pPr>
        <w:spacing w:after="200"/>
      </w:pPr>
    </w:p>
    <w:p>
      <w:pPr>
        <w:pStyle w:val="Heading1"/>
        <w:spacing w:after="150" w:before="300"/>
      </w:pPr>
      <w:r>
        <w:t xml:space="preserve">Step 2：個人レベル共変量を加えたモデル（Model 2）―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6"/>
        <w:gridCol w:w="1875"/>
        <w:gridCol w:w="1875"/>
      </w:tblGrid>
      <w:tr>
        <w:trPr>
          <w:tblHeader/>
        </w:trPr>
        <w:tc>
          <w:tcPr>
            <w:tcW w:type="dxa" w:w="3400"/>
            <w:shd w:fill="D9E2F3" w:val="clear"/>
            <w:tcMar>
              <w:top w:type="dxa" w:w="60"/>
              <w:left w:type="dxa" w:w="100"/>
              <w:bottom w:type="dxa" w:w="60"/>
              <w:right w:type="dxa" w:w="100"/>
            </w:tcMar>
            <w:vAlign w:val="center"/>
          </w:tcPr>
          <w:p>
            <w:pPr>
              <w:jc w:val="center"/>
            </w:pPr>
            <w:r>
              <w:rPr>
                <w:b/>
                <w:bCs/>
              </w:rPr>
              <w:t xml:space="preserve">パラメータ</w:t>
            </w:r>
          </w:p>
        </w:tc>
        <w:tc>
          <w:tcPr>
            <w:tcW w:type="dxa" w:w="1876"/>
            <w:shd w:fill="D9E2F3" w:val="clear"/>
            <w:tcMar>
              <w:top w:type="dxa" w:w="60"/>
              <w:left w:type="dxa" w:w="100"/>
              <w:bottom w:type="dxa" w:w="60"/>
              <w:right w:type="dxa" w:w="100"/>
            </w:tcMar>
            <w:vAlign w:val="center"/>
          </w:tcPr>
          <w:p>
            <w:pPr>
              <w:jc w:val="center"/>
            </w:pPr>
            <w:r>
              <w:rPr>
                <w:b/>
                <w:bCs/>
              </w:rPr>
              <w:t xml:space="preserve">推定値</w:t>
            </w:r>
          </w:p>
        </w:tc>
        <w:tc>
          <w:tcPr>
            <w:tcW w:type="dxa" w:w="1875"/>
            <w:shd w:fill="D9E2F3" w:val="clear"/>
            <w:tcMar>
              <w:top w:type="dxa" w:w="60"/>
              <w:left w:type="dxa" w:w="100"/>
              <w:bottom w:type="dxa" w:w="60"/>
              <w:right w:type="dxa" w:w="100"/>
            </w:tcMar>
            <w:vAlign w:val="center"/>
          </w:tcPr>
          <w:p>
            <w:pPr>
              <w:jc w:val="center"/>
            </w:pPr>
            <w:r>
              <w:rPr>
                <w:b/>
                <w:bCs/>
              </w:rPr>
              <w:t xml:space="preserve">SE</w:t>
            </w:r>
          </w:p>
        </w:tc>
        <w:tc>
          <w:tcPr>
            <w:tcW w:type="dxa" w:w="1875"/>
            <w:shd w:fill="D9E2F3" w:val="clear"/>
            <w:tcMar>
              <w:top w:type="dxa" w:w="60"/>
              <w:left w:type="dxa" w:w="100"/>
              <w:bottom w:type="dxa" w:w="60"/>
              <w:right w:type="dxa" w:w="100"/>
            </w:tcMar>
            <w:vAlign w:val="center"/>
          </w:tcPr>
          <w:p>
            <w:pPr>
              <w:jc w:val="center"/>
            </w:pPr>
            <w:r>
              <w:rPr>
                <w:b/>
                <w:bCs/>
              </w:rPr>
              <w:t xml:space="preserve">p値</w:t>
            </w:r>
          </w:p>
        </w:tc>
      </w:tr>
      <w:tr>
        <w:tc>
          <w:tcPr>
            <w:tcW w:type="dxa" w:w="3400"/>
            <w:tcMar>
              <w:top w:type="dxa" w:w="60"/>
              <w:left w:type="dxa" w:w="100"/>
              <w:bottom w:type="dxa" w:w="60"/>
              <w:right w:type="dxa" w:w="100"/>
            </w:tcMar>
            <w:vAlign w:val="center"/>
          </w:tcPr>
          <w:p>
            <w:pPr>
              <w:jc w:val="left"/>
            </w:pPr>
            <w:r>
              <w:rPr>
                <w:b w:val="false"/>
                <w:bCs w:val="false"/>
              </w:rPr>
              <w:t xml:space="preserve">切片（Intercept）</w:t>
            </w:r>
          </w:p>
        </w:tc>
        <w:tc>
          <w:tcPr>
            <w:tcW w:type="dxa" w:w="1876"/>
            <w:tcMar>
              <w:top w:type="dxa" w:w="60"/>
              <w:left w:type="dxa" w:w="100"/>
              <w:bottom w:type="dxa" w:w="60"/>
              <w:right w:type="dxa" w:w="100"/>
            </w:tcMar>
            <w:vAlign w:val="center"/>
          </w:tcPr>
          <w:p>
            <w:pPr>
              <w:jc w:val="left"/>
            </w:pPr>
            <w:r>
              <w:rPr>
                <w:b w:val="false"/>
                <w:bCs w:val="false"/>
              </w:rPr>
              <w:t xml:space="preserve">164.37</w:t>
            </w:r>
          </w:p>
        </w:tc>
        <w:tc>
          <w:tcPr>
            <w:tcW w:type="dxa" w:w="1875"/>
            <w:tcMar>
              <w:top w:type="dxa" w:w="60"/>
              <w:left w:type="dxa" w:w="100"/>
              <w:bottom w:type="dxa" w:w="60"/>
              <w:right w:type="dxa" w:w="100"/>
            </w:tcMar>
            <w:vAlign w:val="center"/>
          </w:tcPr>
          <w:p>
            <w:pPr>
              <w:jc w:val="left"/>
            </w:pPr>
            <w:r>
              <w:rPr>
                <w:b w:val="false"/>
                <w:bCs w:val="false"/>
              </w:rPr>
              <w:t xml:space="preserve">6.206</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time</w:t>
            </w:r>
          </w:p>
        </w:tc>
        <w:tc>
          <w:tcPr>
            <w:tcW w:type="dxa" w:w="1876"/>
            <w:tcMar>
              <w:top w:type="dxa" w:w="60"/>
              <w:left w:type="dxa" w:w="100"/>
              <w:bottom w:type="dxa" w:w="60"/>
              <w:right w:type="dxa" w:w="100"/>
            </w:tcMar>
            <w:vAlign w:val="center"/>
          </w:tcPr>
          <w:p>
            <w:pPr>
              <w:jc w:val="left"/>
            </w:pPr>
            <w:r>
              <w:rPr>
                <w:b w:val="false"/>
                <w:bCs w:val="false"/>
              </w:rPr>
              <w:t xml:space="preserve">26.96</w:t>
            </w:r>
          </w:p>
        </w:tc>
        <w:tc>
          <w:tcPr>
            <w:tcW w:type="dxa" w:w="1875"/>
            <w:tcMar>
              <w:top w:type="dxa" w:w="60"/>
              <w:left w:type="dxa" w:w="100"/>
              <w:bottom w:type="dxa" w:w="60"/>
              <w:right w:type="dxa" w:w="100"/>
            </w:tcMar>
            <w:vAlign w:val="center"/>
          </w:tcPr>
          <w:p>
            <w:pPr>
              <w:jc w:val="left"/>
            </w:pPr>
            <w:r>
              <w:rPr>
                <w:b w:val="false"/>
                <w:bCs w:val="false"/>
              </w:rPr>
              <w:t xml:space="preserve">1.994</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ccovar</w:t>
            </w:r>
          </w:p>
        </w:tc>
        <w:tc>
          <w:tcPr>
            <w:tcW w:type="dxa" w:w="1876"/>
            <w:tcMar>
              <w:top w:type="dxa" w:w="60"/>
              <w:left w:type="dxa" w:w="100"/>
              <w:bottom w:type="dxa" w:w="60"/>
              <w:right w:type="dxa" w:w="100"/>
            </w:tcMar>
            <w:vAlign w:val="center"/>
          </w:tcPr>
          <w:p>
            <w:pPr>
              <w:jc w:val="left"/>
            </w:pPr>
            <w:r>
              <w:rPr>
                <w:b w:val="false"/>
                <w:bCs w:val="false"/>
              </w:rPr>
              <w:t xml:space="preserve">-0.114</w:t>
            </w:r>
          </w:p>
        </w:tc>
        <w:tc>
          <w:tcPr>
            <w:tcW w:type="dxa" w:w="1875"/>
            <w:tcMar>
              <w:top w:type="dxa" w:w="60"/>
              <w:left w:type="dxa" w:w="100"/>
              <w:bottom w:type="dxa" w:w="60"/>
              <w:right w:type="dxa" w:w="100"/>
            </w:tcMar>
            <w:vAlign w:val="center"/>
          </w:tcPr>
          <w:p>
            <w:pPr>
              <w:jc w:val="left"/>
            </w:pPr>
            <w:r>
              <w:rPr>
                <w:b w:val="false"/>
                <w:bCs w:val="false"/>
              </w:rPr>
              <w:t xml:space="preserve">0.504</w:t>
            </w:r>
          </w:p>
        </w:tc>
        <w:tc>
          <w:tcPr>
            <w:tcW w:type="dxa" w:w="1875"/>
            <w:tcMar>
              <w:top w:type="dxa" w:w="60"/>
              <w:left w:type="dxa" w:w="100"/>
              <w:bottom w:type="dxa" w:w="60"/>
              <w:right w:type="dxa" w:w="100"/>
            </w:tcMar>
            <w:vAlign w:val="center"/>
          </w:tcPr>
          <w:p>
            <w:pPr>
              <w:jc w:val="left"/>
            </w:pPr>
            <w:r>
              <w:rPr>
                <w:b w:val="false"/>
                <w:bCs w:val="false"/>
              </w:rPr>
              <w:t xml:space="preserve">.8231</w:t>
            </w:r>
          </w:p>
        </w:tc>
      </w:tr>
      <w:tr>
        <w:tc>
          <w:tcPr>
            <w:tcW w:type="dxa" w:w="3400"/>
            <w:tcMar>
              <w:top w:type="dxa" w:w="60"/>
              <w:left w:type="dxa" w:w="100"/>
              <w:bottom w:type="dxa" w:w="60"/>
              <w:right w:type="dxa" w:w="100"/>
            </w:tcMar>
            <w:vAlign w:val="center"/>
          </w:tcPr>
          <w:p>
            <w:pPr>
              <w:jc w:val="left"/>
            </w:pPr>
            <w:r>
              <w:rPr>
                <w:b w:val="false"/>
                <w:bCs w:val="false"/>
              </w:rPr>
              <w:t xml:space="preserve">time*ccovar</w:t>
            </w:r>
          </w:p>
        </w:tc>
        <w:tc>
          <w:tcPr>
            <w:tcW w:type="dxa" w:w="1876"/>
            <w:tcMar>
              <w:top w:type="dxa" w:w="60"/>
              <w:left w:type="dxa" w:w="100"/>
              <w:bottom w:type="dxa" w:w="60"/>
              <w:right w:type="dxa" w:w="100"/>
            </w:tcMar>
            <w:vAlign w:val="center"/>
          </w:tcPr>
          <w:p>
            <w:pPr>
              <w:jc w:val="left"/>
            </w:pPr>
            <w:r>
              <w:rPr>
                <w:b w:val="false"/>
                <w:bCs w:val="false"/>
              </w:rPr>
              <w:t xml:space="preserve">0.433</w:t>
            </w:r>
          </w:p>
        </w:tc>
        <w:tc>
          <w:tcPr>
            <w:tcW w:type="dxa" w:w="1875"/>
            <w:tcMar>
              <w:top w:type="dxa" w:w="60"/>
              <w:left w:type="dxa" w:w="100"/>
              <w:bottom w:type="dxa" w:w="60"/>
              <w:right w:type="dxa" w:w="100"/>
            </w:tcMar>
            <w:vAlign w:val="center"/>
          </w:tcPr>
          <w:p>
            <w:pPr>
              <w:jc w:val="left"/>
            </w:pPr>
            <w:r>
              <w:rPr>
                <w:b w:val="false"/>
                <w:bCs w:val="false"/>
              </w:rPr>
              <w:t xml:space="preserve">0.162</w:t>
            </w:r>
          </w:p>
        </w:tc>
        <w:tc>
          <w:tcPr>
            <w:tcW w:type="dxa" w:w="1875"/>
            <w:tcMar>
              <w:top w:type="dxa" w:w="60"/>
              <w:left w:type="dxa" w:w="100"/>
              <w:bottom w:type="dxa" w:w="60"/>
              <w:right w:type="dxa" w:w="100"/>
            </w:tcMar>
            <w:vAlign w:val="center"/>
          </w:tcPr>
          <w:p>
            <w:pPr>
              <w:jc w:val="left"/>
            </w:pPr>
            <w:r>
              <w:rPr>
                <w:b w:val="false"/>
                <w:bCs w:val="false"/>
              </w:rPr>
              <w:t xml:space="preserve">.0087</w:t>
            </w:r>
          </w:p>
        </w:tc>
      </w:tr>
    </w:tbl>
    <w:p>
      <w:pPr>
        <w:spacing w:after="100"/>
      </w:pPr>
    </w:p>
    <w:p>
      <w:pPr>
        <w:spacing w:after="140"/>
      </w:pPr>
      <w:r>
        <w:rPr>
          <w:b/>
          <w:bCs/>
          <w:color w:val="1F4E79"/>
        </w:rPr>
        <w:t xml:space="preserve">Q1.　</w:t>
      </w:r>
      <w:r>
        <w:t xml:space="preserve">ccovarの主効果（p=.8231）は非有意。ベースライン認知能力は、time=0時点での初期スコアの高さそのものには、統計的に有意な影響を与えていない。</w:t>
      </w:r>
    </w:p>
    <w:p>
      <w:pPr>
        <w:spacing w:after="140"/>
      </w:pPr>
      <w:r>
        <w:rPr>
          <w:b/>
          <w:bCs/>
          <w:color w:val="1F4E79"/>
        </w:rPr>
        <w:t xml:space="preserve">Q2.　</w:t>
      </w:r>
      <w:r>
        <w:t xml:space="preserve">time*ccovar=0.433は有意（p=.0087）で正の値。ベースライン認知能力が高い人ほど、成長率（time係数）が大きくなる、つまり時間とともにより速くスコアが伸びることを意味する。</w:t>
      </w:r>
    </w:p>
    <w:p>
      <w:pPr>
        <w:spacing w:after="140"/>
      </w:pPr>
      <w:r>
        <w:rPr>
          <w:b/>
          <w:bCs/>
          <w:color w:val="1F4E79"/>
        </w:rPr>
        <w:t xml:space="preserve">Q3.　</w:t>
      </w:r>
      <w:r>
        <w:t xml:space="preserve">Model 1のVar(time)=132.40からModel 2ではVar(time)=107.25へ減少した（減少率 (132.40-107.25)/132.40 ≈ 19.0%）。これはccovar（およびtime*ccovarの効果）が、成長率の個人差の約19%を説明したことを意味する。ただし完全には説明しきれておらず、Var(time)はなお有意に残る可能性が高い。</w:t>
      </w:r>
    </w:p>
    <w:p>
      <w:pPr>
        <w:spacing w:after="200"/>
      </w:pPr>
    </w:p>
    <w:p>
      <w:r>
        <w:br w:type="page"/>
      </w:r>
    </w:p>
    <w:p>
      <w:pPr>
        <w:pStyle w:val="Heading1"/>
        <w:spacing w:after="150" w:before="300"/>
      </w:pPr>
      <w:r>
        <w:t xml:space="preserve">Step 3：Level-1誤差共分散構造の比較（Model 3）―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5"/>
        <w:gridCol w:w="2075"/>
        <w:gridCol w:w="2076"/>
      </w:tblGrid>
      <w:tr>
        <w:trPr>
          <w:tblHeader/>
        </w:trPr>
        <w:tc>
          <w:tcPr>
            <w:tcW w:type="dxa" w:w="2800"/>
            <w:shd w:fill="D9E2F3" w:val="clear"/>
            <w:tcMar>
              <w:top w:type="dxa" w:w="60"/>
              <w:left w:type="dxa" w:w="100"/>
              <w:bottom w:type="dxa" w:w="60"/>
              <w:right w:type="dxa" w:w="100"/>
            </w:tcMar>
            <w:vAlign w:val="center"/>
          </w:tcPr>
          <w:p>
            <w:pPr>
              <w:jc w:val="center"/>
            </w:pPr>
            <w:r>
              <w:rPr>
                <w:b/>
                <w:bCs/>
              </w:rPr>
              <w:t xml:space="preserve">構造</w:t>
            </w:r>
          </w:p>
        </w:tc>
        <w:tc>
          <w:tcPr>
            <w:tcW w:type="dxa" w:w="2075"/>
            <w:shd w:fill="D9E2F3" w:val="clear"/>
            <w:tcMar>
              <w:top w:type="dxa" w:w="60"/>
              <w:left w:type="dxa" w:w="100"/>
              <w:bottom w:type="dxa" w:w="60"/>
              <w:right w:type="dxa" w:w="100"/>
            </w:tcMar>
            <w:vAlign w:val="center"/>
          </w:tcPr>
          <w:p>
            <w:pPr>
              <w:jc w:val="center"/>
            </w:pPr>
            <w:r>
              <w:rPr>
                <w:b/>
                <w:bCs/>
              </w:rPr>
              <w:t xml:space="preserve">-2 Res Log Likelihood</w:t>
            </w:r>
          </w:p>
        </w:tc>
        <w:tc>
          <w:tcPr>
            <w:tcW w:type="dxa" w:w="2075"/>
            <w:shd w:fill="D9E2F3" w:val="clear"/>
            <w:tcMar>
              <w:top w:type="dxa" w:w="60"/>
              <w:left w:type="dxa" w:w="100"/>
              <w:bottom w:type="dxa" w:w="60"/>
              <w:right w:type="dxa" w:w="100"/>
            </w:tcMar>
            <w:vAlign w:val="center"/>
          </w:tcPr>
          <w:p>
            <w:pPr>
              <w:jc w:val="center"/>
            </w:pPr>
            <w:r>
              <w:rPr>
                <w:b/>
                <w:bCs/>
              </w:rPr>
              <w:t xml:space="preserve">AIC</w:t>
            </w:r>
          </w:p>
        </w:tc>
        <w:tc>
          <w:tcPr>
            <w:tcW w:type="dxa" w:w="2076"/>
            <w:shd w:fill="D9E2F3" w:val="clear"/>
            <w:tcMar>
              <w:top w:type="dxa" w:w="60"/>
              <w:left w:type="dxa" w:w="100"/>
              <w:bottom w:type="dxa" w:w="60"/>
              <w:right w:type="dxa" w:w="100"/>
            </w:tcMar>
            <w:vAlign w:val="center"/>
          </w:tcPr>
          <w:p>
            <w:pPr>
              <w:jc w:val="center"/>
            </w:pPr>
            <w:r>
              <w:rPr>
                <w:b/>
                <w:bCs/>
              </w:rPr>
              <w:t xml:space="preserve">BIC</w:t>
            </w:r>
          </w:p>
        </w:tc>
      </w:tr>
      <w:tr>
        <w:tc>
          <w:tcPr>
            <w:tcW w:type="dxa" w:w="2800"/>
            <w:tcMar>
              <w:top w:type="dxa" w:w="60"/>
              <w:left w:type="dxa" w:w="100"/>
              <w:bottom w:type="dxa" w:w="60"/>
              <w:right w:type="dxa" w:w="100"/>
            </w:tcMar>
            <w:vAlign w:val="center"/>
          </w:tcPr>
          <w:p>
            <w:pPr>
              <w:jc w:val="left"/>
            </w:pPr>
            <w:r>
              <w:rPr>
                <w:b w:val="false"/>
                <w:bCs w:val="false"/>
              </w:rPr>
              <w:t xml:space="preserve">A: Compound Symmetry</w:t>
            </w:r>
          </w:p>
        </w:tc>
        <w:tc>
          <w:tcPr>
            <w:tcW w:type="dxa" w:w="2075"/>
            <w:tcMar>
              <w:top w:type="dxa" w:w="60"/>
              <w:left w:type="dxa" w:w="100"/>
              <w:bottom w:type="dxa" w:w="60"/>
              <w:right w:type="dxa" w:w="100"/>
            </w:tcMar>
            <w:vAlign w:val="center"/>
          </w:tcPr>
          <w:p>
            <w:pPr>
              <w:jc w:val="left"/>
            </w:pPr>
            <w:r>
              <w:rPr>
                <w:b w:val="false"/>
                <w:bCs w:val="false"/>
              </w:rPr>
              <w:t xml:space="preserve">1300.3</w:t>
            </w:r>
          </w:p>
        </w:tc>
        <w:tc>
          <w:tcPr>
            <w:tcW w:type="dxa" w:w="2075"/>
            <w:tcMar>
              <w:top w:type="dxa" w:w="60"/>
              <w:left w:type="dxa" w:w="100"/>
              <w:bottom w:type="dxa" w:w="60"/>
              <w:right w:type="dxa" w:w="100"/>
            </w:tcMar>
            <w:vAlign w:val="center"/>
          </w:tcPr>
          <w:p>
            <w:pPr>
              <w:jc w:val="left"/>
            </w:pPr>
            <w:r>
              <w:rPr>
                <w:b w:val="false"/>
                <w:bCs w:val="false"/>
              </w:rPr>
              <w:t xml:space="preserve">1304.3</w:t>
            </w:r>
          </w:p>
        </w:tc>
        <w:tc>
          <w:tcPr>
            <w:tcW w:type="dxa" w:w="2076"/>
            <w:tcMar>
              <w:top w:type="dxa" w:w="60"/>
              <w:left w:type="dxa" w:w="100"/>
              <w:bottom w:type="dxa" w:w="60"/>
              <w:right w:type="dxa" w:w="100"/>
            </w:tcMar>
            <w:vAlign w:val="center"/>
          </w:tcPr>
          <w:p>
            <w:pPr>
              <w:jc w:val="left"/>
            </w:pPr>
            <w:r>
              <w:rPr>
                <w:b w:val="false"/>
                <w:bCs w:val="false"/>
              </w:rPr>
              <w:t xml:space="preserve">1307.5</w:t>
            </w:r>
          </w:p>
        </w:tc>
      </w:tr>
      <w:tr>
        <w:tc>
          <w:tcPr>
            <w:tcW w:type="dxa" w:w="2800"/>
            <w:tcMar>
              <w:top w:type="dxa" w:w="60"/>
              <w:left w:type="dxa" w:w="100"/>
              <w:bottom w:type="dxa" w:w="60"/>
              <w:right w:type="dxa" w:w="100"/>
            </w:tcMar>
            <w:vAlign w:val="center"/>
          </w:tcPr>
          <w:p>
            <w:pPr>
              <w:jc w:val="left"/>
            </w:pPr>
            <w:r>
              <w:rPr>
                <w:b w:val="false"/>
                <w:bCs w:val="false"/>
              </w:rPr>
              <w:t xml:space="preserve">B: Unstructured</w:t>
            </w:r>
          </w:p>
        </w:tc>
        <w:tc>
          <w:tcPr>
            <w:tcW w:type="dxa" w:w="2075"/>
            <w:tcMar>
              <w:top w:type="dxa" w:w="60"/>
              <w:left w:type="dxa" w:w="100"/>
              <w:bottom w:type="dxa" w:w="60"/>
              <w:right w:type="dxa" w:w="100"/>
            </w:tcMar>
            <w:vAlign w:val="center"/>
          </w:tcPr>
          <w:p>
            <w:pPr>
              <w:jc w:val="left"/>
            </w:pPr>
            <w:r>
              <w:rPr>
                <w:b w:val="false"/>
                <w:bCs w:val="false"/>
              </w:rPr>
              <w:t xml:space="preserve">1263.4</w:t>
            </w:r>
          </w:p>
        </w:tc>
        <w:tc>
          <w:tcPr>
            <w:tcW w:type="dxa" w:w="2075"/>
            <w:tcMar>
              <w:top w:type="dxa" w:w="60"/>
              <w:left w:type="dxa" w:w="100"/>
              <w:bottom w:type="dxa" w:w="60"/>
              <w:right w:type="dxa" w:w="100"/>
            </w:tcMar>
            <w:vAlign w:val="center"/>
          </w:tcPr>
          <w:p>
            <w:pPr>
              <w:jc w:val="left"/>
            </w:pPr>
            <w:r>
              <w:rPr>
                <w:b w:val="false"/>
                <w:bCs w:val="false"/>
              </w:rPr>
              <w:t xml:space="preserve">1283.4</w:t>
            </w:r>
          </w:p>
        </w:tc>
        <w:tc>
          <w:tcPr>
            <w:tcW w:type="dxa" w:w="2076"/>
            <w:tcMar>
              <w:top w:type="dxa" w:w="60"/>
              <w:left w:type="dxa" w:w="100"/>
              <w:bottom w:type="dxa" w:w="60"/>
              <w:right w:type="dxa" w:w="100"/>
            </w:tcMar>
            <w:vAlign w:val="center"/>
          </w:tcPr>
          <w:p>
            <w:pPr>
              <w:jc w:val="left"/>
            </w:pPr>
            <w:r>
              <w:rPr>
                <w:b w:val="false"/>
                <w:bCs w:val="false"/>
              </w:rPr>
              <w:t xml:space="preserve">1299.0</w:t>
            </w:r>
          </w:p>
        </w:tc>
      </w:tr>
      <w:tr>
        <w:tc>
          <w:tcPr>
            <w:tcW w:type="dxa" w:w="2800"/>
            <w:tcMar>
              <w:top w:type="dxa" w:w="60"/>
              <w:left w:type="dxa" w:w="100"/>
              <w:bottom w:type="dxa" w:w="60"/>
              <w:right w:type="dxa" w:w="100"/>
            </w:tcMar>
            <w:vAlign w:val="center"/>
          </w:tcPr>
          <w:p>
            <w:pPr>
              <w:jc w:val="left"/>
            </w:pPr>
            <w:r>
              <w:rPr>
                <w:b w:val="false"/>
                <w:bCs w:val="false"/>
              </w:rPr>
              <w:t xml:space="preserve">C: AR(1)</w:t>
            </w:r>
          </w:p>
        </w:tc>
        <w:tc>
          <w:tcPr>
            <w:tcW w:type="dxa" w:w="2075"/>
            <w:tcMar>
              <w:top w:type="dxa" w:w="60"/>
              <w:left w:type="dxa" w:w="100"/>
              <w:bottom w:type="dxa" w:w="60"/>
              <w:right w:type="dxa" w:w="100"/>
            </w:tcMar>
            <w:vAlign w:val="center"/>
          </w:tcPr>
          <w:p>
            <w:pPr>
              <w:jc w:val="left"/>
            </w:pPr>
            <w:r>
              <w:rPr>
                <w:b w:val="false"/>
                <w:bCs w:val="false"/>
              </w:rPr>
              <w:t xml:space="preserve">1273.5</w:t>
            </w:r>
          </w:p>
        </w:tc>
        <w:tc>
          <w:tcPr>
            <w:tcW w:type="dxa" w:w="2075"/>
            <w:tcMar>
              <w:top w:type="dxa" w:w="60"/>
              <w:left w:type="dxa" w:w="100"/>
              <w:bottom w:type="dxa" w:w="60"/>
              <w:right w:type="dxa" w:w="100"/>
            </w:tcMar>
            <w:vAlign w:val="center"/>
          </w:tcPr>
          <w:p>
            <w:pPr>
              <w:jc w:val="left"/>
            </w:pPr>
            <w:r>
              <w:rPr>
                <w:b w:val="false"/>
                <w:bCs w:val="false"/>
              </w:rPr>
              <w:t xml:space="preserve">1277.5</w:t>
            </w:r>
          </w:p>
        </w:tc>
        <w:tc>
          <w:tcPr>
            <w:tcW w:type="dxa" w:w="2076"/>
            <w:tcMar>
              <w:top w:type="dxa" w:w="60"/>
              <w:left w:type="dxa" w:w="100"/>
              <w:bottom w:type="dxa" w:w="60"/>
              <w:right w:type="dxa" w:w="100"/>
            </w:tcMar>
            <w:vAlign w:val="center"/>
          </w:tcPr>
          <w:p>
            <w:pPr>
              <w:jc w:val="left"/>
            </w:pPr>
            <w:r>
              <w:rPr>
                <w:b w:val="false"/>
                <w:bCs w:val="false"/>
              </w:rPr>
              <w:t xml:space="preserve">1280.6</w:t>
            </w:r>
          </w:p>
        </w:tc>
      </w:tr>
    </w:tbl>
    <w:p>
      <w:pPr>
        <w:spacing w:after="100"/>
      </w:pPr>
    </w:p>
    <w:p>
      <w:pPr>
        <w:spacing w:after="120"/>
      </w:pPr>
      <w:r>
        <w:rPr>
          <w:b/>
          <w:bCs/>
        </w:rPr>
        <w:t xml:space="preserve">（参考）各構造の主要パラメータ：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100"/>
              <w:bottom w:type="dxa" w:w="60"/>
              <w:right w:type="dxa" w:w="100"/>
            </w:tcMar>
            <w:vAlign w:val="center"/>
          </w:tcPr>
          <w:p>
            <w:pPr>
              <w:jc w:val="center"/>
            </w:pPr>
            <w:r>
              <w:rPr>
                <w:b/>
                <w:bCs/>
              </w:rPr>
              <w:t xml:space="preserve">構造</w:t>
            </w:r>
          </w:p>
        </w:tc>
        <w:tc>
          <w:tcPr>
            <w:tcW w:type="dxa" w:w="4513"/>
            <w:shd w:fill="D9E2F3" w:val="clear"/>
            <w:tcMar>
              <w:top w:type="dxa" w:w="60"/>
              <w:left w:type="dxa" w:w="100"/>
              <w:bottom w:type="dxa" w:w="60"/>
              <w:right w:type="dxa" w:w="100"/>
            </w:tcMar>
            <w:vAlign w:val="center"/>
          </w:tcPr>
          <w:p>
            <w:pPr>
              <w:jc w:val="center"/>
            </w:pPr>
            <w:r>
              <w:rPr>
                <w:b/>
                <w:bCs/>
              </w:rPr>
              <w:t xml:space="preserve">パラメータ推定値</w:t>
            </w:r>
          </w:p>
        </w:tc>
      </w:tr>
      <w:tr>
        <w:tc>
          <w:tcPr>
            <w:tcW w:type="dxa" w:w="4513"/>
            <w:tcMar>
              <w:top w:type="dxa" w:w="60"/>
              <w:left w:type="dxa" w:w="100"/>
              <w:bottom w:type="dxa" w:w="60"/>
              <w:right w:type="dxa" w:w="100"/>
            </w:tcMar>
            <w:vAlign w:val="center"/>
          </w:tcPr>
          <w:p>
            <w:pPr>
              <w:jc w:val="left"/>
            </w:pPr>
            <w:r>
              <w:rPr>
                <w:b w:val="false"/>
                <w:bCs w:val="false"/>
              </w:rPr>
              <w:t xml:space="preserve">A: Compound Symmetry</w:t>
            </w:r>
          </w:p>
        </w:tc>
        <w:tc>
          <w:tcPr>
            <w:tcW w:type="dxa" w:w="4513"/>
            <w:tcMar>
              <w:top w:type="dxa" w:w="60"/>
              <w:left w:type="dxa" w:w="100"/>
              <w:bottom w:type="dxa" w:w="60"/>
              <w:right w:type="dxa" w:w="100"/>
            </w:tcMar>
            <w:vAlign w:val="center"/>
          </w:tcPr>
          <w:p>
            <w:pPr>
              <w:jc w:val="left"/>
            </w:pPr>
            <w:r>
              <w:rPr>
                <w:b w:val="false"/>
                <w:bCs w:val="false"/>
              </w:rPr>
              <w:t xml:space="preserve">CS（時点間共通の共分散）=904.81（p=.0002）、Residual=375.90</w:t>
            </w:r>
          </w:p>
        </w:tc>
      </w:tr>
      <w:tr>
        <w:tc>
          <w:tcPr>
            <w:tcW w:type="dxa" w:w="4513"/>
            <w:tcMar>
              <w:top w:type="dxa" w:w="60"/>
              <w:left w:type="dxa" w:w="100"/>
              <w:bottom w:type="dxa" w:w="60"/>
              <w:right w:type="dxa" w:w="100"/>
            </w:tcMar>
            <w:vAlign w:val="center"/>
          </w:tcPr>
          <w:p>
            <w:pPr>
              <w:jc w:val="left"/>
            </w:pPr>
            <w:r>
              <w:rPr>
                <w:b w:val="false"/>
                <w:bCs w:val="false"/>
              </w:rPr>
              <w:t xml:space="preserve">B: Unstructured</w:t>
            </w:r>
          </w:p>
        </w:tc>
        <w:tc>
          <w:tcPr>
            <w:tcW w:type="dxa" w:w="4513"/>
            <w:tcMar>
              <w:top w:type="dxa" w:w="60"/>
              <w:left w:type="dxa" w:w="100"/>
              <w:bottom w:type="dxa" w:w="60"/>
              <w:right w:type="dxa" w:w="100"/>
            </w:tcMar>
            <w:vAlign w:val="center"/>
          </w:tcPr>
          <w:p>
            <w:pPr>
              <w:jc w:val="left"/>
            </w:pPr>
            <w:r>
              <w:rPr>
                <w:b w:val="false"/>
                <w:bCs w:val="false"/>
              </w:rPr>
              <w:t xml:space="preserve">10個の分散・共分散パラメータをすべて自由推定（対角=1120〜1416、非対角=564〜1092）</w:t>
            </w:r>
          </w:p>
        </w:tc>
      </w:tr>
      <w:tr>
        <w:tc>
          <w:tcPr>
            <w:tcW w:type="dxa" w:w="4513"/>
            <w:tcMar>
              <w:top w:type="dxa" w:w="60"/>
              <w:left w:type="dxa" w:w="100"/>
              <w:bottom w:type="dxa" w:w="60"/>
              <w:right w:type="dxa" w:w="100"/>
            </w:tcMar>
            <w:vAlign w:val="center"/>
          </w:tcPr>
          <w:p>
            <w:pPr>
              <w:jc w:val="left"/>
            </w:pPr>
            <w:r>
              <w:rPr>
                <w:b w:val="false"/>
                <w:bCs w:val="false"/>
              </w:rPr>
              <w:t xml:space="preserve">C: AR(1)</w:t>
            </w:r>
          </w:p>
        </w:tc>
        <w:tc>
          <w:tcPr>
            <w:tcW w:type="dxa" w:w="4513"/>
            <w:tcMar>
              <w:top w:type="dxa" w:w="60"/>
              <w:left w:type="dxa" w:w="100"/>
              <w:bottom w:type="dxa" w:w="60"/>
              <w:right w:type="dxa" w:w="100"/>
            </w:tcMar>
            <w:vAlign w:val="center"/>
          </w:tcPr>
          <w:p>
            <w:pPr>
              <w:jc w:val="left"/>
            </w:pPr>
            <w:r>
              <w:rPr>
                <w:b w:val="false"/>
                <w:bCs w:val="false"/>
              </w:rPr>
              <w:t xml:space="preserve">AR(1)相関=0.825（p&lt;.0001）、Residual=1323.77</w:t>
            </w:r>
          </w:p>
        </w:tc>
      </w:tr>
    </w:tbl>
    <w:p>
      <w:pPr>
        <w:spacing w:after="100"/>
      </w:pPr>
    </w:p>
    <w:p>
      <w:pPr>
        <w:spacing w:after="140"/>
      </w:pPr>
      <w:r>
        <w:rPr>
          <w:b/>
          <w:bCs/>
          <w:color w:val="1F4E79"/>
        </w:rPr>
        <w:t xml:space="preserve">Q1.　</w:t>
      </w:r>
      <w:r>
        <w:t xml:space="preserve">BICが最小なのはC（AR(1)、BIC=1280.6）。Aは最も単純（パラメータ2個）だがBICは最大に近く、Bは最も当てはまりが良い（-2LL最小）がパラメータ数（10個）が多くBICでは不利になる。BICはパラメータ数にペナルティを課すため、AR(1)が「当てはまりの良さ」と「簡潔さ」のバランスで最も優れていると判断できる。</w:t>
      </w:r>
    </w:p>
    <w:p>
      <w:pPr>
        <w:spacing w:after="140"/>
      </w:pPr>
      <w:r>
        <w:rPr>
          <w:b/>
          <w:bCs/>
          <w:color w:val="1F4E79"/>
        </w:rPr>
        <w:t xml:space="preserve">Q2.　</w:t>
      </w:r>
      <w:r>
        <w:t xml:space="preserve">Compound Symmetryの「どの時点間でも相関が一定」という仮定は、対義語呼称課題のような認知能力の縦断データにはやや非現実的である。一般に、時間的に近い時点同士（例：week0とweek1）の方が、離れた時点同士（week0とweek3）より相関が強くなることが多く、CSはこれを捉えられない。</w:t>
      </w:r>
    </w:p>
    <w:p>
      <w:pPr>
        <w:spacing w:after="140"/>
      </w:pPr>
      <w:r>
        <w:rPr>
          <w:b/>
          <w:bCs/>
          <w:color w:val="1F4E79"/>
        </w:rPr>
        <w:t xml:space="preserve">Q3.　</w:t>
      </w:r>
      <w:r>
        <w:t xml:space="preserve">Unstructuredはどんな相関パターンにも対応できる最も柔軟な構造だが、パラメータ数が多く（今回は10個）、標本サイズが小さい場合は推定が不安定になりやすい。AR(1)は「時間的に近い時点ほど相関が高い」という理論的に妥当な仮定を、わずか1パラメータ（相関係数0.825）で表現でき、実用上は簡潔さと妥当性のバランスに優れる。今回のBICの結果もAR(1)を支持している。</w:t>
      </w:r>
    </w:p>
    <w:p>
      <w:pPr>
        <w:spacing w:after="200"/>
      </w:pPr>
    </w:p>
    <w:p>
      <w:pPr>
        <w:pStyle w:val="Heading1"/>
        <w:spacing w:after="150" w:before="300"/>
      </w:pPr>
      <w:r>
        <w:t xml:space="preserve">モデル比較 ―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rPr>
          <w:tblHeader/>
        </w:trPr>
        <w:tc>
          <w:tcPr>
            <w:tcW w:type="dxa" w:w="3200"/>
            <w:shd w:fill="D9E2F3" w:val="clear"/>
            <w:tcMar>
              <w:top w:type="dxa" w:w="60"/>
              <w:left w:type="dxa" w:w="100"/>
              <w:bottom w:type="dxa" w:w="60"/>
              <w:right w:type="dxa" w:w="100"/>
            </w:tcMar>
            <w:vAlign w:val="center"/>
          </w:tcPr>
          <w:p>
            <w:pPr>
              <w:jc w:val="center"/>
            </w:pPr>
            <w:r>
              <w:rPr>
                <w:b/>
                <w:bCs/>
              </w:rPr>
              <w:t xml:space="preserve">モデル</w:t>
            </w:r>
          </w:p>
        </w:tc>
        <w:tc>
          <w:tcPr>
            <w:tcW w:type="dxa" w:w="1942"/>
            <w:shd w:fill="D9E2F3" w:val="clear"/>
            <w:tcMar>
              <w:top w:type="dxa" w:w="60"/>
              <w:left w:type="dxa" w:w="100"/>
              <w:bottom w:type="dxa" w:w="60"/>
              <w:right w:type="dxa" w:w="100"/>
            </w:tcMar>
            <w:vAlign w:val="center"/>
          </w:tcPr>
          <w:p>
            <w:pPr>
              <w:jc w:val="center"/>
            </w:pPr>
            <w:r>
              <w:rPr>
                <w:b/>
                <w:bCs/>
              </w:rPr>
              <w:t xml:space="preserve">AIC</w:t>
            </w:r>
          </w:p>
        </w:tc>
        <w:tc>
          <w:tcPr>
            <w:tcW w:type="dxa" w:w="1942"/>
            <w:shd w:fill="D9E2F3" w:val="clear"/>
            <w:tcMar>
              <w:top w:type="dxa" w:w="60"/>
              <w:left w:type="dxa" w:w="100"/>
              <w:bottom w:type="dxa" w:w="60"/>
              <w:right w:type="dxa" w:w="100"/>
            </w:tcMar>
            <w:vAlign w:val="center"/>
          </w:tcPr>
          <w:p>
            <w:pPr>
              <w:jc w:val="center"/>
            </w:pPr>
            <w:r>
              <w:rPr>
                <w:b/>
                <w:bCs/>
              </w:rPr>
              <w:t xml:space="preserve">BIC</w:t>
            </w:r>
          </w:p>
        </w:tc>
        <w:tc>
          <w:tcPr>
            <w:tcW w:type="dxa" w:w="1942"/>
            <w:shd w:fill="D9E2F3" w:val="clear"/>
            <w:tcMar>
              <w:top w:type="dxa" w:w="60"/>
              <w:left w:type="dxa" w:w="100"/>
              <w:bottom w:type="dxa" w:w="60"/>
              <w:right w:type="dxa" w:w="100"/>
            </w:tcMar>
            <w:vAlign w:val="center"/>
          </w:tcPr>
          <w:p>
            <w:pPr>
              <w:jc w:val="center"/>
            </w:pPr>
            <w:r>
              <w:rPr>
                <w:b/>
                <w:bCs/>
              </w:rPr>
              <w:t xml:space="preserve">パラメータ数（分散・共分散関連）</w:t>
            </w:r>
          </w:p>
        </w:tc>
      </w:tr>
      <w:tr>
        <w:tc>
          <w:tcPr>
            <w:tcW w:type="dxa" w:w="3200"/>
            <w:tcMar>
              <w:top w:type="dxa" w:w="60"/>
              <w:left w:type="dxa" w:w="100"/>
              <w:bottom w:type="dxa" w:w="60"/>
              <w:right w:type="dxa" w:w="100"/>
            </w:tcMar>
            <w:vAlign w:val="center"/>
          </w:tcPr>
          <w:p>
            <w:pPr>
              <w:jc w:val="left"/>
            </w:pPr>
            <w:r>
              <w:rPr>
                <w:b w:val="false"/>
                <w:bCs w:val="false"/>
              </w:rPr>
              <w:t xml:space="preserve">Model 1（無条件成長）</w:t>
            </w:r>
          </w:p>
        </w:tc>
        <w:tc>
          <w:tcPr>
            <w:tcW w:type="dxa" w:w="1942"/>
            <w:tcMar>
              <w:top w:type="dxa" w:w="60"/>
              <w:left w:type="dxa" w:w="100"/>
              <w:bottom w:type="dxa" w:w="60"/>
              <w:right w:type="dxa" w:w="100"/>
            </w:tcMar>
            <w:vAlign w:val="center"/>
          </w:tcPr>
          <w:p>
            <w:pPr>
              <w:jc w:val="left"/>
            </w:pPr>
            <w:r>
              <w:rPr>
                <w:b w:val="false"/>
                <w:bCs w:val="false"/>
              </w:rPr>
              <w:t xml:space="preserve">1274.8</w:t>
            </w:r>
          </w:p>
        </w:tc>
        <w:tc>
          <w:tcPr>
            <w:tcW w:type="dxa" w:w="1942"/>
            <w:tcMar>
              <w:top w:type="dxa" w:w="60"/>
              <w:left w:type="dxa" w:w="100"/>
              <w:bottom w:type="dxa" w:w="60"/>
              <w:right w:type="dxa" w:w="100"/>
            </w:tcMar>
            <w:vAlign w:val="center"/>
          </w:tcPr>
          <w:p>
            <w:pPr>
              <w:jc w:val="left"/>
            </w:pPr>
            <w:r>
              <w:rPr>
                <w:b w:val="false"/>
                <w:bCs w:val="false"/>
              </w:rPr>
              <w:t xml:space="preserve">1281.0</w:t>
            </w:r>
          </w:p>
        </w:tc>
        <w:tc>
          <w:tcPr>
            <w:tcW w:type="dxa" w:w="1942"/>
            <w:tcMar>
              <w:top w:type="dxa" w:w="60"/>
              <w:left w:type="dxa" w:w="100"/>
              <w:bottom w:type="dxa" w:w="60"/>
              <w:right w:type="dxa" w:w="100"/>
            </w:tcMar>
            <w:vAlign w:val="center"/>
          </w:tcPr>
          <w:p>
            <w:pPr>
              <w:jc w:val="left"/>
            </w:pPr>
            <w:r>
              <w:rPr>
                <w:b w:val="false"/>
                <w:bCs w:val="false"/>
              </w:rPr>
              <w:t xml:space="preserve">3（Var(Int), Var(time), Cov）+Residual</w:t>
            </w:r>
          </w:p>
        </w:tc>
      </w:tr>
      <w:tr>
        <w:tc>
          <w:tcPr>
            <w:tcW w:type="dxa" w:w="3200"/>
            <w:tcMar>
              <w:top w:type="dxa" w:w="60"/>
              <w:left w:type="dxa" w:w="100"/>
              <w:bottom w:type="dxa" w:w="60"/>
              <w:right w:type="dxa" w:w="100"/>
            </w:tcMar>
            <w:vAlign w:val="center"/>
          </w:tcPr>
          <w:p>
            <w:pPr>
              <w:jc w:val="left"/>
            </w:pPr>
            <w:r>
              <w:rPr>
                <w:b w:val="false"/>
                <w:bCs w:val="false"/>
              </w:rPr>
              <w:t xml:space="preserve">Model 2（+ccovar交互作用）</w:t>
            </w:r>
          </w:p>
        </w:tc>
        <w:tc>
          <w:tcPr>
            <w:tcW w:type="dxa" w:w="1942"/>
            <w:tcMar>
              <w:top w:type="dxa" w:w="60"/>
              <w:left w:type="dxa" w:w="100"/>
              <w:bottom w:type="dxa" w:w="60"/>
              <w:right w:type="dxa" w:w="100"/>
            </w:tcMar>
            <w:vAlign w:val="center"/>
          </w:tcPr>
          <w:p>
            <w:pPr>
              <w:jc w:val="left"/>
            </w:pPr>
            <w:r>
              <w:rPr>
                <w:b w:val="false"/>
                <w:bCs w:val="false"/>
              </w:rPr>
              <w:t xml:space="preserve">1268.3</w:t>
            </w:r>
          </w:p>
        </w:tc>
        <w:tc>
          <w:tcPr>
            <w:tcW w:type="dxa" w:w="1942"/>
            <w:tcMar>
              <w:top w:type="dxa" w:w="60"/>
              <w:left w:type="dxa" w:w="100"/>
              <w:bottom w:type="dxa" w:w="60"/>
              <w:right w:type="dxa" w:w="100"/>
            </w:tcMar>
            <w:vAlign w:val="center"/>
          </w:tcPr>
          <w:p>
            <w:pPr>
              <w:jc w:val="left"/>
            </w:pPr>
            <w:r>
              <w:rPr>
                <w:b w:val="false"/>
                <w:bCs w:val="false"/>
              </w:rPr>
              <w:t xml:space="preserve">1274.5</w:t>
            </w:r>
          </w:p>
        </w:tc>
        <w:tc>
          <w:tcPr>
            <w:tcW w:type="dxa" w:w="1942"/>
            <w:tcMar>
              <w:top w:type="dxa" w:w="60"/>
              <w:left w:type="dxa" w:w="100"/>
              <w:bottom w:type="dxa" w:w="60"/>
              <w:right w:type="dxa" w:w="100"/>
            </w:tcMar>
            <w:vAlign w:val="center"/>
          </w:tcPr>
          <w:p>
            <w:pPr>
              <w:jc w:val="left"/>
            </w:pPr>
            <w:r>
              <w:rPr>
                <w:b w:val="false"/>
                <w:bCs w:val="false"/>
              </w:rPr>
              <w:t xml:space="preserve">同上（固定効果が2つ増加）</w:t>
            </w:r>
          </w:p>
        </w:tc>
      </w:tr>
      <w:tr>
        <w:tc>
          <w:tcPr>
            <w:tcW w:type="dxa" w:w="3200"/>
            <w:tcMar>
              <w:top w:type="dxa" w:w="60"/>
              <w:left w:type="dxa" w:w="100"/>
              <w:bottom w:type="dxa" w:w="60"/>
              <w:right w:type="dxa" w:w="100"/>
            </w:tcMar>
            <w:vAlign w:val="center"/>
          </w:tcPr>
          <w:p>
            <w:pPr>
              <w:jc w:val="left"/>
            </w:pPr>
            <w:r>
              <w:rPr>
                <w:b w:val="false"/>
                <w:bCs w:val="false"/>
              </w:rPr>
              <w:t xml:space="preserve">Model 3-A（CS）</w:t>
            </w:r>
          </w:p>
        </w:tc>
        <w:tc>
          <w:tcPr>
            <w:tcW w:type="dxa" w:w="1942"/>
            <w:tcMar>
              <w:top w:type="dxa" w:w="60"/>
              <w:left w:type="dxa" w:w="100"/>
              <w:bottom w:type="dxa" w:w="60"/>
              <w:right w:type="dxa" w:w="100"/>
            </w:tcMar>
            <w:vAlign w:val="center"/>
          </w:tcPr>
          <w:p>
            <w:pPr>
              <w:jc w:val="left"/>
            </w:pPr>
            <w:r>
              <w:rPr>
                <w:b w:val="false"/>
                <w:bCs w:val="false"/>
              </w:rPr>
              <w:t xml:space="preserve">1304.3</w:t>
            </w:r>
          </w:p>
        </w:tc>
        <w:tc>
          <w:tcPr>
            <w:tcW w:type="dxa" w:w="1942"/>
            <w:tcMar>
              <w:top w:type="dxa" w:w="60"/>
              <w:left w:type="dxa" w:w="100"/>
              <w:bottom w:type="dxa" w:w="60"/>
              <w:right w:type="dxa" w:w="100"/>
            </w:tcMar>
            <w:vAlign w:val="center"/>
          </w:tcPr>
          <w:p>
            <w:pPr>
              <w:jc w:val="left"/>
            </w:pPr>
            <w:r>
              <w:rPr>
                <w:b w:val="false"/>
                <w:bCs w:val="false"/>
              </w:rPr>
              <w:t xml:space="preserve">1307.5</w:t>
            </w:r>
          </w:p>
        </w:tc>
        <w:tc>
          <w:tcPr>
            <w:tcW w:type="dxa" w:w="1942"/>
            <w:tcMar>
              <w:top w:type="dxa" w:w="60"/>
              <w:left w:type="dxa" w:w="100"/>
              <w:bottom w:type="dxa" w:w="60"/>
              <w:right w:type="dxa" w:w="100"/>
            </w:tcMar>
            <w:vAlign w:val="center"/>
          </w:tcPr>
          <w:p>
            <w:pPr>
              <w:jc w:val="left"/>
            </w:pPr>
            <w:r>
              <w:rPr>
                <w:b w:val="false"/>
                <w:bCs w:val="false"/>
              </w:rPr>
              <w:t xml:space="preserve">2（CS, Residual）</w:t>
            </w:r>
          </w:p>
        </w:tc>
      </w:tr>
      <w:tr>
        <w:tc>
          <w:tcPr>
            <w:tcW w:type="dxa" w:w="3200"/>
            <w:tcMar>
              <w:top w:type="dxa" w:w="60"/>
              <w:left w:type="dxa" w:w="100"/>
              <w:bottom w:type="dxa" w:w="60"/>
              <w:right w:type="dxa" w:w="100"/>
            </w:tcMar>
            <w:vAlign w:val="center"/>
          </w:tcPr>
          <w:p>
            <w:pPr>
              <w:jc w:val="left"/>
            </w:pPr>
            <w:r>
              <w:rPr>
                <w:b w:val="false"/>
                <w:bCs w:val="false"/>
              </w:rPr>
              <w:t xml:space="preserve">Model 3-B（UN）</w:t>
            </w:r>
          </w:p>
        </w:tc>
        <w:tc>
          <w:tcPr>
            <w:tcW w:type="dxa" w:w="1942"/>
            <w:tcMar>
              <w:top w:type="dxa" w:w="60"/>
              <w:left w:type="dxa" w:w="100"/>
              <w:bottom w:type="dxa" w:w="60"/>
              <w:right w:type="dxa" w:w="100"/>
            </w:tcMar>
            <w:vAlign w:val="center"/>
          </w:tcPr>
          <w:p>
            <w:pPr>
              <w:jc w:val="left"/>
            </w:pPr>
            <w:r>
              <w:rPr>
                <w:b w:val="false"/>
                <w:bCs w:val="false"/>
              </w:rPr>
              <w:t xml:space="preserve">1283.4</w:t>
            </w:r>
          </w:p>
        </w:tc>
        <w:tc>
          <w:tcPr>
            <w:tcW w:type="dxa" w:w="1942"/>
            <w:tcMar>
              <w:top w:type="dxa" w:w="60"/>
              <w:left w:type="dxa" w:w="100"/>
              <w:bottom w:type="dxa" w:w="60"/>
              <w:right w:type="dxa" w:w="100"/>
            </w:tcMar>
            <w:vAlign w:val="center"/>
          </w:tcPr>
          <w:p>
            <w:pPr>
              <w:jc w:val="left"/>
            </w:pPr>
            <w:r>
              <w:rPr>
                <w:b w:val="false"/>
                <w:bCs w:val="false"/>
              </w:rPr>
              <w:t xml:space="preserve">1299.0</w:t>
            </w:r>
          </w:p>
        </w:tc>
        <w:tc>
          <w:tcPr>
            <w:tcW w:type="dxa" w:w="1942"/>
            <w:tcMar>
              <w:top w:type="dxa" w:w="60"/>
              <w:left w:type="dxa" w:w="100"/>
              <w:bottom w:type="dxa" w:w="60"/>
              <w:right w:type="dxa" w:w="100"/>
            </w:tcMar>
            <w:vAlign w:val="center"/>
          </w:tcPr>
          <w:p>
            <w:pPr>
              <w:jc w:val="left"/>
            </w:pPr>
            <w:r>
              <w:rPr>
                <w:b w:val="false"/>
                <w:bCs w:val="false"/>
              </w:rPr>
              <w:t xml:space="preserve">10</w:t>
            </w:r>
          </w:p>
        </w:tc>
      </w:tr>
      <w:tr>
        <w:tc>
          <w:tcPr>
            <w:tcW w:type="dxa" w:w="3200"/>
            <w:tcMar>
              <w:top w:type="dxa" w:w="60"/>
              <w:left w:type="dxa" w:w="100"/>
              <w:bottom w:type="dxa" w:w="60"/>
              <w:right w:type="dxa" w:w="100"/>
            </w:tcMar>
            <w:vAlign w:val="center"/>
          </w:tcPr>
          <w:p>
            <w:pPr>
              <w:jc w:val="left"/>
            </w:pPr>
            <w:r>
              <w:rPr>
                <w:b w:val="false"/>
                <w:bCs w:val="false"/>
              </w:rPr>
              <w:t xml:space="preserve">Model 3-C（AR(1)）</w:t>
            </w:r>
          </w:p>
        </w:tc>
        <w:tc>
          <w:tcPr>
            <w:tcW w:type="dxa" w:w="1942"/>
            <w:tcMar>
              <w:top w:type="dxa" w:w="60"/>
              <w:left w:type="dxa" w:w="100"/>
              <w:bottom w:type="dxa" w:w="60"/>
              <w:right w:type="dxa" w:w="100"/>
            </w:tcMar>
            <w:vAlign w:val="center"/>
          </w:tcPr>
          <w:p>
            <w:pPr>
              <w:jc w:val="left"/>
            </w:pPr>
            <w:r>
              <w:rPr>
                <w:b w:val="false"/>
                <w:bCs w:val="false"/>
              </w:rPr>
              <w:t xml:space="preserve">1277.5</w:t>
            </w:r>
          </w:p>
        </w:tc>
        <w:tc>
          <w:tcPr>
            <w:tcW w:type="dxa" w:w="1942"/>
            <w:tcMar>
              <w:top w:type="dxa" w:w="60"/>
              <w:left w:type="dxa" w:w="100"/>
              <w:bottom w:type="dxa" w:w="60"/>
              <w:right w:type="dxa" w:w="100"/>
            </w:tcMar>
            <w:vAlign w:val="center"/>
          </w:tcPr>
          <w:p>
            <w:pPr>
              <w:jc w:val="left"/>
            </w:pPr>
            <w:r>
              <w:rPr>
                <w:b w:val="false"/>
                <w:bCs w:val="false"/>
              </w:rPr>
              <w:t xml:space="preserve">1280.6</w:t>
            </w:r>
          </w:p>
        </w:tc>
        <w:tc>
          <w:tcPr>
            <w:tcW w:type="dxa" w:w="1942"/>
            <w:tcMar>
              <w:top w:type="dxa" w:w="60"/>
              <w:left w:type="dxa" w:w="100"/>
              <w:bottom w:type="dxa" w:w="60"/>
              <w:right w:type="dxa" w:w="100"/>
            </w:tcMar>
            <w:vAlign w:val="center"/>
          </w:tcPr>
          <w:p>
            <w:pPr>
              <w:jc w:val="left"/>
            </w:pPr>
            <w:r>
              <w:rPr>
                <w:b w:val="false"/>
                <w:bCs w:val="false"/>
              </w:rPr>
              <w:t xml:space="preserve">2（AR(1), Residual）</w:t>
            </w:r>
          </w:p>
        </w:tc>
      </w:tr>
    </w:tbl>
    <w:p>
      <w:pPr>
        <w:spacing w:after="100"/>
      </w:pPr>
    </w:p>
    <w:p>
      <w:pPr>
        <w:spacing w:after="140"/>
      </w:pPr>
      <w:r>
        <w:rPr>
          <w:b/>
          <w:bCs/>
          <w:color w:val="1F4E79"/>
        </w:rPr>
        <w:t xml:space="preserve">Q1.　</w:t>
      </w:r>
      <w:r>
        <w:t xml:space="preserve">Model 2の方がAIC（1268.3&lt;1274.8）・BIC（1274.5&lt;1281.0）ともに小さく、当てはまりが良い。ccovarとtime*ccovarを加える意義はある（特にtime*ccovarはp=.0087で有意）。</w:t>
      </w:r>
    </w:p>
    <w:p>
      <w:pPr>
        <w:spacing w:after="140"/>
      </w:pPr>
      <w:r>
        <w:rPr>
          <w:b/>
          <w:bCs/>
          <w:color w:val="1F4E79"/>
        </w:rPr>
        <w:t xml:space="preserve">Q2.　</w:t>
      </w:r>
      <w:r>
        <w:t xml:space="preserve">Model 1はRandom Effects（ランダム切片・傾き）による非構造共分散で、個人間（Level-2）のばらつきを2×2の共分散行列（Var(Intercept), Var(time), Cov）として表現する。Model 3-Bはランダム効果を使わず、Repeated Effectsにより時点間（Level-1、4×4）の残差相関を非構造として表現する。前者は「個人ごとに異なる成長曲線」をモデル化し、後者は「同一時点間の測定誤差の相関パターン」をモデル化しており、階層のどの水準のばらつきを表現しているかが異なる。</w:t>
      </w:r>
    </w:p>
    <w:p>
      <w:pPr>
        <w:spacing w:after="200"/>
      </w:pPr>
    </w:p>
    <w:p>
      <w:pPr>
        <w:pStyle w:val="Heading1"/>
        <w:spacing w:after="150" w:before="300"/>
      </w:pPr>
      <w:r>
        <w:t xml:space="preserve">発展課題（考察）― 回答例</w:t>
      </w:r>
    </w:p>
    <w:p>
      <w:pPr>
        <w:spacing w:after="150"/>
      </w:pPr>
      <w:r>
        <w:rPr>
          <w:i/>
          <w:iCs/>
          <w:color w:val="555555"/>
          <w:sz w:val="20"/>
          <w:szCs w:val="20"/>
        </w:rPr>
        <w:t xml:space="preserve">以下は「唯一の正解」ではなく、議論の出発点となる回答例です。</w:t>
      </w:r>
    </w:p>
    <w:p>
      <w:pPr>
        <w:pStyle w:val="Heading2"/>
        <w:spacing w:after="100" w:before="200"/>
      </w:pPr>
      <w:r>
        <w:t xml:space="preserve">課題1：初期値と変化率の関係の応用</w:t>
      </w:r>
    </w:p>
    <w:p>
      <w:pPr>
        <w:spacing w:after="120"/>
      </w:pPr>
      <w:r>
        <w:t xml:space="preserve">回答例（脳卒中データの場合）：急性期の重症度（NIHSSなど）が高い患者ほど、その後の機能回復の速度（例えばmRSやBarthel Indexの改善速度）は初期の重症度に応じて非線形的に変化しうる。仮説としては、中等度の重症度の患者で回復速度が最大となり、非常に重症または軽症の患者では回復速度（傾き）が相対的に緩やかになる、といった関係が考えられる。これはCov(Intercept, time)が単純な線形の負の関係だけでなく、天井効果・床効果を伴う可能性を示唆し、二次項や重症度カテゴリによる層別分析が必要になるかもしれない。</w:t>
      </w:r>
    </w:p>
    <w:p>
      <w:pPr>
        <w:spacing w:after="80"/>
      </w:pPr>
    </w:p>
    <w:p>
      <w:pPr>
        <w:pStyle w:val="Heading2"/>
        <w:spacing w:after="100" w:before="200"/>
      </w:pPr>
      <w:r>
        <w:t xml:space="preserve">課題2：人工データで学ぶことの利点と限界</w:t>
      </w:r>
    </w:p>
    <w:p>
      <w:pPr>
        <w:spacing w:after="120"/>
      </w:pPr>
      <w:r>
        <w:t xml:space="preserve">回答例：人工データの利点は、真のパラメータ構造が既知（あるいは単純化されている）ため、モデルの挙動と統計的概念を「正解が分かった状態」で学べる点にある。学生はモデルの誤指定がどのように結果を歪めるかを、実データのノイズに惑わされずに観察できる。一方で限界として、実際の臨床・教育データに特有の欠測パターン（MCAR/MAR/MNAR）、外れ値、非線形性、測定誤差の複雑な構造などは再現されにくく、モデルの理論的挙動の理解から実データ解析への橋渡しには、別途、実データを用いた演習が必要になる。</w:t>
      </w:r>
    </w:p>
    <w:p>
      <w:pPr>
        <w:spacing w:after="80"/>
      </w:pPr>
    </w:p>
    <w:p>
      <w:pPr>
        <w:pStyle w:val="Heading2"/>
        <w:spacing w:after="100" w:before="200"/>
      </w:pPr>
      <w:r>
        <w:t xml:space="preserve">課題3：測定間隔が不揃いな縦断データにおける誤差構造</w:t>
      </w:r>
    </w:p>
    <w:p>
      <w:pPr>
        <w:spacing w:after="120"/>
      </w:pPr>
      <w:r>
        <w:t xml:space="preserve">回答例：来院間隔が患者ごとに異なる臨床データでは、AR(1)のような「離散的な等間隔の時点」を前提とする構造はそのままでは適用できない。連続時間版のAR(1)（Spatial Power構造、SASのTYPE=SP(POW)相当）を用いることで、実際の経過日数に応じて相関を減衰させるモデルが必要になる。また、測定間隔の不揃いさ自体が、患者の状態悪化や来院可能性と関連している場合（informative observation times）、単純な誤差構造の選択だけでなく、観察過程そのもののモデル化も検討する必要がある。</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2026-07-13T13:29:19.804Z</dcterms:created>
  <dcterms:modified xsi:type="dcterms:W3CDTF">2026-07-13T13:29:19.805Z</dcterms:modified>
</cp:coreProperties>
</file>

<file path=docProps/custom.xml><?xml version="1.0" encoding="utf-8"?>
<Properties xmlns="http://schemas.openxmlformats.org/officeDocument/2006/custom-properties" xmlns:vt="http://schemas.openxmlformats.org/officeDocument/2006/docPropsVTypes"/>
</file>