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JMP演習：マルチレベルモデル入門</w:t>
      </w:r>
    </w:p>
    <w:p>
      <w:pPr>
        <w:spacing w:after="40"/>
        <w:jc w:val="center"/>
      </w:pPr>
      <w:r>
        <w:rPr>
          <w:b/>
          <w:bCs/>
          <w:color w:val="C00000"/>
          <w:sz w:val="26"/>
          <w:szCs w:val="26"/>
        </w:rPr>
        <w:t xml:space="preserve">解答編（指導者用）</w:t>
      </w:r>
    </w:p>
    <w:p>
      <w:pPr>
        <w:spacing w:after="300"/>
        <w:jc w:val="center"/>
      </w:pPr>
      <w:r>
        <w:rPr>
          <w:color w:val="555555"/>
          <w:sz w:val="20"/>
          <w:szCs w:val="20"/>
        </w:rPr>
        <w:t xml:space="preserve">High School and Beyond (HSB) データ／SAS PROC MIXED (REML, DDFM=BW) の結果に基づく</w:t>
      </w:r>
    </w:p>
    <w:p>
      <w:pPr>
        <w:spacing w:after="150"/>
      </w:pPr>
      <w:r>
        <w:rPr>
          <w:i/>
          <w:iCs/>
          <w:color w:val="555555"/>
          <w:sz w:val="20"/>
          <w:szCs w:val="20"/>
        </w:rPr>
        <w:t xml:space="preserve">数値は Singer の解説（SAS PROC MIXED, REML, containment/between-within DF）に基づきます。JMP Mixed Model personality は既定でKenward-Roger DF法を用いるため、標準誤差・p値・自由度がわずかに異なる場合がありますが、点推定値と結論は一致します。</w:t>
      </w:r>
    </w:p>
    <w:p>
      <w:pPr>
        <w:pStyle w:val="Heading1"/>
        <w:spacing w:after="150" w:before="300"/>
      </w:pPr>
      <w:r>
        <w:t xml:space="preserve">Step 1：無条件モデル（Model 1）―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shd w:fill="D9E2F3" w:val="clear"/>
            <w:tcMar>
              <w:top w:type="dxa" w:w="60"/>
              <w:left w:type="dxa" w:w="100"/>
              <w:bottom w:type="dxa" w:w="60"/>
              <w:right w:type="dxa" w:w="100"/>
            </w:tcMar>
            <w:vAlign w:val="center"/>
          </w:tcPr>
          <w:p>
            <w:pPr>
              <w:jc w:val="center"/>
            </w:pPr>
            <w:r>
              <w:rPr>
                <w:b/>
                <w:bCs/>
              </w:rPr>
              <w:t xml:space="preserve">パラメータ</w:t>
            </w:r>
          </w:p>
        </w:tc>
        <w:tc>
          <w:tcPr>
            <w:tcW w:type="dxa" w:w="2513"/>
            <w:shd w:fill="D9E2F3" w:val="clear"/>
            <w:tcMar>
              <w:top w:type="dxa" w:w="60"/>
              <w:left w:type="dxa" w:w="100"/>
              <w:bottom w:type="dxa" w:w="60"/>
              <w:right w:type="dxa" w:w="100"/>
            </w:tcMar>
            <w:vAlign w:val="center"/>
          </w:tcPr>
          <w:p>
            <w:pPr>
              <w:jc w:val="center"/>
            </w:pPr>
            <w:r>
              <w:rPr>
                <w:b/>
                <w:bCs/>
              </w:rPr>
              <w:t xml:space="preserve">推定値</w:t>
            </w:r>
          </w:p>
        </w:tc>
        <w:tc>
          <w:tcPr>
            <w:tcW w:type="dxa" w:w="2513"/>
            <w:shd w:fill="D9E2F3" w:val="clear"/>
            <w:tcMar>
              <w:top w:type="dxa" w:w="60"/>
              <w:left w:type="dxa" w:w="100"/>
              <w:bottom w:type="dxa" w:w="60"/>
              <w:right w:type="dxa" w:w="100"/>
            </w:tcMar>
            <w:vAlign w:val="center"/>
          </w:tcPr>
          <w:p>
            <w:pPr>
              <w:jc w:val="center"/>
            </w:pPr>
            <w:r>
              <w:rPr>
                <w:b/>
                <w:bCs/>
              </w:rPr>
              <w:t xml:space="preserve">備考</w:t>
            </w:r>
          </w:p>
        </w:tc>
      </w:tr>
      <w:tr>
        <w:tc>
          <w:tcPr>
            <w:tcW w:type="dxa" w:w="4000"/>
            <w:tcMar>
              <w:top w:type="dxa" w:w="60"/>
              <w:left w:type="dxa" w:w="100"/>
              <w:bottom w:type="dxa" w:w="60"/>
              <w:right w:type="dxa" w:w="100"/>
            </w:tcMar>
            <w:vAlign w:val="center"/>
          </w:tcPr>
          <w:p>
            <w:pPr>
              <w:jc w:val="left"/>
            </w:pPr>
            <w:r>
              <w:rPr>
                <w:b w:val="false"/>
                <w:bCs w:val="false"/>
              </w:rPr>
              <w:t xml:space="preserve">切片（Intercept）</w:t>
            </w:r>
          </w:p>
        </w:tc>
        <w:tc>
          <w:tcPr>
            <w:tcW w:type="dxa" w:w="2513"/>
            <w:tcMar>
              <w:top w:type="dxa" w:w="60"/>
              <w:left w:type="dxa" w:w="100"/>
              <w:bottom w:type="dxa" w:w="60"/>
              <w:right w:type="dxa" w:w="100"/>
            </w:tcMar>
            <w:vAlign w:val="center"/>
          </w:tcPr>
          <w:p>
            <w:pPr>
              <w:jc w:val="left"/>
            </w:pPr>
            <w:r>
              <w:rPr>
                <w:b w:val="false"/>
                <w:bCs w:val="false"/>
              </w:rPr>
              <w:t xml:space="preserve">12.637</w:t>
            </w:r>
          </w:p>
        </w:tc>
        <w:tc>
          <w:tcPr>
            <w:tcW w:type="dxa" w:w="2513"/>
            <w:tcMar>
              <w:top w:type="dxa" w:w="60"/>
              <w:left w:type="dxa" w:w="100"/>
              <w:bottom w:type="dxa" w:w="60"/>
              <w:right w:type="dxa" w:w="100"/>
            </w:tcMar>
            <w:vAlign w:val="center"/>
          </w:tcPr>
          <w:p>
            <w:pPr>
              <w:jc w:val="left"/>
            </w:pPr>
            <w:r>
              <w:rPr>
                <w:b w:val="false"/>
                <w:bCs w:val="false"/>
              </w:rPr>
              <w:t xml:space="preserve">全生徒平均のmAch</w:t>
            </w:r>
          </w:p>
        </w:tc>
      </w:tr>
      <w:tr>
        <w:tc>
          <w:tcPr>
            <w:tcW w:type="dxa" w:w="4000"/>
            <w:tcMar>
              <w:top w:type="dxa" w:w="60"/>
              <w:left w:type="dxa" w:w="100"/>
              <w:bottom w:type="dxa" w:w="60"/>
              <w:right w:type="dxa" w:w="100"/>
            </w:tcMar>
            <w:vAlign w:val="center"/>
          </w:tcPr>
          <w:p>
            <w:pPr>
              <w:jc w:val="left"/>
            </w:pPr>
            <w:r>
              <w:rPr>
                <w:b w:val="false"/>
                <w:bCs w:val="false"/>
              </w:rPr>
              <w:t xml:space="preserve">School分散（Var(Intercept)）</w:t>
            </w:r>
          </w:p>
        </w:tc>
        <w:tc>
          <w:tcPr>
            <w:tcW w:type="dxa" w:w="2513"/>
            <w:tcMar>
              <w:top w:type="dxa" w:w="60"/>
              <w:left w:type="dxa" w:w="100"/>
              <w:bottom w:type="dxa" w:w="60"/>
              <w:right w:type="dxa" w:w="100"/>
            </w:tcMar>
            <w:vAlign w:val="center"/>
          </w:tcPr>
          <w:p>
            <w:pPr>
              <w:jc w:val="left"/>
            </w:pPr>
            <w:r>
              <w:rPr>
                <w:b w:val="false"/>
                <w:bCs w:val="false"/>
              </w:rPr>
              <w:t xml:space="preserve">8.610</w:t>
            </w:r>
          </w:p>
        </w:tc>
        <w:tc>
          <w:tcPr>
            <w:tcW w:type="dxa" w:w="2513"/>
            <w:tcMar>
              <w:top w:type="dxa" w:w="60"/>
              <w:left w:type="dxa" w:w="100"/>
              <w:bottom w:type="dxa" w:w="60"/>
              <w:right w:type="dxa" w:w="100"/>
            </w:tcMar>
            <w:vAlign w:val="center"/>
          </w:tcPr>
          <w:p>
            <w:pPr>
              <w:jc w:val="left"/>
            </w:pPr>
            <w:r>
              <w:rPr>
                <w:b w:val="false"/>
                <w:bCs w:val="false"/>
              </w:rPr>
              <w:t xml:space="preserve">学校間のばらつき（p&lt;.0001）</w:t>
            </w:r>
          </w:p>
        </w:tc>
      </w:tr>
      <w:tr>
        <w:tc>
          <w:tcPr>
            <w:tcW w:type="dxa" w:w="4000"/>
            <w:tcMar>
              <w:top w:type="dxa" w:w="60"/>
              <w:left w:type="dxa" w:w="100"/>
              <w:bottom w:type="dxa" w:w="60"/>
              <w:right w:type="dxa" w:w="100"/>
            </w:tcMar>
            <w:vAlign w:val="center"/>
          </w:tcPr>
          <w:p>
            <w:pPr>
              <w:jc w:val="left"/>
            </w:pPr>
            <w:r>
              <w:rPr>
                <w:b w:val="false"/>
                <w:bCs w:val="false"/>
              </w:rPr>
              <w:t xml:space="preserve">Residual分散</w:t>
            </w:r>
          </w:p>
        </w:tc>
        <w:tc>
          <w:tcPr>
            <w:tcW w:type="dxa" w:w="2513"/>
            <w:tcMar>
              <w:top w:type="dxa" w:w="60"/>
              <w:left w:type="dxa" w:w="100"/>
              <w:bottom w:type="dxa" w:w="60"/>
              <w:right w:type="dxa" w:w="100"/>
            </w:tcMar>
            <w:vAlign w:val="center"/>
          </w:tcPr>
          <w:p>
            <w:pPr>
              <w:jc w:val="left"/>
            </w:pPr>
            <w:r>
              <w:rPr>
                <w:b w:val="false"/>
                <w:bCs w:val="false"/>
              </w:rPr>
              <w:t xml:space="preserve">39.149</w:t>
            </w:r>
          </w:p>
        </w:tc>
        <w:tc>
          <w:tcPr>
            <w:tcW w:type="dxa" w:w="2513"/>
            <w:tcMar>
              <w:top w:type="dxa" w:w="60"/>
              <w:left w:type="dxa" w:w="100"/>
              <w:bottom w:type="dxa" w:w="60"/>
              <w:right w:type="dxa" w:w="100"/>
            </w:tcMar>
            <w:vAlign w:val="center"/>
          </w:tcPr>
          <w:p>
            <w:pPr>
              <w:jc w:val="left"/>
            </w:pPr>
            <w:r>
              <w:rPr>
                <w:b w:val="false"/>
                <w:bCs w:val="false"/>
              </w:rPr>
              <w:t xml:space="preserve">生徒間（学校内）のばらつき（p&lt;.0001）</w:t>
            </w:r>
          </w:p>
        </w:tc>
      </w:tr>
      <w:tr>
        <w:tc>
          <w:tcPr>
            <w:tcW w:type="dxa" w:w="4000"/>
            <w:tcMar>
              <w:top w:type="dxa" w:w="60"/>
              <w:left w:type="dxa" w:w="100"/>
              <w:bottom w:type="dxa" w:w="60"/>
              <w:right w:type="dxa" w:w="100"/>
            </w:tcMar>
            <w:vAlign w:val="center"/>
          </w:tcPr>
          <w:p>
            <w:pPr>
              <w:jc w:val="left"/>
            </w:pPr>
            <w:r>
              <w:rPr>
                <w:b w:val="false"/>
                <w:bCs w:val="false"/>
              </w:rPr>
              <w:t xml:space="preserve">ICC</w:t>
            </w:r>
          </w:p>
        </w:tc>
        <w:tc>
          <w:tcPr>
            <w:tcW w:type="dxa" w:w="2513"/>
            <w:tcMar>
              <w:top w:type="dxa" w:w="60"/>
              <w:left w:type="dxa" w:w="100"/>
              <w:bottom w:type="dxa" w:w="60"/>
              <w:right w:type="dxa" w:w="100"/>
            </w:tcMar>
            <w:vAlign w:val="center"/>
          </w:tcPr>
          <w:p>
            <w:pPr>
              <w:jc w:val="left"/>
            </w:pPr>
            <w:r>
              <w:rPr>
                <w:b w:val="false"/>
                <w:bCs w:val="false"/>
              </w:rPr>
              <w:t xml:space="preserve">0.180</w:t>
            </w:r>
          </w:p>
        </w:tc>
        <w:tc>
          <w:tcPr>
            <w:tcW w:type="dxa" w:w="2513"/>
            <w:tcMar>
              <w:top w:type="dxa" w:w="60"/>
              <w:left w:type="dxa" w:w="100"/>
              <w:bottom w:type="dxa" w:w="60"/>
              <w:right w:type="dxa" w:w="100"/>
            </w:tcMar>
            <w:vAlign w:val="center"/>
          </w:tcPr>
          <w:p>
            <w:pPr>
              <w:jc w:val="left"/>
            </w:pPr>
            <w:r>
              <w:rPr>
                <w:b w:val="false"/>
                <w:bCs w:val="false"/>
              </w:rPr>
              <w:t xml:space="preserve">8.610 ÷ (8.610+39.149)</w:t>
            </w:r>
          </w:p>
        </w:tc>
      </w:tr>
    </w:tbl>
    <w:p>
      <w:pPr>
        <w:spacing w:after="100"/>
      </w:pPr>
    </w:p>
    <w:p>
      <w:pPr>
        <w:spacing w:after="140"/>
      </w:pPr>
      <w:r>
        <w:rPr>
          <w:b/>
          <w:bCs/>
          <w:color w:val="1F4E79"/>
        </w:rPr>
        <w:t xml:space="preserve">Q1.　</w:t>
      </w:r>
      <w:r>
        <w:t xml:space="preserve">ICC=0.18は、数学達成度の総ばらつきのうち約18%が学校間の違いによるもので、残り82%は同じ学校内の生徒間のばらつきであることを意味する。教育データとしては中程度〜やや高めの値で、無視できない大きさである。</w:t>
      </w:r>
    </w:p>
    <w:p>
      <w:pPr>
        <w:spacing w:after="140"/>
      </w:pPr>
      <w:r>
        <w:rPr>
          <w:b/>
          <w:bCs/>
          <w:color w:val="1F4E79"/>
        </w:rPr>
        <w:t xml:space="preserve">Q2.　</w:t>
      </w:r>
      <w:r>
        <w:t xml:space="preserve">支持する。School分散の検定（Z=3.84, p&lt;.0001）は有意であり、生徒が学校内でクラスター化していることを示す。この相関を無視して通常の重回帰（OLS）を行うと、標準誤差が過小評価され、第一種の過誤（本当は有意でない効果を有意と判定する誤り）が増えるため、2水準モデルを用いる根拠になる。</w:t>
      </w:r>
    </w:p>
    <w:p>
      <w:pPr>
        <w:spacing w:after="200"/>
      </w:pPr>
    </w:p>
    <w:p>
      <w:pPr>
        <w:pStyle w:val="Heading1"/>
        <w:spacing w:after="150" w:before="300"/>
      </w:pPr>
      <w:r>
        <w:t xml:space="preserve">Step 2：学校レベル予測変数の追加（Model 2）―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9"/>
        <w:gridCol w:w="2009"/>
        <w:gridCol w:w="2008"/>
      </w:tblGrid>
      <w:tr>
        <w:trPr>
          <w:tblHeader/>
        </w:trPr>
        <w:tc>
          <w:tcPr>
            <w:tcW w:type="dxa" w:w="3000"/>
            <w:shd w:fill="D9E2F3" w:val="clear"/>
            <w:tcMar>
              <w:top w:type="dxa" w:w="60"/>
              <w:left w:type="dxa" w:w="100"/>
              <w:bottom w:type="dxa" w:w="60"/>
              <w:right w:type="dxa" w:w="100"/>
            </w:tcMar>
            <w:vAlign w:val="center"/>
          </w:tcPr>
          <w:p>
            <w:pPr>
              <w:jc w:val="center"/>
            </w:pPr>
            <w:r>
              <w:rPr>
                <w:b/>
                <w:bCs/>
              </w:rPr>
              <w:t xml:space="preserve">パラメータ</w:t>
            </w:r>
          </w:p>
        </w:tc>
        <w:tc>
          <w:tcPr>
            <w:tcW w:type="dxa" w:w="2009"/>
            <w:shd w:fill="D9E2F3" w:val="clear"/>
            <w:tcMar>
              <w:top w:type="dxa" w:w="60"/>
              <w:left w:type="dxa" w:w="100"/>
              <w:bottom w:type="dxa" w:w="60"/>
              <w:right w:type="dxa" w:w="100"/>
            </w:tcMar>
            <w:vAlign w:val="center"/>
          </w:tcPr>
          <w:p>
            <w:pPr>
              <w:jc w:val="center"/>
            </w:pPr>
            <w:r>
              <w:rPr>
                <w:b/>
                <w:bCs/>
              </w:rPr>
              <w:t xml:space="preserve">推定値</w:t>
            </w:r>
          </w:p>
        </w:tc>
        <w:tc>
          <w:tcPr>
            <w:tcW w:type="dxa" w:w="2009"/>
            <w:shd w:fill="D9E2F3" w:val="clear"/>
            <w:tcMar>
              <w:top w:type="dxa" w:w="60"/>
              <w:left w:type="dxa" w:w="100"/>
              <w:bottom w:type="dxa" w:w="60"/>
              <w:right w:type="dxa" w:w="100"/>
            </w:tcMar>
            <w:vAlign w:val="center"/>
          </w:tcPr>
          <w:p>
            <w:pPr>
              <w:jc w:val="center"/>
            </w:pPr>
            <w:r>
              <w:rPr>
                <w:b/>
                <w:bCs/>
              </w:rPr>
              <w:t xml:space="preserve">SE</w:t>
            </w:r>
          </w:p>
        </w:tc>
        <w:tc>
          <w:tcPr>
            <w:tcW w:type="dxa" w:w="2008"/>
            <w:shd w:fill="D9E2F3" w:val="clear"/>
            <w:tcMar>
              <w:top w:type="dxa" w:w="60"/>
              <w:left w:type="dxa" w:w="100"/>
              <w:bottom w:type="dxa" w:w="60"/>
              <w:right w:type="dxa" w:w="100"/>
            </w:tcMar>
            <w:vAlign w:val="center"/>
          </w:tcPr>
          <w:p>
            <w:pPr>
              <w:jc w:val="center"/>
            </w:pPr>
            <w:r>
              <w:rPr>
                <w:b/>
                <w:bCs/>
              </w:rPr>
              <w:t xml:space="preserve">p値</w:t>
            </w:r>
          </w:p>
        </w:tc>
      </w:tr>
      <w:tr>
        <w:tc>
          <w:tcPr>
            <w:tcW w:type="dxa" w:w="3000"/>
            <w:tcMar>
              <w:top w:type="dxa" w:w="60"/>
              <w:left w:type="dxa" w:w="100"/>
              <w:bottom w:type="dxa" w:w="60"/>
              <w:right w:type="dxa" w:w="100"/>
            </w:tcMar>
            <w:vAlign w:val="center"/>
          </w:tcPr>
          <w:p>
            <w:pPr>
              <w:jc w:val="left"/>
            </w:pPr>
            <w:r>
              <w:rPr>
                <w:b w:val="false"/>
                <w:bCs w:val="false"/>
              </w:rPr>
              <w:t xml:space="preserve">切片（Intercept）</w:t>
            </w:r>
          </w:p>
        </w:tc>
        <w:tc>
          <w:tcPr>
            <w:tcW w:type="dxa" w:w="2009"/>
            <w:tcMar>
              <w:top w:type="dxa" w:w="60"/>
              <w:left w:type="dxa" w:w="100"/>
              <w:bottom w:type="dxa" w:w="60"/>
              <w:right w:type="dxa" w:w="100"/>
            </w:tcMar>
            <w:vAlign w:val="center"/>
          </w:tcPr>
          <w:p>
            <w:pPr>
              <w:jc w:val="left"/>
            </w:pPr>
            <w:r>
              <w:rPr>
                <w:b w:val="false"/>
                <w:bCs w:val="false"/>
              </w:rPr>
              <w:t xml:space="preserve">12.650</w:t>
            </w:r>
          </w:p>
        </w:tc>
        <w:tc>
          <w:tcPr>
            <w:tcW w:type="dxa" w:w="2009"/>
            <w:tcMar>
              <w:top w:type="dxa" w:w="60"/>
              <w:left w:type="dxa" w:w="100"/>
              <w:bottom w:type="dxa" w:w="60"/>
              <w:right w:type="dxa" w:w="100"/>
            </w:tcMar>
            <w:vAlign w:val="center"/>
          </w:tcPr>
          <w:p>
            <w:pPr>
              <w:jc w:val="left"/>
            </w:pPr>
            <w:r>
              <w:rPr>
                <w:b w:val="false"/>
                <w:bCs w:val="false"/>
              </w:rPr>
              <w:t xml:space="preserve">0.149</w:t>
            </w:r>
          </w:p>
        </w:tc>
        <w:tc>
          <w:tcPr>
            <w:tcW w:type="dxa" w:w="2008"/>
            <w:tcMar>
              <w:top w:type="dxa" w:w="60"/>
              <w:left w:type="dxa" w:w="100"/>
              <w:bottom w:type="dxa" w:w="60"/>
              <w:right w:type="dxa" w:w="100"/>
            </w:tcMar>
            <w:vAlign w:val="center"/>
          </w:tcPr>
          <w:p>
            <w:pPr>
              <w:jc w:val="left"/>
            </w:pPr>
            <w:r>
              <w:rPr>
                <w:b w:val="false"/>
                <w:bCs w:val="false"/>
              </w:rPr>
              <w:t xml:space="preserve">&lt;.0001</w:t>
            </w:r>
          </w:p>
        </w:tc>
      </w:tr>
      <w:tr>
        <w:tc>
          <w:tcPr>
            <w:tcW w:type="dxa" w:w="3000"/>
            <w:tcMar>
              <w:top w:type="dxa" w:w="60"/>
              <w:left w:type="dxa" w:w="100"/>
              <w:bottom w:type="dxa" w:w="60"/>
              <w:right w:type="dxa" w:w="100"/>
            </w:tcMar>
            <w:vAlign w:val="center"/>
          </w:tcPr>
          <w:p>
            <w:pPr>
              <w:jc w:val="left"/>
            </w:pPr>
            <w:r>
              <w:rPr>
                <w:b w:val="false"/>
                <w:bCs w:val="false"/>
              </w:rPr>
              <w:t xml:space="preserve">meanses</w:t>
            </w:r>
          </w:p>
        </w:tc>
        <w:tc>
          <w:tcPr>
            <w:tcW w:type="dxa" w:w="2009"/>
            <w:tcMar>
              <w:top w:type="dxa" w:w="60"/>
              <w:left w:type="dxa" w:w="100"/>
              <w:bottom w:type="dxa" w:w="60"/>
              <w:right w:type="dxa" w:w="100"/>
            </w:tcMar>
            <w:vAlign w:val="center"/>
          </w:tcPr>
          <w:p>
            <w:pPr>
              <w:jc w:val="left"/>
            </w:pPr>
            <w:r>
              <w:rPr>
                <w:b w:val="false"/>
                <w:bCs w:val="false"/>
              </w:rPr>
              <w:t xml:space="preserve">5.864</w:t>
            </w:r>
          </w:p>
        </w:tc>
        <w:tc>
          <w:tcPr>
            <w:tcW w:type="dxa" w:w="2009"/>
            <w:tcMar>
              <w:top w:type="dxa" w:w="60"/>
              <w:left w:type="dxa" w:w="100"/>
              <w:bottom w:type="dxa" w:w="60"/>
              <w:right w:type="dxa" w:w="100"/>
            </w:tcMar>
            <w:vAlign w:val="center"/>
          </w:tcPr>
          <w:p>
            <w:pPr>
              <w:jc w:val="left"/>
            </w:pPr>
            <w:r>
              <w:rPr>
                <w:b w:val="false"/>
                <w:bCs w:val="false"/>
              </w:rPr>
              <w:t xml:space="preserve">0.361</w:t>
            </w:r>
          </w:p>
        </w:tc>
        <w:tc>
          <w:tcPr>
            <w:tcW w:type="dxa" w:w="2008"/>
            <w:tcMar>
              <w:top w:type="dxa" w:w="60"/>
              <w:left w:type="dxa" w:w="100"/>
              <w:bottom w:type="dxa" w:w="60"/>
              <w:right w:type="dxa" w:w="100"/>
            </w:tcMar>
            <w:vAlign w:val="center"/>
          </w:tcPr>
          <w:p>
            <w:pPr>
              <w:jc w:val="left"/>
            </w:pPr>
            <w:r>
              <w:rPr>
                <w:b w:val="false"/>
                <w:bCs w:val="false"/>
              </w:rPr>
              <w:t xml:space="preserve">&lt;.0001</w:t>
            </w:r>
          </w:p>
        </w:tc>
      </w:tr>
      <w:tr>
        <w:tc>
          <w:tcPr>
            <w:tcW w:type="dxa" w:w="3000"/>
            <w:tcMar>
              <w:top w:type="dxa" w:w="60"/>
              <w:left w:type="dxa" w:w="100"/>
              <w:bottom w:type="dxa" w:w="60"/>
              <w:right w:type="dxa" w:w="100"/>
            </w:tcMar>
            <w:vAlign w:val="center"/>
          </w:tcPr>
          <w:p>
            <w:pPr>
              <w:jc w:val="left"/>
            </w:pPr>
            <w:r>
              <w:rPr>
                <w:b w:val="false"/>
                <w:bCs w:val="false"/>
              </w:rPr>
              <w:t xml:space="preserve">School分散（Var(Intercept)）</w:t>
            </w:r>
          </w:p>
        </w:tc>
        <w:tc>
          <w:tcPr>
            <w:tcW w:type="dxa" w:w="2009"/>
            <w:tcMar>
              <w:top w:type="dxa" w:w="60"/>
              <w:left w:type="dxa" w:w="100"/>
              <w:bottom w:type="dxa" w:w="60"/>
              <w:right w:type="dxa" w:w="100"/>
            </w:tcMar>
            <w:vAlign w:val="center"/>
          </w:tcPr>
          <w:p>
            <w:pPr>
              <w:jc w:val="left"/>
            </w:pPr>
            <w:r>
              <w:rPr>
                <w:b w:val="false"/>
                <w:bCs w:val="false"/>
              </w:rPr>
              <w:t xml:space="preserve">2.636</w:t>
            </w:r>
          </w:p>
        </w:tc>
        <w:tc>
          <w:tcPr>
            <w:tcW w:type="dxa" w:w="2009"/>
            <w:tcMar>
              <w:top w:type="dxa" w:w="60"/>
              <w:left w:type="dxa" w:w="100"/>
              <w:bottom w:type="dxa" w:w="60"/>
              <w:right w:type="dxa" w:w="100"/>
            </w:tcMar>
            <w:vAlign w:val="center"/>
          </w:tcPr>
          <w:p>
            <w:pPr>
              <w:jc w:val="left"/>
            </w:pPr>
            <w:r>
              <w:rPr>
                <w:b w:val="false"/>
                <w:bCs w:val="false"/>
              </w:rPr>
              <w:t xml:space="preserve">0.404</w:t>
            </w:r>
          </w:p>
        </w:tc>
        <w:tc>
          <w:tcPr>
            <w:tcW w:type="dxa" w:w="2008"/>
            <w:tcMar>
              <w:top w:type="dxa" w:w="60"/>
              <w:left w:type="dxa" w:w="100"/>
              <w:bottom w:type="dxa" w:w="60"/>
              <w:right w:type="dxa" w:w="100"/>
            </w:tcMar>
            <w:vAlign w:val="center"/>
          </w:tcPr>
          <w:p>
            <w:pPr>
              <w:jc w:val="left"/>
            </w:pPr>
            <w:r>
              <w:rPr>
                <w:b w:val="false"/>
                <w:bCs w:val="false"/>
              </w:rPr>
              <w:t xml:space="preserve">&lt;.0001（有意）</w:t>
            </w:r>
          </w:p>
        </w:tc>
      </w:tr>
    </w:tbl>
    <w:p>
      <w:pPr>
        <w:spacing w:after="100"/>
      </w:pPr>
    </w:p>
    <w:p>
      <w:pPr>
        <w:spacing w:after="140"/>
      </w:pPr>
      <w:r>
        <w:rPr>
          <w:b/>
          <w:bCs/>
          <w:color w:val="1F4E79"/>
        </w:rPr>
        <w:t xml:space="preserve">Q1.　</w:t>
      </w:r>
      <w:r>
        <w:t xml:space="preserve">有意である（Z=6.53, p&lt;.0001）。学校の平均SESが1単位高いと、平均的な数学達成度は5.86点高くなる。</w:t>
      </w:r>
    </w:p>
    <w:p>
      <w:pPr>
        <w:spacing w:after="140"/>
      </w:pPr>
      <w:r>
        <w:rPr>
          <w:b/>
          <w:bCs/>
          <w:color w:val="1F4E79"/>
        </w:rPr>
        <w:t xml:space="preserve">Q2.　</w:t>
      </w:r>
      <w:r>
        <w:t xml:space="preserve">(8.610 − 2.636) ÷ 8.610 × 100 ≈ 69.4% 減少した。</w:t>
      </w:r>
    </w:p>
    <w:p>
      <w:pPr>
        <w:spacing w:after="140"/>
      </w:pPr>
      <w:r>
        <w:rPr>
          <w:b/>
          <w:bCs/>
          <w:color w:val="1F4E79"/>
        </w:rPr>
        <w:t xml:space="preserve">Q3.　</w:t>
      </w:r>
      <w:r>
        <w:t xml:space="preserve">支持する。学校間差の約7割が学校の社会経済的構成（meanses）で説明されるが、School分散はなお有意（Z=6.53, p&lt;.0001）に残っており、meanses以外の要因（例：sector）でさらに説明できる余地があることも示唆される。</w:t>
      </w:r>
    </w:p>
    <w:p>
      <w:pPr>
        <w:spacing w:after="200"/>
      </w:pPr>
    </w:p>
    <w:p>
      <w:r>
        <w:br w:type="page"/>
      </w:r>
    </w:p>
    <w:p>
      <w:pPr>
        <w:pStyle w:val="Heading1"/>
        <w:spacing w:after="150" w:before="300"/>
      </w:pPr>
      <w:r>
        <w:t xml:space="preserve">Step 3：ランダム傾きモデル（Model 3）―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shd w:fill="D9E2F3" w:val="clear"/>
            <w:tcMar>
              <w:top w:type="dxa" w:w="60"/>
              <w:left w:type="dxa" w:w="100"/>
              <w:bottom w:type="dxa" w:w="60"/>
              <w:right w:type="dxa" w:w="100"/>
            </w:tcMar>
            <w:vAlign w:val="center"/>
          </w:tcPr>
          <w:p>
            <w:pPr>
              <w:jc w:val="center"/>
            </w:pPr>
            <w:r>
              <w:rPr>
                <w:b/>
                <w:bCs/>
              </w:rPr>
              <w:t xml:space="preserve">パラメータ</w:t>
            </w:r>
          </w:p>
        </w:tc>
        <w:tc>
          <w:tcPr>
            <w:tcW w:type="dxa" w:w="1876"/>
            <w:shd w:fill="D9E2F3" w:val="clear"/>
            <w:tcMar>
              <w:top w:type="dxa" w:w="60"/>
              <w:left w:type="dxa" w:w="100"/>
              <w:bottom w:type="dxa" w:w="60"/>
              <w:right w:type="dxa" w:w="100"/>
            </w:tcMar>
            <w:vAlign w:val="center"/>
          </w:tcPr>
          <w:p>
            <w:pPr>
              <w:jc w:val="center"/>
            </w:pPr>
            <w:r>
              <w:rPr>
                <w:b/>
                <w:bCs/>
              </w:rPr>
              <w:t xml:space="preserve">推定値</w:t>
            </w:r>
          </w:p>
        </w:tc>
        <w:tc>
          <w:tcPr>
            <w:tcW w:type="dxa" w:w="1875"/>
            <w:shd w:fill="D9E2F3" w:val="clear"/>
            <w:tcMar>
              <w:top w:type="dxa" w:w="60"/>
              <w:left w:type="dxa" w:w="100"/>
              <w:bottom w:type="dxa" w:w="60"/>
              <w:right w:type="dxa" w:w="100"/>
            </w:tcMar>
            <w:vAlign w:val="center"/>
          </w:tcPr>
          <w:p>
            <w:pPr>
              <w:jc w:val="center"/>
            </w:pPr>
            <w:r>
              <w:rPr>
                <w:b/>
                <w:bCs/>
              </w:rPr>
              <w:t xml:space="preserve">SE</w:t>
            </w:r>
          </w:p>
        </w:tc>
        <w:tc>
          <w:tcPr>
            <w:tcW w:type="dxa" w:w="1875"/>
            <w:shd w:fill="D9E2F3" w:val="clear"/>
            <w:tcMar>
              <w:top w:type="dxa" w:w="60"/>
              <w:left w:type="dxa" w:w="100"/>
              <w:bottom w:type="dxa" w:w="60"/>
              <w:right w:type="dxa" w:w="100"/>
            </w:tcMar>
            <w:vAlign w:val="center"/>
          </w:tcPr>
          <w:p>
            <w:pPr>
              <w:jc w:val="center"/>
            </w:pPr>
            <w:r>
              <w:rPr>
                <w:b/>
                <w:bCs/>
              </w:rPr>
              <w:t xml:space="preserve">p値</w:t>
            </w:r>
          </w:p>
        </w:tc>
      </w:tr>
      <w:tr>
        <w:tc>
          <w:tcPr>
            <w:tcW w:type="dxa" w:w="3400"/>
            <w:tcMar>
              <w:top w:type="dxa" w:w="60"/>
              <w:left w:type="dxa" w:w="100"/>
              <w:bottom w:type="dxa" w:w="60"/>
              <w:right w:type="dxa" w:w="100"/>
            </w:tcMar>
            <w:vAlign w:val="center"/>
          </w:tcPr>
          <w:p>
            <w:pPr>
              <w:jc w:val="left"/>
            </w:pPr>
            <w:r>
              <w:rPr>
                <w:b w:val="false"/>
                <w:bCs w:val="false"/>
              </w:rPr>
              <w:t xml:space="preserve">切片（Intercept）</w:t>
            </w:r>
          </w:p>
        </w:tc>
        <w:tc>
          <w:tcPr>
            <w:tcW w:type="dxa" w:w="1876"/>
            <w:tcMar>
              <w:top w:type="dxa" w:w="60"/>
              <w:left w:type="dxa" w:w="100"/>
              <w:bottom w:type="dxa" w:w="60"/>
              <w:right w:type="dxa" w:w="100"/>
            </w:tcMar>
            <w:vAlign w:val="center"/>
          </w:tcPr>
          <w:p>
            <w:pPr>
              <w:jc w:val="left"/>
            </w:pPr>
            <w:r>
              <w:rPr>
                <w:b w:val="false"/>
                <w:bCs w:val="false"/>
              </w:rPr>
              <w:t xml:space="preserve">12.649</w:t>
            </w:r>
          </w:p>
        </w:tc>
        <w:tc>
          <w:tcPr>
            <w:tcW w:type="dxa" w:w="1875"/>
            <w:tcMar>
              <w:top w:type="dxa" w:w="60"/>
              <w:left w:type="dxa" w:w="100"/>
              <w:bottom w:type="dxa" w:w="60"/>
              <w:right w:type="dxa" w:w="100"/>
            </w:tcMar>
            <w:vAlign w:val="center"/>
          </w:tcPr>
          <w:p>
            <w:pPr>
              <w:jc w:val="left"/>
            </w:pPr>
            <w:r>
              <w:rPr>
                <w:b w:val="false"/>
                <w:bCs w:val="false"/>
              </w:rPr>
              <w:t xml:space="preserve">0.245</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cses（傾きの固定効果）</w:t>
            </w:r>
          </w:p>
        </w:tc>
        <w:tc>
          <w:tcPr>
            <w:tcW w:type="dxa" w:w="1876"/>
            <w:tcMar>
              <w:top w:type="dxa" w:w="60"/>
              <w:left w:type="dxa" w:w="100"/>
              <w:bottom w:type="dxa" w:w="60"/>
              <w:right w:type="dxa" w:w="100"/>
            </w:tcMar>
            <w:vAlign w:val="center"/>
          </w:tcPr>
          <w:p>
            <w:pPr>
              <w:jc w:val="left"/>
            </w:pPr>
            <w:r>
              <w:rPr>
                <w:b w:val="false"/>
                <w:bCs w:val="false"/>
              </w:rPr>
              <w:t xml:space="preserve">2.193</w:t>
            </w:r>
          </w:p>
        </w:tc>
        <w:tc>
          <w:tcPr>
            <w:tcW w:type="dxa" w:w="1875"/>
            <w:tcMar>
              <w:top w:type="dxa" w:w="60"/>
              <w:left w:type="dxa" w:w="100"/>
              <w:bottom w:type="dxa" w:w="60"/>
              <w:right w:type="dxa" w:w="100"/>
            </w:tcMar>
            <w:vAlign w:val="center"/>
          </w:tcPr>
          <w:p>
            <w:pPr>
              <w:jc w:val="left"/>
            </w:pPr>
            <w:r>
              <w:rPr>
                <w:b w:val="false"/>
                <w:bCs w:val="false"/>
              </w:rPr>
              <w:t xml:space="preserve">0.128</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Var(Intercept)</w:t>
            </w:r>
          </w:p>
        </w:tc>
        <w:tc>
          <w:tcPr>
            <w:tcW w:type="dxa" w:w="1876"/>
            <w:tcMar>
              <w:top w:type="dxa" w:w="60"/>
              <w:left w:type="dxa" w:w="100"/>
              <w:bottom w:type="dxa" w:w="60"/>
              <w:right w:type="dxa" w:w="100"/>
            </w:tcMar>
            <w:vAlign w:val="center"/>
          </w:tcPr>
          <w:p>
            <w:pPr>
              <w:jc w:val="left"/>
            </w:pPr>
            <w:r>
              <w:rPr>
                <w:b w:val="false"/>
                <w:bCs w:val="false"/>
              </w:rPr>
              <w:t xml:space="preserve">8.677</w:t>
            </w:r>
          </w:p>
        </w:tc>
        <w:tc>
          <w:tcPr>
            <w:tcW w:type="dxa" w:w="1875"/>
            <w:tcMar>
              <w:top w:type="dxa" w:w="60"/>
              <w:left w:type="dxa" w:w="100"/>
              <w:bottom w:type="dxa" w:w="60"/>
              <w:right w:type="dxa" w:w="100"/>
            </w:tcMar>
            <w:vAlign w:val="center"/>
          </w:tcPr>
          <w:p>
            <w:pPr>
              <w:jc w:val="left"/>
            </w:pPr>
            <w:r>
              <w:rPr>
                <w:b w:val="false"/>
                <w:bCs w:val="false"/>
              </w:rPr>
              <w:t xml:space="preserve">1.079</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Var(cses)（傾きの分散）</w:t>
            </w:r>
          </w:p>
        </w:tc>
        <w:tc>
          <w:tcPr>
            <w:tcW w:type="dxa" w:w="1876"/>
            <w:tcMar>
              <w:top w:type="dxa" w:w="60"/>
              <w:left w:type="dxa" w:w="100"/>
              <w:bottom w:type="dxa" w:w="60"/>
              <w:right w:type="dxa" w:w="100"/>
            </w:tcMar>
            <w:vAlign w:val="center"/>
          </w:tcPr>
          <w:p>
            <w:pPr>
              <w:jc w:val="left"/>
            </w:pPr>
            <w:r>
              <w:rPr>
                <w:b w:val="false"/>
                <w:bCs w:val="false"/>
              </w:rPr>
              <w:t xml:space="preserve">0.694</w:t>
            </w:r>
          </w:p>
        </w:tc>
        <w:tc>
          <w:tcPr>
            <w:tcW w:type="dxa" w:w="1875"/>
            <w:tcMar>
              <w:top w:type="dxa" w:w="60"/>
              <w:left w:type="dxa" w:w="100"/>
              <w:bottom w:type="dxa" w:w="60"/>
              <w:right w:type="dxa" w:w="100"/>
            </w:tcMar>
            <w:vAlign w:val="center"/>
          </w:tcPr>
          <w:p>
            <w:pPr>
              <w:jc w:val="left"/>
            </w:pPr>
            <w:r>
              <w:rPr>
                <w:b w:val="false"/>
                <w:bCs w:val="false"/>
              </w:rPr>
              <w:t xml:space="preserve">0.281</w:t>
            </w:r>
          </w:p>
        </w:tc>
        <w:tc>
          <w:tcPr>
            <w:tcW w:type="dxa" w:w="1875"/>
            <w:tcMar>
              <w:top w:type="dxa" w:w="60"/>
              <w:left w:type="dxa" w:w="100"/>
              <w:bottom w:type="dxa" w:w="60"/>
              <w:right w:type="dxa" w:w="100"/>
            </w:tcMar>
            <w:vAlign w:val="center"/>
          </w:tcPr>
          <w:p>
            <w:pPr>
              <w:jc w:val="left"/>
            </w:pPr>
            <w:r>
              <w:rPr>
                <w:b w:val="false"/>
                <w:bCs w:val="false"/>
              </w:rPr>
              <w:t xml:space="preserve">.0067</w:t>
            </w:r>
          </w:p>
        </w:tc>
      </w:tr>
      <w:tr>
        <w:tc>
          <w:tcPr>
            <w:tcW w:type="dxa" w:w="3400"/>
            <w:tcMar>
              <w:top w:type="dxa" w:w="60"/>
              <w:left w:type="dxa" w:w="100"/>
              <w:bottom w:type="dxa" w:w="60"/>
              <w:right w:type="dxa" w:w="100"/>
            </w:tcMar>
            <w:vAlign w:val="center"/>
          </w:tcPr>
          <w:p>
            <w:pPr>
              <w:jc w:val="left"/>
            </w:pPr>
            <w:r>
              <w:rPr>
                <w:b w:val="false"/>
                <w:bCs w:val="false"/>
              </w:rPr>
              <w:t xml:space="preserve">Cov(Intercept, cses)</w:t>
            </w:r>
          </w:p>
        </w:tc>
        <w:tc>
          <w:tcPr>
            <w:tcW w:type="dxa" w:w="1876"/>
            <w:tcMar>
              <w:top w:type="dxa" w:w="60"/>
              <w:left w:type="dxa" w:w="100"/>
              <w:bottom w:type="dxa" w:w="60"/>
              <w:right w:type="dxa" w:w="100"/>
            </w:tcMar>
            <w:vAlign w:val="center"/>
          </w:tcPr>
          <w:p>
            <w:pPr>
              <w:jc w:val="left"/>
            </w:pPr>
            <w:r>
              <w:rPr>
                <w:b w:val="false"/>
                <w:bCs w:val="false"/>
              </w:rPr>
              <w:t xml:space="preserve">0.051</w:t>
            </w:r>
          </w:p>
        </w:tc>
        <w:tc>
          <w:tcPr>
            <w:tcW w:type="dxa" w:w="1875"/>
            <w:tcMar>
              <w:top w:type="dxa" w:w="60"/>
              <w:left w:type="dxa" w:w="100"/>
              <w:bottom w:type="dxa" w:w="60"/>
              <w:right w:type="dxa" w:w="100"/>
            </w:tcMar>
            <w:vAlign w:val="center"/>
          </w:tcPr>
          <w:p>
            <w:pPr>
              <w:jc w:val="left"/>
            </w:pPr>
            <w:r>
              <w:rPr>
                <w:b w:val="false"/>
                <w:bCs w:val="false"/>
              </w:rPr>
              <w:t xml:space="preserve">0.406</w:t>
            </w:r>
          </w:p>
        </w:tc>
        <w:tc>
          <w:tcPr>
            <w:tcW w:type="dxa" w:w="1875"/>
            <w:tcMar>
              <w:top w:type="dxa" w:w="60"/>
              <w:left w:type="dxa" w:w="100"/>
              <w:bottom w:type="dxa" w:w="60"/>
              <w:right w:type="dxa" w:w="100"/>
            </w:tcMar>
            <w:vAlign w:val="center"/>
          </w:tcPr>
          <w:p>
            <w:pPr>
              <w:jc w:val="left"/>
            </w:pPr>
            <w:r>
              <w:rPr>
                <w:b w:val="false"/>
                <w:bCs w:val="false"/>
              </w:rPr>
              <w:t xml:space="preserve">.9006（非有意）</w:t>
            </w:r>
          </w:p>
        </w:tc>
      </w:tr>
    </w:tbl>
    <w:p>
      <w:pPr>
        <w:spacing w:after="100"/>
      </w:pPr>
    </w:p>
    <w:p>
      <w:pPr>
        <w:spacing w:after="140"/>
      </w:pPr>
      <w:r>
        <w:rPr>
          <w:b/>
          <w:bCs/>
          <w:color w:val="1F4E79"/>
        </w:rPr>
        <w:t xml:space="preserve">Q1.　</w:t>
      </w:r>
      <w:r>
        <w:t xml:space="preserve">p=.0067は、cses（生徒のSES）の傾きが学校間で有意にばらついている、つまり「SESの効果がすべての学校で同じ」という帰無仮説を棄却できることを意味する。</w:t>
      </w:r>
    </w:p>
    <w:p>
      <w:pPr>
        <w:spacing w:after="140"/>
      </w:pPr>
      <w:r>
        <w:rPr>
          <w:b/>
          <w:bCs/>
          <w:color w:val="1F4E79"/>
        </w:rPr>
        <w:t xml:space="preserve">Q2.　</w:t>
      </w:r>
      <w:r>
        <w:t xml:space="preserve">有意に異なる。95%妥当値範囲は 2.193 ± 1.96×√0.694 ≒ (0.56, 3.82) であり、学校によってSESの効果の強さがかなり異なることが分かる。</w:t>
      </w:r>
    </w:p>
    <w:p>
      <w:pPr>
        <w:spacing w:after="140"/>
      </w:pPr>
      <w:r>
        <w:rPr>
          <w:b/>
          <w:bCs/>
          <w:color w:val="1F4E79"/>
        </w:rPr>
        <w:t xml:space="preserve">Q3.　</w:t>
      </w:r>
      <w:r>
        <w:t xml:space="preserve">非有意な共分散（p=.90）は、「平均達成度が高い学校ほどSESの効果が強い（または弱い）」といった系統的な関連がないことを示す。切片の高低と傾きの大小は、統計的には独立とみなせる。</w:t>
      </w:r>
    </w:p>
    <w:p>
      <w:pPr>
        <w:spacing w:after="200"/>
      </w:pPr>
    </w:p>
    <w:p>
      <w:pPr>
        <w:pStyle w:val="Heading1"/>
        <w:spacing w:after="150" w:before="300"/>
      </w:pPr>
      <w:r>
        <w:t xml:space="preserve">Step 4：クロスレベル交互作用モデル（Model 4）―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shd w:fill="D9E2F3" w:val="clear"/>
            <w:tcMar>
              <w:top w:type="dxa" w:w="60"/>
              <w:left w:type="dxa" w:w="100"/>
              <w:bottom w:type="dxa" w:w="60"/>
              <w:right w:type="dxa" w:w="100"/>
            </w:tcMar>
            <w:vAlign w:val="center"/>
          </w:tcPr>
          <w:p>
            <w:pPr>
              <w:jc w:val="center"/>
            </w:pPr>
            <w:r>
              <w:rPr>
                <w:b/>
                <w:bCs/>
              </w:rPr>
              <w:t xml:space="preserve">パラメータ</w:t>
            </w:r>
          </w:p>
        </w:tc>
        <w:tc>
          <w:tcPr>
            <w:tcW w:type="dxa" w:w="1876"/>
            <w:shd w:fill="D9E2F3" w:val="clear"/>
            <w:tcMar>
              <w:top w:type="dxa" w:w="60"/>
              <w:left w:type="dxa" w:w="100"/>
              <w:bottom w:type="dxa" w:w="60"/>
              <w:right w:type="dxa" w:w="100"/>
            </w:tcMar>
            <w:vAlign w:val="center"/>
          </w:tcPr>
          <w:p>
            <w:pPr>
              <w:jc w:val="center"/>
            </w:pPr>
            <w:r>
              <w:rPr>
                <w:b/>
                <w:bCs/>
              </w:rPr>
              <w:t xml:space="preserve">推定値</w:t>
            </w:r>
          </w:p>
        </w:tc>
        <w:tc>
          <w:tcPr>
            <w:tcW w:type="dxa" w:w="1875"/>
            <w:shd w:fill="D9E2F3" w:val="clear"/>
            <w:tcMar>
              <w:top w:type="dxa" w:w="60"/>
              <w:left w:type="dxa" w:w="100"/>
              <w:bottom w:type="dxa" w:w="60"/>
              <w:right w:type="dxa" w:w="100"/>
            </w:tcMar>
            <w:vAlign w:val="center"/>
          </w:tcPr>
          <w:p>
            <w:pPr>
              <w:jc w:val="center"/>
            </w:pPr>
            <w:r>
              <w:rPr>
                <w:b/>
                <w:bCs/>
              </w:rPr>
              <w:t xml:space="preserve">SE</w:t>
            </w:r>
          </w:p>
        </w:tc>
        <w:tc>
          <w:tcPr>
            <w:tcW w:type="dxa" w:w="1875"/>
            <w:shd w:fill="D9E2F3" w:val="clear"/>
            <w:tcMar>
              <w:top w:type="dxa" w:w="60"/>
              <w:left w:type="dxa" w:w="100"/>
              <w:bottom w:type="dxa" w:w="60"/>
              <w:right w:type="dxa" w:w="100"/>
            </w:tcMar>
            <w:vAlign w:val="center"/>
          </w:tcPr>
          <w:p>
            <w:pPr>
              <w:jc w:val="center"/>
            </w:pPr>
            <w:r>
              <w:rPr>
                <w:b/>
                <w:bCs/>
              </w:rPr>
              <w:t xml:space="preserve">p値</w:t>
            </w:r>
          </w:p>
        </w:tc>
      </w:tr>
      <w:tr>
        <w:tc>
          <w:tcPr>
            <w:tcW w:type="dxa" w:w="3400"/>
            <w:tcMar>
              <w:top w:type="dxa" w:w="60"/>
              <w:left w:type="dxa" w:w="100"/>
              <w:bottom w:type="dxa" w:w="60"/>
              <w:right w:type="dxa" w:w="100"/>
            </w:tcMar>
            <w:vAlign w:val="center"/>
          </w:tcPr>
          <w:p>
            <w:pPr>
              <w:jc w:val="left"/>
            </w:pPr>
            <w:r>
              <w:rPr>
                <w:b w:val="false"/>
                <w:bCs w:val="false"/>
              </w:rPr>
              <w:t xml:space="preserve">切片（Intercept）</w:t>
            </w:r>
          </w:p>
        </w:tc>
        <w:tc>
          <w:tcPr>
            <w:tcW w:type="dxa" w:w="1876"/>
            <w:tcMar>
              <w:top w:type="dxa" w:w="60"/>
              <w:left w:type="dxa" w:w="100"/>
              <w:bottom w:type="dxa" w:w="60"/>
              <w:right w:type="dxa" w:w="100"/>
            </w:tcMar>
            <w:vAlign w:val="center"/>
          </w:tcPr>
          <w:p>
            <w:pPr>
              <w:jc w:val="left"/>
            </w:pPr>
            <w:r>
              <w:rPr>
                <w:b w:val="false"/>
                <w:bCs w:val="false"/>
              </w:rPr>
              <w:t xml:space="preserve">12.114</w:t>
            </w:r>
          </w:p>
        </w:tc>
        <w:tc>
          <w:tcPr>
            <w:tcW w:type="dxa" w:w="1875"/>
            <w:tcMar>
              <w:top w:type="dxa" w:w="60"/>
              <w:left w:type="dxa" w:w="100"/>
              <w:bottom w:type="dxa" w:w="60"/>
              <w:right w:type="dxa" w:w="100"/>
            </w:tcMar>
            <w:vAlign w:val="center"/>
          </w:tcPr>
          <w:p>
            <w:pPr>
              <w:jc w:val="left"/>
            </w:pPr>
            <w:r>
              <w:rPr>
                <w:b w:val="false"/>
                <w:bCs w:val="false"/>
              </w:rPr>
              <w:t xml:space="preserve">0.199</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meanses</w:t>
            </w:r>
          </w:p>
        </w:tc>
        <w:tc>
          <w:tcPr>
            <w:tcW w:type="dxa" w:w="1876"/>
            <w:tcMar>
              <w:top w:type="dxa" w:w="60"/>
              <w:left w:type="dxa" w:w="100"/>
              <w:bottom w:type="dxa" w:w="60"/>
              <w:right w:type="dxa" w:w="100"/>
            </w:tcMar>
            <w:vAlign w:val="center"/>
          </w:tcPr>
          <w:p>
            <w:pPr>
              <w:jc w:val="left"/>
            </w:pPr>
            <w:r>
              <w:rPr>
                <w:b w:val="false"/>
                <w:bCs w:val="false"/>
              </w:rPr>
              <w:t xml:space="preserve">5.339</w:t>
            </w:r>
          </w:p>
        </w:tc>
        <w:tc>
          <w:tcPr>
            <w:tcW w:type="dxa" w:w="1875"/>
            <w:tcMar>
              <w:top w:type="dxa" w:w="60"/>
              <w:left w:type="dxa" w:w="100"/>
              <w:bottom w:type="dxa" w:w="60"/>
              <w:right w:type="dxa" w:w="100"/>
            </w:tcMar>
            <w:vAlign w:val="center"/>
          </w:tcPr>
          <w:p>
            <w:pPr>
              <w:jc w:val="left"/>
            </w:pPr>
            <w:r>
              <w:rPr>
                <w:b w:val="false"/>
                <w:bCs w:val="false"/>
              </w:rPr>
              <w:t xml:space="preserve">0.369</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sector</w:t>
            </w:r>
          </w:p>
        </w:tc>
        <w:tc>
          <w:tcPr>
            <w:tcW w:type="dxa" w:w="1876"/>
            <w:tcMar>
              <w:top w:type="dxa" w:w="60"/>
              <w:left w:type="dxa" w:w="100"/>
              <w:bottom w:type="dxa" w:w="60"/>
              <w:right w:type="dxa" w:w="100"/>
            </w:tcMar>
            <w:vAlign w:val="center"/>
          </w:tcPr>
          <w:p>
            <w:pPr>
              <w:jc w:val="left"/>
            </w:pPr>
            <w:r>
              <w:rPr>
                <w:b w:val="false"/>
                <w:bCs w:val="false"/>
              </w:rPr>
              <w:t xml:space="preserve">1.217</w:t>
            </w:r>
          </w:p>
        </w:tc>
        <w:tc>
          <w:tcPr>
            <w:tcW w:type="dxa" w:w="1875"/>
            <w:tcMar>
              <w:top w:type="dxa" w:w="60"/>
              <w:left w:type="dxa" w:w="100"/>
              <w:bottom w:type="dxa" w:w="60"/>
              <w:right w:type="dxa" w:w="100"/>
            </w:tcMar>
            <w:vAlign w:val="center"/>
          </w:tcPr>
          <w:p>
            <w:pPr>
              <w:jc w:val="left"/>
            </w:pPr>
            <w:r>
              <w:rPr>
                <w:b w:val="false"/>
                <w:bCs w:val="false"/>
              </w:rPr>
              <w:t xml:space="preserve">0.306</w:t>
            </w:r>
          </w:p>
        </w:tc>
        <w:tc>
          <w:tcPr>
            <w:tcW w:type="dxa" w:w="1875"/>
            <w:tcMar>
              <w:top w:type="dxa" w:w="60"/>
              <w:left w:type="dxa" w:w="100"/>
              <w:bottom w:type="dxa" w:w="60"/>
              <w:right w:type="dxa" w:w="100"/>
            </w:tcMar>
            <w:vAlign w:val="center"/>
          </w:tcPr>
          <w:p>
            <w:pPr>
              <w:jc w:val="left"/>
            </w:pPr>
            <w:r>
              <w:rPr>
                <w:b w:val="false"/>
                <w:bCs w:val="false"/>
              </w:rPr>
              <w:t xml:space="preserve">.0001</w:t>
            </w:r>
          </w:p>
        </w:tc>
      </w:tr>
      <w:tr>
        <w:tc>
          <w:tcPr>
            <w:tcW w:type="dxa" w:w="3400"/>
            <w:tcMar>
              <w:top w:type="dxa" w:w="60"/>
              <w:left w:type="dxa" w:w="100"/>
              <w:bottom w:type="dxa" w:w="60"/>
              <w:right w:type="dxa" w:w="100"/>
            </w:tcMar>
            <w:vAlign w:val="center"/>
          </w:tcPr>
          <w:p>
            <w:pPr>
              <w:jc w:val="left"/>
            </w:pPr>
            <w:r>
              <w:rPr>
                <w:b w:val="false"/>
                <w:bCs w:val="false"/>
              </w:rPr>
              <w:t xml:space="preserve">cses</w:t>
            </w:r>
          </w:p>
        </w:tc>
        <w:tc>
          <w:tcPr>
            <w:tcW w:type="dxa" w:w="1876"/>
            <w:tcMar>
              <w:top w:type="dxa" w:w="60"/>
              <w:left w:type="dxa" w:w="100"/>
              <w:bottom w:type="dxa" w:w="60"/>
              <w:right w:type="dxa" w:w="100"/>
            </w:tcMar>
            <w:vAlign w:val="center"/>
          </w:tcPr>
          <w:p>
            <w:pPr>
              <w:jc w:val="left"/>
            </w:pPr>
            <w:r>
              <w:rPr>
                <w:b w:val="false"/>
                <w:bCs w:val="false"/>
              </w:rPr>
              <w:t xml:space="preserve">2.939</w:t>
            </w:r>
          </w:p>
        </w:tc>
        <w:tc>
          <w:tcPr>
            <w:tcW w:type="dxa" w:w="1875"/>
            <w:tcMar>
              <w:top w:type="dxa" w:w="60"/>
              <w:left w:type="dxa" w:w="100"/>
              <w:bottom w:type="dxa" w:w="60"/>
              <w:right w:type="dxa" w:w="100"/>
            </w:tcMar>
            <w:vAlign w:val="center"/>
          </w:tcPr>
          <w:p>
            <w:pPr>
              <w:jc w:val="left"/>
            </w:pPr>
            <w:r>
              <w:rPr>
                <w:b w:val="false"/>
                <w:bCs w:val="false"/>
              </w:rPr>
              <w:t xml:space="preserve">0.155</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meanses*cses</w:t>
            </w:r>
          </w:p>
        </w:tc>
        <w:tc>
          <w:tcPr>
            <w:tcW w:type="dxa" w:w="1876"/>
            <w:tcMar>
              <w:top w:type="dxa" w:w="60"/>
              <w:left w:type="dxa" w:w="100"/>
              <w:bottom w:type="dxa" w:w="60"/>
              <w:right w:type="dxa" w:w="100"/>
            </w:tcMar>
            <w:vAlign w:val="center"/>
          </w:tcPr>
          <w:p>
            <w:pPr>
              <w:jc w:val="left"/>
            </w:pPr>
            <w:r>
              <w:rPr>
                <w:b w:val="false"/>
                <w:bCs w:val="false"/>
              </w:rPr>
              <w:t xml:space="preserve">1.039</w:t>
            </w:r>
          </w:p>
        </w:tc>
        <w:tc>
          <w:tcPr>
            <w:tcW w:type="dxa" w:w="1875"/>
            <w:tcMar>
              <w:top w:type="dxa" w:w="60"/>
              <w:left w:type="dxa" w:w="100"/>
              <w:bottom w:type="dxa" w:w="60"/>
              <w:right w:type="dxa" w:w="100"/>
            </w:tcMar>
            <w:vAlign w:val="center"/>
          </w:tcPr>
          <w:p>
            <w:pPr>
              <w:jc w:val="left"/>
            </w:pPr>
            <w:r>
              <w:rPr>
                <w:b w:val="false"/>
                <w:bCs w:val="false"/>
              </w:rPr>
              <w:t xml:space="preserve">0.299</w:t>
            </w:r>
          </w:p>
        </w:tc>
        <w:tc>
          <w:tcPr>
            <w:tcW w:type="dxa" w:w="1875"/>
            <w:tcMar>
              <w:top w:type="dxa" w:w="60"/>
              <w:left w:type="dxa" w:w="100"/>
              <w:bottom w:type="dxa" w:w="60"/>
              <w:right w:type="dxa" w:w="100"/>
            </w:tcMar>
            <w:vAlign w:val="center"/>
          </w:tcPr>
          <w:p>
            <w:pPr>
              <w:jc w:val="left"/>
            </w:pPr>
            <w:r>
              <w:rPr>
                <w:b w:val="false"/>
                <w:bCs w:val="false"/>
              </w:rPr>
              <w:t xml:space="preserve">.0005</w:t>
            </w:r>
          </w:p>
        </w:tc>
      </w:tr>
      <w:tr>
        <w:tc>
          <w:tcPr>
            <w:tcW w:type="dxa" w:w="3400"/>
            <w:tcMar>
              <w:top w:type="dxa" w:w="60"/>
              <w:left w:type="dxa" w:w="100"/>
              <w:bottom w:type="dxa" w:w="60"/>
              <w:right w:type="dxa" w:w="100"/>
            </w:tcMar>
            <w:vAlign w:val="center"/>
          </w:tcPr>
          <w:p>
            <w:pPr>
              <w:jc w:val="left"/>
            </w:pPr>
            <w:r>
              <w:rPr>
                <w:b w:val="false"/>
                <w:bCs w:val="false"/>
              </w:rPr>
              <w:t xml:space="preserve">sector*cses</w:t>
            </w:r>
          </w:p>
        </w:tc>
        <w:tc>
          <w:tcPr>
            <w:tcW w:type="dxa" w:w="1876"/>
            <w:tcMar>
              <w:top w:type="dxa" w:w="60"/>
              <w:left w:type="dxa" w:w="100"/>
              <w:bottom w:type="dxa" w:w="60"/>
              <w:right w:type="dxa" w:w="100"/>
            </w:tcMar>
            <w:vAlign w:val="center"/>
          </w:tcPr>
          <w:p>
            <w:pPr>
              <w:jc w:val="left"/>
            </w:pPr>
            <w:r>
              <w:rPr>
                <w:b w:val="false"/>
                <w:bCs w:val="false"/>
              </w:rPr>
              <w:t xml:space="preserve">-1.643</w:t>
            </w:r>
          </w:p>
        </w:tc>
        <w:tc>
          <w:tcPr>
            <w:tcW w:type="dxa" w:w="1875"/>
            <w:tcMar>
              <w:top w:type="dxa" w:w="60"/>
              <w:left w:type="dxa" w:w="100"/>
              <w:bottom w:type="dxa" w:w="60"/>
              <w:right w:type="dxa" w:w="100"/>
            </w:tcMar>
            <w:vAlign w:val="center"/>
          </w:tcPr>
          <w:p>
            <w:pPr>
              <w:jc w:val="left"/>
            </w:pPr>
            <w:r>
              <w:rPr>
                <w:b w:val="false"/>
                <w:bCs w:val="false"/>
              </w:rPr>
              <w:t xml:space="preserve">0.240</w:t>
            </w:r>
          </w:p>
        </w:tc>
        <w:tc>
          <w:tcPr>
            <w:tcW w:type="dxa" w:w="1875"/>
            <w:tcMar>
              <w:top w:type="dxa" w:w="60"/>
              <w:left w:type="dxa" w:w="100"/>
              <w:bottom w:type="dxa" w:w="60"/>
              <w:right w:type="dxa" w:w="100"/>
            </w:tcMar>
            <w:vAlign w:val="center"/>
          </w:tcPr>
          <w:p>
            <w:pPr>
              <w:jc w:val="left"/>
            </w:pPr>
            <w:r>
              <w:rPr>
                <w:b w:val="false"/>
                <w:bCs w:val="false"/>
              </w:rPr>
              <w:t xml:space="preserve">&lt;.0001</w:t>
            </w:r>
          </w:p>
        </w:tc>
      </w:tr>
    </w:tbl>
    <w:p>
      <w:pPr>
        <w:spacing w:after="80"/>
      </w:pPr>
    </w:p>
    <w:p>
      <w:pPr>
        <w:spacing w:after="120"/>
      </w:pPr>
      <w:r>
        <w:rPr>
          <w:b/>
          <w:bCs/>
        </w:rPr>
        <w:t xml:space="preserve">（参考）このモデルのランダム効果分散：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6"/>
        <w:gridCol w:w="1875"/>
        <w:gridCol w:w="1875"/>
      </w:tblGrid>
      <w:tr>
        <w:trPr>
          <w:tblHeader/>
        </w:trPr>
        <w:tc>
          <w:tcPr>
            <w:tcW w:type="dxa" w:w="3400"/>
            <w:shd w:fill="D9E2F3" w:val="clear"/>
            <w:tcMar>
              <w:top w:type="dxa" w:w="60"/>
              <w:left w:type="dxa" w:w="100"/>
              <w:bottom w:type="dxa" w:w="60"/>
              <w:right w:type="dxa" w:w="100"/>
            </w:tcMar>
            <w:vAlign w:val="center"/>
          </w:tcPr>
          <w:p>
            <w:pPr>
              <w:jc w:val="center"/>
            </w:pPr>
            <w:r>
              <w:rPr>
                <w:b/>
                <w:bCs/>
              </w:rPr>
              <w:t xml:space="preserve">パラメータ</w:t>
            </w:r>
          </w:p>
        </w:tc>
        <w:tc>
          <w:tcPr>
            <w:tcW w:type="dxa" w:w="1876"/>
            <w:shd w:fill="D9E2F3" w:val="clear"/>
            <w:tcMar>
              <w:top w:type="dxa" w:w="60"/>
              <w:left w:type="dxa" w:w="100"/>
              <w:bottom w:type="dxa" w:w="60"/>
              <w:right w:type="dxa" w:w="100"/>
            </w:tcMar>
            <w:vAlign w:val="center"/>
          </w:tcPr>
          <w:p>
            <w:pPr>
              <w:jc w:val="center"/>
            </w:pPr>
            <w:r>
              <w:rPr>
                <w:b/>
                <w:bCs/>
              </w:rPr>
              <w:t xml:space="preserve">推定値</w:t>
            </w:r>
          </w:p>
        </w:tc>
        <w:tc>
          <w:tcPr>
            <w:tcW w:type="dxa" w:w="1875"/>
            <w:shd w:fill="D9E2F3" w:val="clear"/>
            <w:tcMar>
              <w:top w:type="dxa" w:w="60"/>
              <w:left w:type="dxa" w:w="100"/>
              <w:bottom w:type="dxa" w:w="60"/>
              <w:right w:type="dxa" w:w="100"/>
            </w:tcMar>
            <w:vAlign w:val="center"/>
          </w:tcPr>
          <w:p>
            <w:pPr>
              <w:jc w:val="center"/>
            </w:pPr>
            <w:r>
              <w:rPr>
                <w:b/>
                <w:bCs/>
              </w:rPr>
              <w:t xml:space="preserve">SE</w:t>
            </w:r>
          </w:p>
        </w:tc>
        <w:tc>
          <w:tcPr>
            <w:tcW w:type="dxa" w:w="1875"/>
            <w:shd w:fill="D9E2F3" w:val="clear"/>
            <w:tcMar>
              <w:top w:type="dxa" w:w="60"/>
              <w:left w:type="dxa" w:w="100"/>
              <w:bottom w:type="dxa" w:w="60"/>
              <w:right w:type="dxa" w:w="100"/>
            </w:tcMar>
            <w:vAlign w:val="center"/>
          </w:tcPr>
          <w:p>
            <w:pPr>
              <w:jc w:val="center"/>
            </w:pPr>
            <w:r>
              <w:rPr>
                <w:b/>
                <w:bCs/>
              </w:rPr>
              <w:t xml:space="preserve">p値</w:t>
            </w:r>
          </w:p>
        </w:tc>
      </w:tr>
      <w:tr>
        <w:tc>
          <w:tcPr>
            <w:tcW w:type="dxa" w:w="3400"/>
            <w:tcMar>
              <w:top w:type="dxa" w:w="60"/>
              <w:left w:type="dxa" w:w="100"/>
              <w:bottom w:type="dxa" w:w="60"/>
              <w:right w:type="dxa" w:w="100"/>
            </w:tcMar>
            <w:vAlign w:val="center"/>
          </w:tcPr>
          <w:p>
            <w:pPr>
              <w:jc w:val="left"/>
            </w:pPr>
            <w:r>
              <w:rPr>
                <w:b w:val="false"/>
                <w:bCs w:val="false"/>
              </w:rPr>
              <w:t xml:space="preserve">Var(Intercept)</w:t>
            </w:r>
          </w:p>
        </w:tc>
        <w:tc>
          <w:tcPr>
            <w:tcW w:type="dxa" w:w="1876"/>
            <w:tcMar>
              <w:top w:type="dxa" w:w="60"/>
              <w:left w:type="dxa" w:w="100"/>
              <w:bottom w:type="dxa" w:w="60"/>
              <w:right w:type="dxa" w:w="100"/>
            </w:tcMar>
            <w:vAlign w:val="center"/>
          </w:tcPr>
          <w:p>
            <w:pPr>
              <w:jc w:val="left"/>
            </w:pPr>
            <w:r>
              <w:rPr>
                <w:b w:val="false"/>
                <w:bCs w:val="false"/>
              </w:rPr>
              <w:t xml:space="preserve">2.382</w:t>
            </w:r>
          </w:p>
        </w:tc>
        <w:tc>
          <w:tcPr>
            <w:tcW w:type="dxa" w:w="1875"/>
            <w:tcMar>
              <w:top w:type="dxa" w:w="60"/>
              <w:left w:type="dxa" w:w="100"/>
              <w:bottom w:type="dxa" w:w="60"/>
              <w:right w:type="dxa" w:w="100"/>
            </w:tcMar>
            <w:vAlign w:val="center"/>
          </w:tcPr>
          <w:p>
            <w:pPr>
              <w:jc w:val="left"/>
            </w:pPr>
            <w:r>
              <w:rPr>
                <w:b w:val="false"/>
                <w:bCs w:val="false"/>
              </w:rPr>
              <w:t xml:space="preserve">0.372</w:t>
            </w:r>
          </w:p>
        </w:tc>
        <w:tc>
          <w:tcPr>
            <w:tcW w:type="dxa" w:w="1875"/>
            <w:tcMar>
              <w:top w:type="dxa" w:w="60"/>
              <w:left w:type="dxa" w:w="100"/>
              <w:bottom w:type="dxa" w:w="60"/>
              <w:right w:type="dxa" w:w="100"/>
            </w:tcMar>
            <w:vAlign w:val="center"/>
          </w:tcPr>
          <w:p>
            <w:pPr>
              <w:jc w:val="left"/>
            </w:pPr>
            <w:r>
              <w:rPr>
                <w:b w:val="false"/>
                <w:bCs w:val="false"/>
              </w:rPr>
              <w:t xml:space="preserve">&lt;.0001</w:t>
            </w:r>
          </w:p>
        </w:tc>
      </w:tr>
      <w:tr>
        <w:tc>
          <w:tcPr>
            <w:tcW w:type="dxa" w:w="3400"/>
            <w:tcMar>
              <w:top w:type="dxa" w:w="60"/>
              <w:left w:type="dxa" w:w="100"/>
              <w:bottom w:type="dxa" w:w="60"/>
              <w:right w:type="dxa" w:w="100"/>
            </w:tcMar>
            <w:vAlign w:val="center"/>
          </w:tcPr>
          <w:p>
            <w:pPr>
              <w:jc w:val="left"/>
            </w:pPr>
            <w:r>
              <w:rPr>
                <w:b w:val="false"/>
                <w:bCs w:val="false"/>
              </w:rPr>
              <w:t xml:space="preserve">Cov(Intercept, cses)</w:t>
            </w:r>
          </w:p>
        </w:tc>
        <w:tc>
          <w:tcPr>
            <w:tcW w:type="dxa" w:w="1876"/>
            <w:tcMar>
              <w:top w:type="dxa" w:w="60"/>
              <w:left w:type="dxa" w:w="100"/>
              <w:bottom w:type="dxa" w:w="60"/>
              <w:right w:type="dxa" w:w="100"/>
            </w:tcMar>
            <w:vAlign w:val="center"/>
          </w:tcPr>
          <w:p>
            <w:pPr>
              <w:jc w:val="left"/>
            </w:pPr>
            <w:r>
              <w:rPr>
                <w:b w:val="false"/>
                <w:bCs w:val="false"/>
              </w:rPr>
              <w:t xml:space="preserve">0.193</w:t>
            </w:r>
          </w:p>
        </w:tc>
        <w:tc>
          <w:tcPr>
            <w:tcW w:type="dxa" w:w="1875"/>
            <w:tcMar>
              <w:top w:type="dxa" w:w="60"/>
              <w:left w:type="dxa" w:w="100"/>
              <w:bottom w:type="dxa" w:w="60"/>
              <w:right w:type="dxa" w:w="100"/>
            </w:tcMar>
            <w:vAlign w:val="center"/>
          </w:tcPr>
          <w:p>
            <w:pPr>
              <w:jc w:val="left"/>
            </w:pPr>
            <w:r>
              <w:rPr>
                <w:b w:val="false"/>
                <w:bCs w:val="false"/>
              </w:rPr>
              <w:t xml:space="preserve">0.205</w:t>
            </w:r>
          </w:p>
        </w:tc>
        <w:tc>
          <w:tcPr>
            <w:tcW w:type="dxa" w:w="1875"/>
            <w:tcMar>
              <w:top w:type="dxa" w:w="60"/>
              <w:left w:type="dxa" w:w="100"/>
              <w:bottom w:type="dxa" w:w="60"/>
              <w:right w:type="dxa" w:w="100"/>
            </w:tcMar>
            <w:vAlign w:val="center"/>
          </w:tcPr>
          <w:p>
            <w:pPr>
              <w:jc w:val="left"/>
            </w:pPr>
            <w:r>
              <w:rPr>
                <w:b w:val="false"/>
                <w:bCs w:val="false"/>
              </w:rPr>
              <w:t xml:space="preserve">.346（非有意）</w:t>
            </w:r>
          </w:p>
        </w:tc>
      </w:tr>
      <w:tr>
        <w:tc>
          <w:tcPr>
            <w:tcW w:type="dxa" w:w="3400"/>
            <w:tcMar>
              <w:top w:type="dxa" w:w="60"/>
              <w:left w:type="dxa" w:w="100"/>
              <w:bottom w:type="dxa" w:w="60"/>
              <w:right w:type="dxa" w:w="100"/>
            </w:tcMar>
            <w:vAlign w:val="center"/>
          </w:tcPr>
          <w:p>
            <w:pPr>
              <w:jc w:val="left"/>
            </w:pPr>
            <w:r>
              <w:rPr>
                <w:b w:val="false"/>
                <w:bCs w:val="false"/>
              </w:rPr>
              <w:t xml:space="preserve">Var(cses)</w:t>
            </w:r>
          </w:p>
        </w:tc>
        <w:tc>
          <w:tcPr>
            <w:tcW w:type="dxa" w:w="1876"/>
            <w:tcMar>
              <w:top w:type="dxa" w:w="60"/>
              <w:left w:type="dxa" w:w="100"/>
              <w:bottom w:type="dxa" w:w="60"/>
              <w:right w:type="dxa" w:w="100"/>
            </w:tcMar>
            <w:vAlign w:val="center"/>
          </w:tcPr>
          <w:p>
            <w:pPr>
              <w:jc w:val="left"/>
            </w:pPr>
            <w:r>
              <w:rPr>
                <w:b w:val="false"/>
                <w:bCs w:val="false"/>
              </w:rPr>
              <w:t xml:space="preserve">0.101</w:t>
            </w:r>
          </w:p>
        </w:tc>
        <w:tc>
          <w:tcPr>
            <w:tcW w:type="dxa" w:w="1875"/>
            <w:tcMar>
              <w:top w:type="dxa" w:w="60"/>
              <w:left w:type="dxa" w:w="100"/>
              <w:bottom w:type="dxa" w:w="60"/>
              <w:right w:type="dxa" w:w="100"/>
            </w:tcMar>
            <w:vAlign w:val="center"/>
          </w:tcPr>
          <w:p>
            <w:pPr>
              <w:jc w:val="left"/>
            </w:pPr>
            <w:r>
              <w:rPr>
                <w:b w:val="false"/>
                <w:bCs w:val="false"/>
              </w:rPr>
              <w:t xml:space="preserve">0.214</w:t>
            </w:r>
          </w:p>
        </w:tc>
        <w:tc>
          <w:tcPr>
            <w:tcW w:type="dxa" w:w="1875"/>
            <w:tcMar>
              <w:top w:type="dxa" w:w="60"/>
              <w:left w:type="dxa" w:w="100"/>
              <w:bottom w:type="dxa" w:w="60"/>
              <w:right w:type="dxa" w:w="100"/>
            </w:tcMar>
            <w:vAlign w:val="center"/>
          </w:tcPr>
          <w:p>
            <w:pPr>
              <w:jc w:val="left"/>
            </w:pPr>
            <w:r>
              <w:rPr>
                <w:b w:val="false"/>
                <w:bCs w:val="false"/>
              </w:rPr>
              <w:t xml:space="preserve">.318（非有意）</w:t>
            </w:r>
          </w:p>
        </w:tc>
      </w:tr>
    </w:tbl>
    <w:p>
      <w:pPr>
        <w:spacing w:after="100"/>
      </w:pPr>
    </w:p>
    <w:p>
      <w:pPr>
        <w:spacing w:after="140"/>
      </w:pPr>
      <w:r>
        <w:rPr>
          <w:b/>
          <w:bCs/>
          <w:color w:val="1F4E79"/>
        </w:rPr>
        <w:t xml:space="preserve">Q1.　</w:t>
      </w:r>
      <w:r>
        <w:t xml:space="preserve">sector*csesは負（-1.643）。sector=1（カトリック系）では、公立（sector=0）に比べてSESの効果（傾き）が1.643小さい。つまりカトリック系学校では、生徒の経済的背景による成績格差が公立学校より小さく、より「平等」な成績分布になっている。</w:t>
      </w:r>
    </w:p>
    <w:p>
      <w:pPr>
        <w:spacing w:after="140"/>
      </w:pPr>
      <w:r>
        <w:rPr>
          <w:b/>
          <w:bCs/>
          <w:color w:val="1F4E79"/>
        </w:rPr>
        <w:t xml:space="preserve">Q2.　</w:t>
      </w:r>
      <w:r>
        <w:t xml:space="preserve">meanses*csesが正（1.039）であることは、学校平均SESが高い学校ほど、生徒個人のSESが達成度に与える影響（傾き）がより強くなることを意味する。つまり、豊かな学校ほど、生徒間の経済的背景による成績差が拡大しやすい。</w:t>
      </w:r>
    </w:p>
    <w:p>
      <w:pPr>
        <w:spacing w:after="140"/>
      </w:pPr>
      <w:r>
        <w:rPr>
          <w:b/>
          <w:bCs/>
          <w:color w:val="1F4E79"/>
        </w:rPr>
        <w:t xml:space="preserve">Q3.　</w:t>
      </w:r>
      <w:r>
        <w:t xml:space="preserve">Var(cses)はModel 3の0.694（p=.0067、有意）からModel 4では0.101（p=.318、非有意）へ大きく減少した。これはmeanses*csesとsector*cses という2つの学校レベル交互作用項が、傾きの学校間ばらつきの大部分を説明してしまったことを示す。すなわち、Model 3で見られた「学校ごとに異なるSESの効果」は、主に学校のSECTOR（公立/カトリック）とMEANSES（平均SES）の違いに起因していたと解釈できる。</w:t>
      </w:r>
    </w:p>
    <w:p>
      <w:pPr>
        <w:spacing w:after="200"/>
      </w:pPr>
    </w:p>
    <w:p>
      <w:r>
        <w:br w:type="page"/>
      </w:r>
    </w:p>
    <w:p>
      <w:pPr>
        <w:pStyle w:val="Heading1"/>
        <w:spacing w:after="150" w:before="300"/>
      </w:pPr>
      <w:r>
        <w:t xml:space="preserve">モデル比較 ― 解答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9"/>
        <w:gridCol w:w="2409"/>
        <w:gridCol w:w="2408"/>
      </w:tblGrid>
      <w:tr>
        <w:trPr>
          <w:tblHeader/>
        </w:trPr>
        <w:tc>
          <w:tcPr>
            <w:tcW w:type="dxa" w:w="1800"/>
            <w:shd w:fill="D9E2F3" w:val="clear"/>
            <w:tcMar>
              <w:top w:type="dxa" w:w="60"/>
              <w:left w:type="dxa" w:w="100"/>
              <w:bottom w:type="dxa" w:w="60"/>
              <w:right w:type="dxa" w:w="100"/>
            </w:tcMar>
            <w:vAlign w:val="center"/>
          </w:tcPr>
          <w:p>
            <w:pPr>
              <w:jc w:val="center"/>
            </w:pPr>
            <w:r>
              <w:rPr>
                <w:b/>
                <w:bCs/>
              </w:rPr>
              <w:t xml:space="preserve">モデル</w:t>
            </w:r>
          </w:p>
        </w:tc>
        <w:tc>
          <w:tcPr>
            <w:tcW w:type="dxa" w:w="2409"/>
            <w:shd w:fill="D9E2F3" w:val="clear"/>
            <w:tcMar>
              <w:top w:type="dxa" w:w="60"/>
              <w:left w:type="dxa" w:w="100"/>
              <w:bottom w:type="dxa" w:w="60"/>
              <w:right w:type="dxa" w:w="100"/>
            </w:tcMar>
            <w:vAlign w:val="center"/>
          </w:tcPr>
          <w:p>
            <w:pPr>
              <w:jc w:val="center"/>
            </w:pPr>
            <w:r>
              <w:rPr>
                <w:b/>
                <w:bCs/>
              </w:rPr>
              <w:t xml:space="preserve">AIC</w:t>
            </w:r>
          </w:p>
        </w:tc>
        <w:tc>
          <w:tcPr>
            <w:tcW w:type="dxa" w:w="2409"/>
            <w:shd w:fill="D9E2F3" w:val="clear"/>
            <w:tcMar>
              <w:top w:type="dxa" w:w="60"/>
              <w:left w:type="dxa" w:w="100"/>
              <w:bottom w:type="dxa" w:w="60"/>
              <w:right w:type="dxa" w:w="100"/>
            </w:tcMar>
            <w:vAlign w:val="center"/>
          </w:tcPr>
          <w:p>
            <w:pPr>
              <w:jc w:val="center"/>
            </w:pPr>
            <w:r>
              <w:rPr>
                <w:b/>
                <w:bCs/>
              </w:rPr>
              <w:t xml:space="preserve">BIC</w:t>
            </w:r>
          </w:p>
        </w:tc>
        <w:tc>
          <w:tcPr>
            <w:tcW w:type="dxa" w:w="2408"/>
            <w:shd w:fill="D9E2F3" w:val="clear"/>
            <w:tcMar>
              <w:top w:type="dxa" w:w="60"/>
              <w:left w:type="dxa" w:w="100"/>
              <w:bottom w:type="dxa" w:w="60"/>
              <w:right w:type="dxa" w:w="100"/>
            </w:tcMar>
            <w:vAlign w:val="center"/>
          </w:tcPr>
          <w:p>
            <w:pPr>
              <w:jc w:val="center"/>
            </w:pPr>
            <w:r>
              <w:rPr>
                <w:b/>
                <w:bCs/>
              </w:rPr>
              <w:t xml:space="preserve">主な追加要素</w:t>
            </w:r>
          </w:p>
        </w:tc>
      </w:tr>
      <w:tr>
        <w:tc>
          <w:tcPr>
            <w:tcW w:type="dxa" w:w="1800"/>
            <w:tcMar>
              <w:top w:type="dxa" w:w="60"/>
              <w:left w:type="dxa" w:w="100"/>
              <w:bottom w:type="dxa" w:w="60"/>
              <w:right w:type="dxa" w:w="100"/>
            </w:tcMar>
            <w:vAlign w:val="center"/>
          </w:tcPr>
          <w:p>
            <w:pPr>
              <w:jc w:val="left"/>
            </w:pPr>
            <w:r>
              <w:rPr>
                <w:b w:val="false"/>
                <w:bCs w:val="false"/>
              </w:rPr>
              <w:t xml:space="preserve">Model 1（無条件）</w:t>
            </w:r>
          </w:p>
        </w:tc>
        <w:tc>
          <w:tcPr>
            <w:tcW w:type="dxa" w:w="2409"/>
            <w:tcMar>
              <w:top w:type="dxa" w:w="60"/>
              <w:left w:type="dxa" w:w="100"/>
              <w:bottom w:type="dxa" w:w="60"/>
              <w:right w:type="dxa" w:w="100"/>
            </w:tcMar>
            <w:vAlign w:val="center"/>
          </w:tcPr>
          <w:p>
            <w:pPr>
              <w:jc w:val="left"/>
            </w:pPr>
            <w:r>
              <w:rPr>
                <w:b w:val="false"/>
                <w:bCs w:val="false"/>
              </w:rPr>
              <w:t xml:space="preserve">47120.8</w:t>
            </w:r>
          </w:p>
        </w:tc>
        <w:tc>
          <w:tcPr>
            <w:tcW w:type="dxa" w:w="2409"/>
            <w:tcMar>
              <w:top w:type="dxa" w:w="60"/>
              <w:left w:type="dxa" w:w="100"/>
              <w:bottom w:type="dxa" w:w="60"/>
              <w:right w:type="dxa" w:w="100"/>
            </w:tcMar>
            <w:vAlign w:val="center"/>
          </w:tcPr>
          <w:p>
            <w:pPr>
              <w:jc w:val="left"/>
            </w:pPr>
            <w:r>
              <w:rPr>
                <w:b w:val="false"/>
                <w:bCs w:val="false"/>
              </w:rPr>
              <w:t xml:space="preserve">47126.9</w:t>
            </w:r>
          </w:p>
        </w:tc>
        <w:tc>
          <w:tcPr>
            <w:tcW w:type="dxa" w:w="2408"/>
            <w:tcMar>
              <w:top w:type="dxa" w:w="60"/>
              <w:left w:type="dxa" w:w="100"/>
              <w:bottom w:type="dxa" w:w="60"/>
              <w:right w:type="dxa" w:w="100"/>
            </w:tcMar>
            <w:vAlign w:val="center"/>
          </w:tcPr>
          <w:p>
            <w:pPr>
              <w:jc w:val="left"/>
            </w:pPr>
            <w:r>
              <w:rPr>
                <w:b w:val="false"/>
                <w:bCs w:val="false"/>
              </w:rPr>
              <w:t xml:space="preserve">なし（切片のみ）</w:t>
            </w:r>
          </w:p>
        </w:tc>
      </w:tr>
      <w:tr>
        <w:tc>
          <w:tcPr>
            <w:tcW w:type="dxa" w:w="1800"/>
            <w:tcMar>
              <w:top w:type="dxa" w:w="60"/>
              <w:left w:type="dxa" w:w="100"/>
              <w:bottom w:type="dxa" w:w="60"/>
              <w:right w:type="dxa" w:w="100"/>
            </w:tcMar>
            <w:vAlign w:val="center"/>
          </w:tcPr>
          <w:p>
            <w:pPr>
              <w:jc w:val="left"/>
            </w:pPr>
            <w:r>
              <w:rPr>
                <w:b w:val="false"/>
                <w:bCs w:val="false"/>
              </w:rPr>
              <w:t xml:space="preserve">Model 2（+meanses）</w:t>
            </w:r>
          </w:p>
        </w:tc>
        <w:tc>
          <w:tcPr>
            <w:tcW w:type="dxa" w:w="2409"/>
            <w:tcMar>
              <w:top w:type="dxa" w:w="60"/>
              <w:left w:type="dxa" w:w="100"/>
              <w:bottom w:type="dxa" w:w="60"/>
              <w:right w:type="dxa" w:w="100"/>
            </w:tcMar>
            <w:vAlign w:val="center"/>
          </w:tcPr>
          <w:p>
            <w:pPr>
              <w:jc w:val="left"/>
            </w:pPr>
            <w:r>
              <w:rPr>
                <w:b w:val="false"/>
                <w:bCs w:val="false"/>
              </w:rPr>
              <w:t xml:space="preserve">46965.3</w:t>
            </w:r>
          </w:p>
        </w:tc>
        <w:tc>
          <w:tcPr>
            <w:tcW w:type="dxa" w:w="2409"/>
            <w:tcMar>
              <w:top w:type="dxa" w:w="60"/>
              <w:left w:type="dxa" w:w="100"/>
              <w:bottom w:type="dxa" w:w="60"/>
              <w:right w:type="dxa" w:w="100"/>
            </w:tcMar>
            <w:vAlign w:val="center"/>
          </w:tcPr>
          <w:p>
            <w:pPr>
              <w:jc w:val="left"/>
            </w:pPr>
            <w:r>
              <w:rPr>
                <w:b w:val="false"/>
                <w:bCs w:val="false"/>
              </w:rPr>
              <w:t xml:space="preserve">46971.4</w:t>
            </w:r>
          </w:p>
        </w:tc>
        <w:tc>
          <w:tcPr>
            <w:tcW w:type="dxa" w:w="2408"/>
            <w:tcMar>
              <w:top w:type="dxa" w:w="60"/>
              <w:left w:type="dxa" w:w="100"/>
              <w:bottom w:type="dxa" w:w="60"/>
              <w:right w:type="dxa" w:w="100"/>
            </w:tcMar>
            <w:vAlign w:val="center"/>
          </w:tcPr>
          <w:p>
            <w:pPr>
              <w:jc w:val="left"/>
            </w:pPr>
            <w:r>
              <w:rPr>
                <w:b w:val="false"/>
                <w:bCs w:val="false"/>
              </w:rPr>
              <w:t xml:space="preserve">学校レベル予測変数</w:t>
            </w:r>
          </w:p>
        </w:tc>
      </w:tr>
      <w:tr>
        <w:tc>
          <w:tcPr>
            <w:tcW w:type="dxa" w:w="1800"/>
            <w:tcMar>
              <w:top w:type="dxa" w:w="60"/>
              <w:left w:type="dxa" w:w="100"/>
              <w:bottom w:type="dxa" w:w="60"/>
              <w:right w:type="dxa" w:w="100"/>
            </w:tcMar>
            <w:vAlign w:val="center"/>
          </w:tcPr>
          <w:p>
            <w:pPr>
              <w:jc w:val="left"/>
            </w:pPr>
            <w:r>
              <w:rPr>
                <w:b w:val="false"/>
                <w:bCs w:val="false"/>
              </w:rPr>
              <w:t xml:space="preserve">Model 3（+cses ランダム傾き）</w:t>
            </w:r>
          </w:p>
        </w:tc>
        <w:tc>
          <w:tcPr>
            <w:tcW w:type="dxa" w:w="2409"/>
            <w:tcMar>
              <w:top w:type="dxa" w:w="60"/>
              <w:left w:type="dxa" w:w="100"/>
              <w:bottom w:type="dxa" w:w="60"/>
              <w:right w:type="dxa" w:w="100"/>
            </w:tcMar>
            <w:vAlign w:val="center"/>
          </w:tcPr>
          <w:p>
            <w:pPr>
              <w:jc w:val="left"/>
            </w:pPr>
            <w:r>
              <w:rPr>
                <w:b w:val="false"/>
                <w:bCs w:val="false"/>
              </w:rPr>
              <w:t xml:space="preserve">46722.2</w:t>
            </w:r>
          </w:p>
        </w:tc>
        <w:tc>
          <w:tcPr>
            <w:tcW w:type="dxa" w:w="2409"/>
            <w:tcMar>
              <w:top w:type="dxa" w:w="60"/>
              <w:left w:type="dxa" w:w="100"/>
              <w:bottom w:type="dxa" w:w="60"/>
              <w:right w:type="dxa" w:w="100"/>
            </w:tcMar>
            <w:vAlign w:val="center"/>
          </w:tcPr>
          <w:p>
            <w:pPr>
              <w:jc w:val="left"/>
            </w:pPr>
            <w:r>
              <w:rPr>
                <w:b w:val="false"/>
                <w:bCs w:val="false"/>
              </w:rPr>
              <w:t xml:space="preserve">46734.5</w:t>
            </w:r>
          </w:p>
        </w:tc>
        <w:tc>
          <w:tcPr>
            <w:tcW w:type="dxa" w:w="2408"/>
            <w:tcMar>
              <w:top w:type="dxa" w:w="60"/>
              <w:left w:type="dxa" w:w="100"/>
              <w:bottom w:type="dxa" w:w="60"/>
              <w:right w:type="dxa" w:w="100"/>
            </w:tcMar>
            <w:vAlign w:val="center"/>
          </w:tcPr>
          <w:p>
            <w:pPr>
              <w:jc w:val="left"/>
            </w:pPr>
            <w:r>
              <w:rPr>
                <w:b w:val="false"/>
                <w:bCs w:val="false"/>
              </w:rPr>
              <w:t xml:space="preserve">生徒レベル・ランダム傾き</w:t>
            </w:r>
          </w:p>
        </w:tc>
      </w:tr>
      <w:tr>
        <w:tc>
          <w:tcPr>
            <w:tcW w:type="dxa" w:w="1800"/>
            <w:tcMar>
              <w:top w:type="dxa" w:w="60"/>
              <w:left w:type="dxa" w:w="100"/>
              <w:bottom w:type="dxa" w:w="60"/>
              <w:right w:type="dxa" w:w="100"/>
            </w:tcMar>
            <w:vAlign w:val="center"/>
          </w:tcPr>
          <w:p>
            <w:pPr>
              <w:jc w:val="left"/>
            </w:pPr>
            <w:r>
              <w:rPr>
                <w:b w:val="false"/>
                <w:bCs w:val="false"/>
              </w:rPr>
              <w:t xml:space="preserve">Model 4（+交互作用）</w:t>
            </w:r>
          </w:p>
        </w:tc>
        <w:tc>
          <w:tcPr>
            <w:tcW w:type="dxa" w:w="2409"/>
            <w:tcMar>
              <w:top w:type="dxa" w:w="60"/>
              <w:left w:type="dxa" w:w="100"/>
              <w:bottom w:type="dxa" w:w="60"/>
              <w:right w:type="dxa" w:w="100"/>
            </w:tcMar>
            <w:vAlign w:val="center"/>
          </w:tcPr>
          <w:p>
            <w:pPr>
              <w:jc w:val="left"/>
            </w:pPr>
            <w:r>
              <w:rPr>
                <w:b w:val="false"/>
                <w:bCs w:val="false"/>
              </w:rPr>
              <w:t xml:space="preserve">46511.7</w:t>
            </w:r>
          </w:p>
        </w:tc>
        <w:tc>
          <w:tcPr>
            <w:tcW w:type="dxa" w:w="2409"/>
            <w:tcMar>
              <w:top w:type="dxa" w:w="60"/>
              <w:left w:type="dxa" w:w="100"/>
              <w:bottom w:type="dxa" w:w="60"/>
              <w:right w:type="dxa" w:w="100"/>
            </w:tcMar>
            <w:vAlign w:val="center"/>
          </w:tcPr>
          <w:p>
            <w:pPr>
              <w:jc w:val="left"/>
            </w:pPr>
            <w:r>
              <w:rPr>
                <w:b w:val="false"/>
                <w:bCs w:val="false"/>
              </w:rPr>
              <w:t xml:space="preserve">46524.0</w:t>
            </w:r>
          </w:p>
        </w:tc>
        <w:tc>
          <w:tcPr>
            <w:tcW w:type="dxa" w:w="2408"/>
            <w:tcMar>
              <w:top w:type="dxa" w:w="60"/>
              <w:left w:type="dxa" w:w="100"/>
              <w:bottom w:type="dxa" w:w="60"/>
              <w:right w:type="dxa" w:w="100"/>
            </w:tcMar>
            <w:vAlign w:val="center"/>
          </w:tcPr>
          <w:p>
            <w:pPr>
              <w:jc w:val="left"/>
            </w:pPr>
            <w:r>
              <w:rPr>
                <w:b w:val="false"/>
                <w:bCs w:val="false"/>
              </w:rPr>
              <w:t xml:space="preserve">クロスレベル交互作用</w:t>
            </w:r>
          </w:p>
        </w:tc>
      </w:tr>
    </w:tbl>
    <w:p>
      <w:pPr>
        <w:spacing w:after="100"/>
      </w:pPr>
    </w:p>
    <w:p>
      <w:pPr>
        <w:spacing w:after="140"/>
      </w:pPr>
      <w:r>
        <w:rPr>
          <w:b/>
          <w:bCs/>
          <w:color w:val="1F4E79"/>
        </w:rPr>
        <w:t xml:space="preserve">Q1.　</w:t>
      </w:r>
      <w:r>
        <w:t xml:space="preserve">Model 4が最小（AIC=46511.7, BIC=46524.0）。AIC・BICは尤度に基づく当てはまりの指標で、値が小さいほど「データをよりよく説明しながら、パラメータ数が過剰でない」モデルとみなされる。Model 1→4にかけて単調に減少しており、各ステップで追加した効果がいずれもモデルの説明力を高めていることが分かる。</w:t>
      </w:r>
    </w:p>
    <w:p>
      <w:pPr>
        <w:spacing w:after="140"/>
      </w:pPr>
      <w:r>
        <w:rPr>
          <w:b/>
          <w:bCs/>
          <w:color w:val="1F4E79"/>
        </w:rPr>
        <w:t xml:space="preserve">Q2.　</w:t>
      </w:r>
      <w:r>
        <w:t xml:space="preserve">AICの減少幅は Model1→2で155.5、Model2→3で243.1、Model3→4で210.5。Model2→3とModel3→4の改善が、Model1→2より大きい。特にModel3（生徒レベルのランダム傾き導入）は、Raftery(1995)の目安（BIC差&gt;10で「非常に強い証拠」）に照らしても明確に支持される改善である。</w:t>
      </w:r>
    </w:p>
    <w:p>
      <w:pPr>
        <w:spacing w:after="200"/>
      </w:pPr>
    </w:p>
    <w:p>
      <w:pPr>
        <w:pStyle w:val="Heading1"/>
        <w:spacing w:after="150" w:before="300"/>
      </w:pPr>
      <w:r>
        <w:t xml:space="preserve">発展課題（考察）― 回答例</w:t>
      </w:r>
    </w:p>
    <w:p>
      <w:pPr>
        <w:spacing w:after="150"/>
      </w:pPr>
      <w:r>
        <w:rPr>
          <w:i/>
          <w:iCs/>
          <w:color w:val="555555"/>
          <w:sz w:val="20"/>
          <w:szCs w:val="20"/>
        </w:rPr>
        <w:t xml:space="preserve">以下は「唯一の正解」ではなく、議論の出発点となる回答例です。学生の答案を評価する際の観点として利用してください。</w:t>
      </w:r>
    </w:p>
    <w:p>
      <w:pPr>
        <w:pStyle w:val="Heading2"/>
        <w:spacing w:after="100" w:before="200"/>
      </w:pPr>
      <w:r>
        <w:t xml:space="preserve">課題1：階層構造の置き換え設計</w:t>
      </w:r>
    </w:p>
    <w:p>
      <w:pPr>
        <w:spacing w:after="120"/>
      </w:pPr>
      <w:r>
        <w:t xml:space="preserve">回答例（病院データの場合）：アウトカムを「患者の退院時mRS（modified Rankin Scale）」などの臨床アウトカムとし、Level-1（患者レベル）変数に年齢・NIHSS・併存疾患などの患者特性、Level-2（病院レベル）変数に病院の年間症例数・脳卒中センター指定の有無・地域医療圏の人口密度などを対応させる設計が考えられる。HSBのschool→病院、student→患者、ses→患者の重症度、meanses→病院の平均重症度（ケースミックス）、sector→病院の機能分化区分（例：一次/二次/三次医療機関）に相当する。</w:t>
      </w:r>
    </w:p>
    <w:p>
      <w:pPr>
        <w:spacing w:after="80"/>
      </w:pPr>
    </w:p>
    <w:p>
      <w:pPr>
        <w:pStyle w:val="Heading2"/>
        <w:spacing w:after="100" w:before="200"/>
      </w:pPr>
      <w:r>
        <w:t xml:space="preserve">課題2：ICCの大小と階層構造無視の弊害</w:t>
      </w:r>
    </w:p>
    <w:p>
      <w:pPr>
        <w:spacing w:after="120"/>
      </w:pPr>
      <w:r>
        <w:t xml:space="preserve">回答例：ICCが低い（例&lt;0.02）場合、クラスター化による標準誤差の過小評価は軽微であり、通常のOLS回帰でも大きな誤りは生じにくい。一方、本演習のようにICC=0.18と高い場合、施設内の相関を無視した分析は標準誤差を大きく過小評価し、本来有意でない効果を有意と誤判定するリスク（第一種の過誤の増大）が顕著になる。デザインエフェクト（1+(平均クラスターサイズ-1)×ICC）で定量化すると、クラスターサイズが大きいほど影響はさらに拡大する。</w:t>
      </w:r>
    </w:p>
    <w:p>
      <w:pPr>
        <w:spacing w:after="80"/>
      </w:pPr>
    </w:p>
    <w:p>
      <w:pPr>
        <w:pStyle w:val="Heading2"/>
        <w:spacing w:after="100" w:before="200"/>
      </w:pPr>
      <w:r>
        <w:t xml:space="preserve">課題3：交互作用解釈における交絡</w:t>
      </w:r>
    </w:p>
    <w:p>
      <w:pPr>
        <w:spacing w:after="120"/>
      </w:pPr>
      <w:r>
        <w:t xml:space="preserve">回答例：meanses*cses や sector*cses に相当する交互作用（例：病院の症例数×患者重症度）を解釈する際は、施設選択バイアス（重症患者が特定の病院に集約される傾向）や、未測定の病院特性（医療従事者の専門性、地域の搬送体制）が交絡因子となりうる。観察データでは、こうした交絡により「病院の特性が効果を修飾している」ように見えて、実際は患者構成の違いを反映しているだけの可能性がある点に注意が必要である。</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2026-07-13T13:09:01.764Z</dcterms:created>
  <dcterms:modified xsi:type="dcterms:W3CDTF">2026-07-13T13:09:01.787Z</dcterms:modified>
</cp:coreProperties>
</file>

<file path=docProps/custom.xml><?xml version="1.0" encoding="utf-8"?>
<Properties xmlns="http://schemas.openxmlformats.org/officeDocument/2006/custom-properties" xmlns:vt="http://schemas.openxmlformats.org/officeDocument/2006/docPropsVTypes"/>
</file>