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A0170" w14:textId="2FDA6CD3" w:rsidR="003D4071" w:rsidRDefault="003D4071" w:rsidP="003D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Rate Limit </w:t>
      </w:r>
      <w:r w:rsidR="002A1D3E">
        <w:rPr>
          <w:rFonts w:ascii="Times New Roman" w:eastAsia="Times New Roman" w:hAnsi="Times New Roman" w:cs="Times New Roman"/>
          <w:sz w:val="24"/>
          <w:szCs w:val="24"/>
        </w:rPr>
        <w:t>Change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Request</w:t>
      </w:r>
    </w:p>
    <w:p w14:paraId="5E0CBE3F" w14:textId="77777777" w:rsidR="003D4071" w:rsidRDefault="003D4071" w:rsidP="003D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FF67A" w14:textId="66301600" w:rsidR="00AE29DB" w:rsidRDefault="003D4071" w:rsidP="003D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Number:</w:t>
      </w:r>
      <w:r w:rsidR="002A1D3E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E062A06" w14:textId="77777777" w:rsidR="003D4071" w:rsidRPr="003D4071" w:rsidRDefault="003D4071" w:rsidP="003D40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6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3491"/>
        <w:gridCol w:w="5311"/>
      </w:tblGrid>
      <w:tr w:rsidR="00AE29DB" w:rsidRPr="003D4071" w14:paraId="6CF0E89E" w14:textId="77777777" w:rsidTr="00AE29DB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5CC16182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b/>
                <w:bCs/>
                <w:color w:val="172B4D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b/>
                <w:bCs/>
                <w:color w:val="172B4D"/>
                <w:sz w:val="21"/>
                <w:szCs w:val="21"/>
              </w:rPr>
              <w:t>Fields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1C69956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b/>
                <w:bCs/>
                <w:color w:val="172B4D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b/>
                <w:bCs/>
                <w:color w:val="172B4D"/>
                <w:sz w:val="21"/>
                <w:szCs w:val="21"/>
              </w:rPr>
              <w:t>Values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3AF53B4E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b/>
                <w:bCs/>
                <w:color w:val="172B4D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b/>
                <w:bCs/>
                <w:color w:val="172B4D"/>
                <w:sz w:val="21"/>
                <w:szCs w:val="21"/>
              </w:rPr>
              <w:t>Notes</w:t>
            </w:r>
          </w:p>
        </w:tc>
      </w:tr>
      <w:tr w:rsidR="00AE29DB" w:rsidRPr="003D4071" w14:paraId="351DF902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18D89A" w14:textId="6585D7B1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Products &amp; Service Name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3A78AA" w14:textId="0C18A162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34012E" w14:textId="32654DE5" w:rsidR="003D4071" w:rsidRPr="003D4071" w:rsidRDefault="002A1D3E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e.g., BIM 360 Docs</w:t>
            </w:r>
            <w:r w:rsidR="00D66C3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, Data Management</w:t>
            </w:r>
            <w:r w:rsidR="00A47E9C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API</w:t>
            </w:r>
          </w:p>
        </w:tc>
      </w:tr>
      <w:tr w:rsidR="00AE29DB" w:rsidRPr="003D4071" w14:paraId="2F5D8CF9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E8B5A4" w14:textId="06D13A16" w:rsid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Environment 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8D3B61" w14:textId="59214D7C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Production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A2BDA2B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</w:p>
        </w:tc>
      </w:tr>
      <w:tr w:rsidR="00AE29DB" w:rsidRPr="003D4071" w14:paraId="71938C43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29668A" w14:textId="166E9BA5" w:rsidR="003D4071" w:rsidRPr="003D4071" w:rsidRDefault="002A1D3E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When do you need this by?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4FABB3" w14:textId="3F185C31" w:rsidR="003D4071" w:rsidRPr="003D4071" w:rsidRDefault="002A1D3E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e.g., </w:t>
            </w:r>
            <w:r w:rsidR="00674A35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Jan 31, </w:t>
            </w: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2021</w:t>
            </w:r>
            <w:r w:rsidR="003D4071"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 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9516AC" w14:textId="6367CD07" w:rsidR="003D4071" w:rsidRPr="003D4071" w:rsidRDefault="003D4071" w:rsidP="002A1D3E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The latest possible date that this specific request should be completed.</w:t>
            </w:r>
            <w:r w:rsidR="002A1D3E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</w:t>
            </w:r>
          </w:p>
        </w:tc>
      </w:tr>
      <w:tr w:rsidR="00AE29DB" w:rsidRPr="003D4071" w14:paraId="75BBCF98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478E6FE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Business Case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427377" w14:textId="32EB9944" w:rsidR="003D4071" w:rsidRPr="003D4071" w:rsidRDefault="002A1D3E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&lt;</w:t>
            </w:r>
            <w:r w:rsidR="003D4071"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Business justification</w:t>
            </w: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&gt;</w:t>
            </w:r>
            <w:r w:rsidR="003D4071"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9548A3A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Describes the current issue and why a limit increase is needed.</w:t>
            </w:r>
          </w:p>
          <w:p w14:paraId="2B479F6D" w14:textId="77777777" w:rsidR="003D4071" w:rsidRPr="003D4071" w:rsidRDefault="003D4071" w:rsidP="003D4071">
            <w:pPr>
              <w:spacing w:before="150"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Include the impact of accomplishing or missing this rate limit change on the given requested deadline.</w:t>
            </w:r>
          </w:p>
        </w:tc>
      </w:tr>
      <w:tr w:rsidR="00AE29DB" w:rsidRPr="003D4071" w14:paraId="747244B7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18CA42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Forge App Key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141507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...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777939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The Forge client ID to apply this rate limit for</w:t>
            </w:r>
          </w:p>
        </w:tc>
      </w:tr>
      <w:tr w:rsidR="00AE29DB" w:rsidRPr="003D4071" w14:paraId="188CDD91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EC3057B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Forge App Name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B63A30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...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E342F7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Name of the Forge app above. This will also be used for our tracking.</w:t>
            </w:r>
          </w:p>
        </w:tc>
      </w:tr>
      <w:tr w:rsidR="00AE29DB" w:rsidRPr="003D4071" w14:paraId="53923848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1CC35D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Contact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7FAFC3" w14:textId="6AD19F4D" w:rsidR="003D4071" w:rsidRPr="003D4071" w:rsidRDefault="002A1D3E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&lt;Name(s) and e-</w:t>
            </w:r>
            <w:r w:rsidR="003D4071"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mail address/es</w:t>
            </w: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&gt;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8691BF" w14:textId="420E40C5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Contact person(s)</w:t>
            </w:r>
            <w:r w:rsidR="002A1D3E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</w:t>
            </w:r>
          </w:p>
        </w:tc>
      </w:tr>
      <w:tr w:rsidR="00AE29DB" w:rsidRPr="003D4071" w14:paraId="39B199FA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861194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Endpoint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5D1210" w14:textId="06D94610" w:rsidR="003D4071" w:rsidRPr="003D4071" w:rsidRDefault="002A1D3E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&lt;</w:t>
            </w:r>
            <w:r w:rsidR="003D4071"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List of endpoints</w:t>
            </w: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&gt;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8ACB99" w14:textId="69433966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Which endpoints to apply the rate limit for</w:t>
            </w:r>
          </w:p>
        </w:tc>
      </w:tr>
      <w:tr w:rsidR="00AE29DB" w:rsidRPr="003D4071" w14:paraId="372A3D78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D6CED26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Rate limits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D2C923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For every endpoint row above:</w:t>
            </w:r>
          </w:p>
          <w:p w14:paraId="5F7B00C8" w14:textId="4E40F086" w:rsidR="003D4071" w:rsidRPr="00AE29DB" w:rsidRDefault="003D4071" w:rsidP="00AE29D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Current rate limit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= 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br/>
            </w:r>
            <w:r w:rsidRP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If this is unknown to you, feel free to ask 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forge.help</w:t>
            </w:r>
            <w:r w:rsidRP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or leave blank.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br/>
            </w:r>
          </w:p>
          <w:p w14:paraId="0CD9D3EC" w14:textId="11B349D8" w:rsidR="003D4071" w:rsidRPr="00AE29DB" w:rsidRDefault="003D4071" w:rsidP="00AE29DB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New rate limit 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= 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br/>
            </w:r>
            <w:r w:rsidRP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The new rate limit you would like to have for this endpoint.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BA3C15B" w14:textId="2624910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The new rate limit requested. This is per minute (RPM). </w:t>
            </w:r>
          </w:p>
          <w:p w14:paraId="743D7182" w14:textId="500D9586" w:rsidR="003D4071" w:rsidRPr="003D4071" w:rsidRDefault="003D4071" w:rsidP="003D40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Increasing rate limit may take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</w:t>
            </w: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time since we need to review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</w:t>
            </w: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outgoing rate limits to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</w:t>
            </w: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downstream dependency services. In some cases, 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we</w:t>
            </w: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 will need to ask downstream to increase first before </w:t>
            </w:r>
            <w:r w:rsidR="00AE29DB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we </w:t>
            </w: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can accommodate the requested rate limit.</w:t>
            </w:r>
          </w:p>
          <w:p w14:paraId="743883EE" w14:textId="77777777" w:rsidR="003D4071" w:rsidRPr="003D4071" w:rsidRDefault="003D4071" w:rsidP="003D4071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Decreasing is faster as this does not need downstream rate limit review.</w:t>
            </w:r>
          </w:p>
        </w:tc>
      </w:tr>
      <w:tr w:rsidR="00AE29DB" w:rsidRPr="003D4071" w14:paraId="349C8407" w14:textId="77777777" w:rsidTr="00AE29DB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A84EFBF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Forecast</w:t>
            </w:r>
          </w:p>
        </w:tc>
        <w:tc>
          <w:tcPr>
            <w:tcW w:w="349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EE5359" w14:textId="6A56B356" w:rsidR="003D4071" w:rsidRPr="003D4071" w:rsidRDefault="00AE29DB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&lt;</w:t>
            </w:r>
            <w:r w:rsidR="003D4071"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>3 month forecast for the endpoints</w:t>
            </w:r>
            <w:r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&gt; </w:t>
            </w:r>
          </w:p>
        </w:tc>
        <w:tc>
          <w:tcPr>
            <w:tcW w:w="5311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003275" w14:textId="77777777" w:rsidR="003D4071" w:rsidRPr="003D4071" w:rsidRDefault="003D4071" w:rsidP="003D4071">
            <w:pPr>
              <w:spacing w:after="0" w:line="240" w:lineRule="auto"/>
              <w:rPr>
                <w:rFonts w:ascii="Artifakt ElementOfc" w:eastAsia="Times New Roman" w:hAnsi="Artifakt ElementOfc" w:cs="Artifakt ElementOfc"/>
                <w:sz w:val="21"/>
                <w:szCs w:val="21"/>
              </w:rPr>
            </w:pP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t xml:space="preserve">Optional. If we can set rate limits to account for growth for the next 3 months, this will help us </w:t>
            </w:r>
            <w:r w:rsidRPr="003D4071">
              <w:rPr>
                <w:rFonts w:ascii="Artifakt ElementOfc" w:eastAsia="Times New Roman" w:hAnsi="Artifakt ElementOfc" w:cs="Artifakt ElementOfc"/>
                <w:sz w:val="21"/>
                <w:szCs w:val="21"/>
              </w:rPr>
              <w:lastRenderedPageBreak/>
              <w:t>reduce the frequency to update+deploy+verify and save all involved parties time.</w:t>
            </w:r>
          </w:p>
        </w:tc>
      </w:tr>
    </w:tbl>
    <w:p w14:paraId="0E4826B6" w14:textId="77777777" w:rsidR="0071697C" w:rsidRDefault="00A47E9C"/>
    <w:sectPr w:rsidR="00716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tifakt ElementOfc">
    <w:panose1 w:val="020B0504020101020102"/>
    <w:charset w:val="00"/>
    <w:family w:val="swiss"/>
    <w:pitch w:val="variable"/>
    <w:sig w:usb0="A00002EF" w:usb1="5000E47B" w:usb2="00000008" w:usb3="00000000" w:csb0="000000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5025E"/>
    <w:multiLevelType w:val="multilevel"/>
    <w:tmpl w:val="D812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510C54"/>
    <w:multiLevelType w:val="hybridMultilevel"/>
    <w:tmpl w:val="87F2C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2C792C"/>
    <w:multiLevelType w:val="multilevel"/>
    <w:tmpl w:val="C26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B4DE8"/>
    <w:multiLevelType w:val="multilevel"/>
    <w:tmpl w:val="1964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35"/>
    <w:rsid w:val="00013C35"/>
    <w:rsid w:val="0023388D"/>
    <w:rsid w:val="002A1D3E"/>
    <w:rsid w:val="003D4071"/>
    <w:rsid w:val="00673C93"/>
    <w:rsid w:val="00674A35"/>
    <w:rsid w:val="00907AA4"/>
    <w:rsid w:val="00A47E9C"/>
    <w:rsid w:val="00AE29DB"/>
    <w:rsid w:val="00D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8C1A"/>
  <w15:chartTrackingRefBased/>
  <w15:docId w15:val="{42D72606-261A-4147-95B2-541CB0E4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0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407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E2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87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Mikako Harada</dc:creator>
  <cp:keywords/>
  <dc:description/>
  <cp:lastModifiedBy>Mikako Harada</cp:lastModifiedBy>
  <cp:revision>8</cp:revision>
  <dcterms:created xsi:type="dcterms:W3CDTF">2020-12-09T21:24:00Z</dcterms:created>
  <dcterms:modified xsi:type="dcterms:W3CDTF">2021-04-14T15:50:00Z</dcterms:modified>
</cp:coreProperties>
</file>