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HaradiBots Architecture v3.1</w:t>
      </w:r>
    </w:p>
    <w:p>
      <w:r>
        <w:t>Reality-Aligned Draft</w:t>
      </w:r>
    </w:p>
    <w:p>
      <w:r>
        <w:t>This document supersedes unverified production claims but does not overwrite the v3.0 source specification.</w:t>
      </w:r>
    </w:p>
    <w:p>
      <w:r>
        <w:t>Status: draft correction to v3.0. This document does not claim production</w:t>
      </w:r>
    </w:p>
    <w:p>
      <w:r>
        <w:t>readiness. It separates verified behavior from designed or unimplemented</w:t>
      </w:r>
    </w:p>
    <w:p>
      <w:r>
        <w:t>behavior.</w:t>
      </w:r>
    </w:p>
    <w:p>
      <w:pPr>
        <w:pStyle w:val="Heading1"/>
      </w:pPr>
      <w:r>
        <w:t>1. Verified baseline</w:t>
      </w:r>
    </w:p>
    <w:p>
      <w:pPr>
        <w:pStyle w:val="ListBullet"/>
      </w:pPr>
      <w:r>
        <w:t>Strict versioned envelopes and progress events exist.</w:t>
      </w:r>
    </w:p>
    <w:p>
      <w:pPr>
        <w:pStyle w:val="ListBullet"/>
      </w:pPr>
      <w:r>
        <w:t>Authentication is mandatory. Trusted local interfaces bootstrap an internal</w:t>
      </w:r>
    </w:p>
    <w:p>
      <w:r>
        <w:t>credential; the network API requires an explicit credential.</w:t>
      </w:r>
    </w:p>
    <w:p>
      <w:pPr>
        <w:pStyle w:val="ListBullet"/>
      </w:pPr>
      <w:r>
        <w:t>Hardware profiling, Hugging Face metadata inspection, strategy calculation,</w:t>
      </w:r>
    </w:p>
    <w:p>
      <w:r>
        <w:t>lazy backend imports, mandatory teardown, and telemetry separation have</w:t>
      </w:r>
    </w:p>
    <w:p>
      <w:r>
        <w:t>automated coverage.</w:t>
      </w:r>
    </w:p>
    <w:p>
      <w:pPr>
        <w:pStyle w:val="ListBullet"/>
      </w:pPr>
      <w:r>
        <w:t>GGUF repositories can now be resolved to a sandboxed local artifact and</w:t>
      </w:r>
    </w:p>
    <w:p>
      <w:r>
        <w:t>parsed for planning metadata.</w:t>
      </w:r>
    </w:p>
    <w:p>
      <w:pPr>
        <w:pStyle w:val="ListBullet"/>
      </w:pPr>
      <w:r>
        <w:t>SQLite stores job metadata only. Local Redis is the standalone hot path.</w:t>
      </w:r>
    </w:p>
    <w:p>
      <w:pPr>
        <w:pStyle w:val="ListBullet"/>
      </w:pPr>
      <w:r>
        <w:t>Automated suite status at this revision: 33 tests passed before the v3.1</w:t>
      </w:r>
    </w:p>
    <w:p>
      <w:r>
        <w:t>fail-closed validation correction.</w:t>
      </w:r>
    </w:p>
    <w:p>
      <w:pPr>
        <w:pStyle w:val="Heading1"/>
      </w:pPr>
      <w:r>
        <w:t>2. Production blockers discovered by real Kaggle testing</w:t>
      </w:r>
    </w:p>
    <w:p>
      <w:pPr>
        <w:pStyle w:val="Heading3"/>
      </w:pPr>
      <w:r>
        <w:t>2.1 Missing operation semantics</w:t>
      </w:r>
    </w:p>
    <w:p>
      <w:r>
        <w:t>The v3.0 Job Envelope describes a model and strategy mode but not the requested</w:t>
      </w:r>
    </w:p>
    <w:p>
      <w:r>
        <w:t>operation. A production contract must distinguish:</w:t>
      </w:r>
    </w:p>
    <w:p>
      <w:pPr>
        <w:pStyle w:val="ListBullet"/>
      </w:pPr>
      <w:r>
        <w:t>`inspect`</w:t>
      </w:r>
    </w:p>
    <w:p>
      <w:pPr>
        <w:pStyle w:val="ListBullet"/>
      </w:pPr>
      <w:r>
        <w:t>`quantize`</w:t>
      </w:r>
    </w:p>
    <w:p>
      <w:pPr>
        <w:pStyle w:val="ListBullet"/>
      </w:pPr>
      <w:r>
        <w:t>`validate`</w:t>
      </w:r>
    </w:p>
    <w:p>
      <w:pPr>
        <w:pStyle w:val="ListBullet"/>
      </w:pPr>
      <w:r>
        <w:t>`infer`</w:t>
      </w:r>
    </w:p>
    <w:p>
      <w:r>
        <w:t>Without this field, inference output can be mislabeled as quantization and the</w:t>
      </w:r>
    </w:p>
    <w:p>
      <w:r>
        <w:t>Orchestrator cannot apply operation-specific prerequisites.</w:t>
      </w:r>
    </w:p>
    <w:p>
      <w:pPr>
        <w:pStyle w:val="Heading3"/>
      </w:pPr>
      <w:r>
        <w:t>2.2 Missing source and candidate distinction</w:t>
      </w:r>
    </w:p>
    <w:p>
      <w:r>
        <w:t>Perplexity validation requires both an original reference model and a candidate</w:t>
      </w:r>
    </w:p>
    <w:p>
      <w:r>
        <w:t>artifact. A single `model_source` cannot represent both. v3.1 requires:</w:t>
      </w:r>
    </w:p>
    <w:p>
      <w:pPr>
        <w:pStyle w:val="ListBullet"/>
      </w:pPr>
      <w:r>
        <w:t>`source_model`: canonical original/reference model</w:t>
      </w:r>
    </w:p>
    <w:p>
      <w:pPr>
        <w:pStyle w:val="ListBullet"/>
      </w:pPr>
      <w:r>
        <w:t>`candidate_artifact`: optional compiled or quantized artifact</w:t>
      </w:r>
    </w:p>
    <w:p>
      <w:pPr>
        <w:pStyle w:val="ListBullet"/>
      </w:pPr>
      <w:r>
        <w:t>`target`: requested format and output location</w:t>
      </w:r>
    </w:p>
    <w:p>
      <w:pPr>
        <w:pStyle w:val="Heading3"/>
      </w:pPr>
      <w:r>
        <w:t>2.3 Model acquisition was disconnected from execution</w:t>
      </w:r>
    </w:p>
    <w:p>
      <w:r>
        <w:t>The inspector accepted repository IDs while llama.cpp required a local GGUF</w:t>
      </w:r>
    </w:p>
    <w:p>
      <w:r>
        <w:t>path. The repaired lifecycle is:</w:t>
      </w:r>
    </w:p>
    <w:p>
      <w:pPr>
        <w:pStyle w:val="ListNumber"/>
      </w:pPr>
      <w:r>
        <w:t>inspect repository;</w:t>
      </w:r>
    </w:p>
    <w:p>
      <w:pPr>
        <w:pStyle w:val="ListNumber"/>
      </w:pPr>
      <w:r>
        <w:t>identify source format;</w:t>
      </w:r>
    </w:p>
    <w:p>
      <w:pPr>
        <w:pStyle w:val="ListNumber"/>
      </w:pPr>
      <w:r>
        <w:t>reject unsafe conversion;</w:t>
      </w:r>
    </w:p>
    <w:p>
      <w:pPr>
        <w:pStyle w:val="ListNumber"/>
      </w:pPr>
      <w:r>
        <w:t>select one compatible artifact or conversion input;</w:t>
      </w:r>
    </w:p>
    <w:p>
      <w:pPr>
        <w:pStyle w:val="ListNumber"/>
      </w:pPr>
      <w:r>
        <w:t>verify storage capacity;</w:t>
      </w:r>
    </w:p>
    <w:p>
      <w:pPr>
        <w:pStyle w:val="ListNumber"/>
      </w:pPr>
      <w:r>
        <w:t>acquire into the sandbox cache;</w:t>
      </w:r>
    </w:p>
    <w:p>
      <w:pPr>
        <w:pStyle w:val="ListNumber"/>
      </w:pPr>
      <w:r>
        <w:t>parse artifact-native metadata;</w:t>
      </w:r>
    </w:p>
    <w:p>
      <w:pPr>
        <w:pStyle w:val="ListNumber"/>
      </w:pPr>
      <w:r>
        <w:t>select a compatible backend;</w:t>
      </w:r>
    </w:p>
    <w:p>
      <w:pPr>
        <w:pStyle w:val="ListNumber"/>
      </w:pPr>
      <w:r>
        <w:t>register the worker;</w:t>
      </w:r>
    </w:p>
    <w:p>
      <w:r>
        <w:t>10. execute and teardown.</w:t>
      </w:r>
    </w:p>
    <w:p>
      <w:pPr>
        <w:pStyle w:val="Heading3"/>
      </w:pPr>
      <w:r>
        <w:t>2.4 Validation was not connected to job success</w:t>
      </w:r>
    </w:p>
    <w:p>
      <w:r>
        <w:t>Worker-specific output dictionaries are not `ValidationResult` objects.</w:t>
      </w:r>
    </w:p>
    <w:p>
      <w:r>
        <w:t>Artifact delivery must fail closed unless the required original-versus-candidate</w:t>
      </w:r>
    </w:p>
    <w:p>
      <w:r>
        <w:t>validation result is produced and schema-valid. A successful subprocess alone</w:t>
      </w:r>
    </w:p>
    <w:p>
      <w:r>
        <w:t>is not a successful quantization job.</w:t>
      </w:r>
    </w:p>
    <w:p>
      <w:r>
        <w:t>The quantization path acquires conversion inputs under the sandbox cache,</w:t>
      </w:r>
    </w:p>
    <w:p>
      <w:r>
        <w:t>selects a backend from the requested target format, captures the concrete</w:t>
      </w:r>
    </w:p>
    <w:p>
      <w:r>
        <w:t>artifact emitted by that worker, and constructs the candidate reference used by</w:t>
      </w:r>
    </w:p>
    <w:p>
      <w:r>
        <w:t>the strict validation service. llama.cpp conversion is split into isolated</w:t>
      </w:r>
    </w:p>
    <w:p>
      <w:r>
        <w:t>full-precision conversion and quantization subprocesses. A missing output path,</w:t>
      </w:r>
    </w:p>
    <w:p>
      <w:r>
        <w:t>empty artifact, unsupported target, or quarantined result prevents success.</w:t>
      </w:r>
    </w:p>
    <w:p>
      <w:pPr>
        <w:pStyle w:val="Heading1"/>
      </w:pPr>
      <w:r>
        <w:t>3. Required v3.1 Job Envelope additions</w:t>
      </w:r>
    </w:p>
    <w:p>
      <w:r>
        <w:t>The v3.0 fields remain, with these required additions:</w:t>
      </w:r>
    </w:p>
    <w:p>
      <w:r>
        <w:t xml:space="preserve"> Field  ?  Type  ?  Purpose </w:t>
      </w:r>
    </w:p>
    <w:p>
      <w:r>
        <w:t xml:space="preserve"> operation  ?  enum  ?  inspect, quantize, validate, or infer </w:t>
      </w:r>
    </w:p>
    <w:p>
      <w:r>
        <w:t xml:space="preserve"> source_model  ?  object  ?  canonical reference repository/path and revision </w:t>
      </w:r>
    </w:p>
    <w:p>
      <w:r>
        <w:t xml:space="preserve"> candidate_artifact  ?  object or null  ?  artifact being validated or served </w:t>
      </w:r>
    </w:p>
    <w:p>
      <w:r>
        <w:t xml:space="preserve"> target  ?  object or null  ?  requested output format, quantization settings, and destination </w:t>
      </w:r>
    </w:p>
    <w:p>
      <w:r>
        <w:t xml:space="preserve"> validation_policy  ?  object  ?  required domains, thresholds, golden prompts, and fail-closed behavior </w:t>
      </w:r>
    </w:p>
    <w:p>
      <w:r>
        <w:t>`model_source` becomes a deprecated compatibility alias during one migration</w:t>
      </w:r>
    </w:p>
    <w:p>
      <w:r>
        <w:t>window. Schema version must become `3.1`; v3.0 must not silently reinterpret</w:t>
      </w:r>
    </w:p>
    <w:p>
      <w:r>
        <w:t>the new fields.</w:t>
      </w:r>
    </w:p>
    <w:p>
      <w:pPr>
        <w:pStyle w:val="Heading1"/>
      </w:pPr>
      <w:r>
        <w:t>4. Operation-specific state paths</w:t>
      </w:r>
    </w:p>
    <w:p>
      <w:pPr>
        <w:pStyle w:val="Heading3"/>
      </w:pPr>
      <w:r>
        <w:t>Inspect</w:t>
      </w:r>
    </w:p>
    <w:p>
      <w:r>
        <w:t>AUTHENTICATE → PROFILE → INSPECT → COMPLETE → TEARDOWN → IDLE</w:t>
      </w:r>
    </w:p>
    <w:p>
      <w:pPr>
        <w:pStyle w:val="Heading3"/>
      </w:pPr>
      <w:r>
        <w:t>Quantize</w:t>
      </w:r>
    </w:p>
    <w:p>
      <w:r>
        <w:t>AUTHENTICATE → PROFILE → INSPECT → PLAN → ACQUIRE_SOURCE → CONVERT →</w:t>
      </w:r>
    </w:p>
    <w:p>
      <w:r>
        <w:t>VALIDATE → PERSIST → TEARDOWN → IDLE</w:t>
      </w:r>
    </w:p>
    <w:p>
      <w:pPr>
        <w:pStyle w:val="Heading3"/>
      </w:pPr>
      <w:r>
        <w:t>Validate</w:t>
      </w:r>
    </w:p>
    <w:p>
      <w:r>
        <w:t>AUTHENTICATE → PROFILE → ACQUIRE_REFERENCE → ACQUIRE_CANDIDATE → VALIDATE →</w:t>
      </w:r>
    </w:p>
    <w:p>
      <w:r>
        <w:t>PERSIST → TEARDOWN → IDLE</w:t>
      </w:r>
    </w:p>
    <w:p>
      <w:r>
        <w:t>The validate path now has concrete evaluator adapters: Transformers evaluates</w:t>
      </w:r>
    </w:p>
    <w:p>
      <w:r>
        <w:t>canonical repositories in-process with lazy imports, while GGUF evaluation uses</w:t>
      </w:r>
    </w:p>
    <w:p>
      <w:r>
        <w:t>the separately packaged `llama-perplexity` subprocess. Both evaluators receive</w:t>
      </w:r>
    </w:p>
    <w:p>
      <w:r>
        <w:t>identical domain text. A validation result is persisted only after strict</w:t>
      </w:r>
    </w:p>
    <w:p>
      <w:r>
        <w:t>schema validation; critical results fail closed.</w:t>
      </w:r>
    </w:p>
    <w:p>
      <w:pPr>
        <w:pStyle w:val="Heading3"/>
      </w:pPr>
      <w:r>
        <w:t>Infer</w:t>
      </w:r>
    </w:p>
    <w:p>
      <w:r>
        <w:t>AUTHENTICATE → PROFILE → INSPECT → ACQUIRE_ARTIFACT → LOAD → INFER →</w:t>
      </w:r>
    </w:p>
    <w:p>
      <w:r>
        <w:t>TEARDOWN → IDLE</w:t>
      </w:r>
    </w:p>
    <w:p>
      <w:r>
        <w:t>Every error and cancellation path enters TEARDOWN. `complete` must include an</w:t>
      </w:r>
    </w:p>
    <w:p>
      <w:r>
        <w:t>explicit terminal outcome and cannot imply success merely because teardown</w:t>
      </w:r>
    </w:p>
    <w:p>
      <w:r>
        <w:t>completed.</w:t>
      </w:r>
    </w:p>
    <w:p>
      <w:pPr>
        <w:pStyle w:val="Heading1"/>
      </w:pPr>
      <w:r>
        <w:t>5. Backend compatibility gate</w:t>
      </w:r>
    </w:p>
    <w:p>
      <w:r>
        <w:t>Backend selection must consider all of:</w:t>
      </w:r>
    </w:p>
    <w:p>
      <w:pPr>
        <w:pStyle w:val="ListBullet"/>
      </w:pPr>
      <w:r>
        <w:t>hardware profile;</w:t>
      </w:r>
    </w:p>
    <w:p>
      <w:pPr>
        <w:pStyle w:val="ListBullet"/>
      </w:pPr>
      <w:r>
        <w:t>source artifact format;</w:t>
      </w:r>
    </w:p>
    <w:p>
      <w:pPr>
        <w:pStyle w:val="ListBullet"/>
      </w:pPr>
      <w:r>
        <w:t>requested operation;</w:t>
      </w:r>
    </w:p>
    <w:p>
      <w:pPr>
        <w:pStyle w:val="ListBullet"/>
      </w:pPr>
      <w:r>
        <w:t>requested target format;</w:t>
      </w:r>
    </w:p>
    <w:p>
      <w:pPr>
        <w:pStyle w:val="ListBullet"/>
      </w:pPr>
      <w:r>
        <w:t>backend availability;</w:t>
      </w:r>
    </w:p>
    <w:p>
      <w:pPr>
        <w:pStyle w:val="ListBullet"/>
      </w:pPr>
      <w:r>
        <w:t>native tokenizer availability;</w:t>
      </w:r>
    </w:p>
    <w:p>
      <w:pPr>
        <w:pStyle w:val="ListBullet"/>
      </w:pPr>
      <w:r>
        <w:t>validation capability.</w:t>
      </w:r>
    </w:p>
    <w:p>
      <w:r>
        <w:t>Hardware-only backend selection is forbidden. Examples:</w:t>
      </w:r>
    </w:p>
    <w:p>
      <w:pPr>
        <w:pStyle w:val="ListBullet"/>
      </w:pPr>
      <w:r>
        <w:t>GGUF inference routes to llama.cpp.</w:t>
      </w:r>
    </w:p>
    <w:p>
      <w:pPr>
        <w:pStyle w:val="ListBullet"/>
      </w:pPr>
      <w:r>
        <w:t>A SafeTensor Transformers repository cannot be sent directly to llama.cpp.</w:t>
      </w:r>
    </w:p>
    <w:p>
      <w:pPr>
        <w:pStyle w:val="ListBullet"/>
      </w:pPr>
      <w:r>
        <w:t>Pre-quantized AWQ/GPTQ/EXL2 cannot be treated as an original full-precision</w:t>
      </w:r>
    </w:p>
    <w:p>
      <w:r>
        <w:t>source.</w:t>
      </w:r>
    </w:p>
    <w:p>
      <w:pPr>
        <w:pStyle w:val="ListBullet"/>
      </w:pPr>
      <w:r>
        <w:t>A backend that cannot expose token likelihoods cannot claim perplexity</w:t>
      </w:r>
    </w:p>
    <w:p>
      <w:r>
        <w:t>validation without a defined external evaluator.</w:t>
      </w:r>
    </w:p>
    <w:p>
      <w:pPr>
        <w:pStyle w:val="Heading1"/>
      </w:pPr>
      <w:r>
        <w:t>6. Success and delivery policy</w:t>
      </w:r>
    </w:p>
    <w:p>
      <w:r>
        <w:t>A quantization job is successful only when:</w:t>
      </w:r>
    </w:p>
    <w:p>
      <w:pPr>
        <w:pStyle w:val="ListNumber"/>
      </w:pPr>
      <w:r>
        <w:t>conversion exits successfully;</w:t>
      </w:r>
    </w:p>
    <w:p>
      <w:pPr>
        <w:pStyle w:val="ListNumber"/>
      </w:pPr>
      <w:r>
        <w:t>the artifact exists and passes format inspection;</w:t>
      </w:r>
    </w:p>
    <w:p>
      <w:pPr>
        <w:pStyle w:val="ListNumber"/>
      </w:pPr>
      <w:r>
        <w:t>validation returns a strict `ValidationResult`;</w:t>
      </w:r>
    </w:p>
    <w:p>
      <w:pPr>
        <w:pStyle w:val="ListNumber"/>
      </w:pPr>
      <w:r>
        <w:t>severity policy permits delivery;</w:t>
      </w:r>
    </w:p>
    <w:p>
      <w:pPr>
        <w:pStyle w:val="ListNumber"/>
      </w:pPr>
      <w:r>
        <w:t>metadata and validation summaries are persisted;</w:t>
      </w:r>
    </w:p>
    <w:p>
      <w:pPr>
        <w:pStyle w:val="ListNumber"/>
      </w:pPr>
      <w:r>
        <w:t>teardown harvests every registered process.</w:t>
      </w:r>
    </w:p>
    <w:p>
      <w:r>
        <w:t>Poor results remain blocked pending confirmation. Critical results are</w:t>
      </w:r>
    </w:p>
    <w:p>
      <w:r>
        <w:t>quarantined. Missing validation is a failure, not a pass.</w:t>
      </w:r>
    </w:p>
    <w:p>
      <w:pPr>
        <w:pStyle w:val="Heading1"/>
      </w:pPr>
      <w:r>
        <w:t>7. Deployment truth</w:t>
      </w:r>
    </w:p>
    <w:p>
      <w:r>
        <w:t>The primary target remains a single-machine Enterprise Fat Binary:</w:t>
      </w:r>
    </w:p>
    <w:p>
      <w:pPr>
        <w:pStyle w:val="ListBullet"/>
      </w:pPr>
      <w:r>
        <w:t>dependencies and llama.cpp binaries are bundled;</w:t>
      </w:r>
    </w:p>
    <w:p>
      <w:pPr>
        <w:pStyle w:val="ListBullet"/>
      </w:pPr>
      <w:r>
        <w:t>Redis runs locally as a managed child process;</w:t>
      </w:r>
    </w:p>
    <w:p>
      <w:pPr>
        <w:pStyle w:val="ListBullet"/>
      </w:pPr>
      <w:r>
        <w:t>SQLite stores local metadata;</w:t>
      </w:r>
    </w:p>
    <w:p>
      <w:pPr>
        <w:pStyle w:val="ListBullet"/>
      </w:pPr>
      <w:r>
        <w:t>no runtime compiler or background dependency download is required.</w:t>
      </w:r>
    </w:p>
    <w:p>
      <w:r>
        <w:t>Kaggle and Colab are development/integration adapters, not the primary</w:t>
      </w:r>
    </w:p>
    <w:p>
      <w:r>
        <w:t>distribution. They may build llama.cpp during testing, but that behavior must</w:t>
      </w:r>
    </w:p>
    <w:p>
      <w:r>
        <w:t>not leak into the Fat Binary.</w:t>
      </w:r>
    </w:p>
    <w:p>
      <w:r>
        <w:t>Ray, SLURM, Kubernetes, PostgreSQL, remote Prometheus, and mTLS cluster behavior</w:t>
      </w:r>
    </w:p>
    <w:p>
      <w:r>
        <w:t>remain optional server features. Cluster work must not begin until the</w:t>
      </w:r>
    </w:p>
    <w:p>
      <w:r>
        <w:t>single-node production gate passes.</w:t>
      </w:r>
    </w:p>
    <w:p>
      <w:r>
        <w:t>The optional cluster foundation now includes certificate provisioning,</w:t>
      </w:r>
    </w:p>
    <w:p>
      <w:r>
        <w:t>mTLS-only node inventory, healthy-GPU-only planning, and lazy scheduler</w:t>
      </w:r>
    </w:p>
    <w:p>
      <w:r>
        <w:t>adapters. These components are unit tested, but real scheduler execution and</w:t>
      </w:r>
    </w:p>
    <w:p>
      <w:r>
        <w:t>artifact return are not externally verified and therefore remain outside the</w:t>
      </w:r>
    </w:p>
    <w:p>
      <w:r>
        <w:t>production-complete claim.</w:t>
      </w:r>
    </w:p>
    <w:p>
      <w:pPr>
        <w:pStyle w:val="Heading1"/>
      </w:pPr>
      <w:r>
        <w:t>7.1 Fault tolerance and irreversible purge</w:t>
      </w:r>
    </w:p>
    <w:p>
      <w:r>
        <w:t>OOM recovery halves batch size for three retries before rebuilding execution on</w:t>
      </w:r>
    </w:p>
    <w:p>
      <w:r>
        <w:t>the CPU GGUF backend with detected P-core affinity. CPU-path exhaustion emits</w:t>
      </w:r>
    </w:p>
    <w:p>
      <w:r>
        <w:t>an emergency stop and preserves partial artifacts.</w:t>
      </w:r>
    </w:p>
    <w:p>
      <w:r>
        <w:t>Purge is ordered as an irreversible transaction boundary: harvest registered</w:t>
      </w:r>
    </w:p>
    <w:p>
      <w:r>
        <w:t>workers, drop managed SQLite tables while connected, checkpoint and close</w:t>
      </w:r>
    </w:p>
    <w:p>
      <w:r>
        <w:t>SQLite plus Redis pools/processes, delete cache entries deepest-first without</w:t>
      </w:r>
    </w:p>
    <w:p>
      <w:r>
        <w:t>following symlinks, then recreate a pristine fixed directory tree. Unsafe roots</w:t>
      </w:r>
    </w:p>
    <w:p>
      <w:r>
        <w:t>are rejected before any mutation. CLI and GUI both require a warning</w:t>
      </w:r>
    </w:p>
    <w:p>
      <w:r>
        <w:t>acknowledgement followed by the exact text `CONFIRM`.</w:t>
      </w:r>
    </w:p>
    <w:p>
      <w:pPr>
        <w:pStyle w:val="Heading1"/>
      </w:pPr>
      <w:r>
        <w:t>8. Production acceptance gate</w:t>
      </w:r>
    </w:p>
    <w:p>
      <w:r>
        <w:t>The project is not production-ready until all of the following are evidenced:</w:t>
      </w:r>
    </w:p>
    <w:p>
      <w:pPr>
        <w:pStyle w:val="ListBullet"/>
      </w:pPr>
      <w:r>
        <w:t>real GGUF inference on CPU and CUDA;</w:t>
      </w:r>
    </w:p>
    <w:p>
      <w:pPr>
        <w:pStyle w:val="ListBullet"/>
      </w:pPr>
      <w:r>
        <w:t>a real conversion from an approved full-precision source;</w:t>
      </w:r>
    </w:p>
    <w:p>
      <w:pPr>
        <w:pStyle w:val="ListBullet"/>
      </w:pPr>
      <w:r>
        <w:t>original-versus-candidate perplexity across all three built-in domains;</w:t>
      </w:r>
    </w:p>
    <w:p>
      <w:pPr>
        <w:pStyle w:val="ListBullet"/>
      </w:pPr>
      <w:r>
        <w:t>golden-prompt reporting;</w:t>
      </w:r>
    </w:p>
    <w:p>
      <w:pPr>
        <w:pStyle w:val="ListBullet"/>
      </w:pPr>
      <w:r>
        <w:t>poor/critical delivery controls;</w:t>
      </w:r>
    </w:p>
    <w:p>
      <w:pPr>
        <w:pStyle w:val="ListBullet"/>
      </w:pPr>
      <w:r>
        <w:t>persistence and restart recovery;</w:t>
      </w:r>
    </w:p>
    <w:p>
      <w:pPr>
        <w:pStyle w:val="ListBullet"/>
      </w:pPr>
      <w:r>
        <w:t>cancellation and forced-kill teardown;</w:t>
      </w:r>
    </w:p>
    <w:p>
      <w:pPr>
        <w:pStyle w:val="ListBullet"/>
      </w:pPr>
      <w:r>
        <w:t>local Redis lifecycle management;</w:t>
      </w:r>
    </w:p>
    <w:p>
      <w:pPr>
        <w:pStyle w:val="ListBullet"/>
      </w:pPr>
      <w:r>
        <w:t>packaged offline Fat Binary execution on a clean Windows machine;</w:t>
      </w:r>
    </w:p>
    <w:p>
      <w:pPr>
        <w:pStyle w:val="ListBullet"/>
      </w:pPr>
      <w:r>
        <w:t>security, dependency, and artifact-integrity checks;</w:t>
      </w:r>
    </w:p>
    <w:p>
      <w:pPr>
        <w:pStyle w:val="ListBullet"/>
      </w:pPr>
      <w:r>
        <w:t>coverage and integration tests required by Phase 14.</w:t>
      </w:r>
    </w:p>
    <w:p>
      <w:r>
        <w:t>Until then, documentation must use “implemented,” “unit tested,” “integration</w:t>
      </w:r>
    </w:p>
    <w:p>
      <w:r>
        <w:t>tested,” or “externally verified” precisely and must not use “production-ready.”</w:t>
      </w:r>
    </w:p>
    <w:p>
      <w:pPr>
        <w:pStyle w:val="Heading1"/>
      </w:pPr>
      <w:r>
        <w:t>9. Packaging evidence</w:t>
      </w:r>
    </w:p>
    <w:p>
      <w:r>
        <w:t>The one-dir Fat Binary build has a fail-closed native manifest. llama.cpp CLI,</w:t>
      </w:r>
    </w:p>
    <w:p>
      <w:r>
        <w:t>quantizer, perplexity evaluator, conversion script, and Redis must exist in the</w:t>
      </w:r>
    </w:p>
    <w:p>
      <w:r>
        <w:t>vendor tree before a release build. Frozen runtime discovery sets their paths</w:t>
      </w:r>
    </w:p>
    <w:p>
      <w:r>
        <w:t>without networking. The Docker API runs as a non-root user and exposes only its</w:t>
      </w:r>
    </w:p>
    <w:p>
      <w:r>
        <w:t>health/API port.</w:t>
      </w:r>
    </w:p>
    <w:p>
      <w:r>
        <w:t>Static packaging tests pass, but this host has neither the native vendor payload</w:t>
      </w:r>
    </w:p>
    <w:p>
      <w:r>
        <w:t>nor Docker. Therefore offline Fat Binary execution and container startup remain</w:t>
      </w:r>
    </w:p>
    <w:p>
      <w:r>
        <w:t>unverified release gates. Current measured coverage is 46.64%; the required 80%</w:t>
      </w:r>
    </w:p>
    <w:p>
      <w:r>
        <w:t>gate is also not yet satisfied.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