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555555"/>
          <w:sz w:val="18"/>
          <w:szCs w:val="18"/>
        </w:rPr>
        <w:t xml:space="preserve">EXECUTION PLAN  —  v7  ·  CVPR 2027 FULL-SCOPE SPRINT</w:t>
      </w:r>
    </w:p>
    <w:p>
      <w:pPr>
        <w:spacing w:after="60" w:before="60"/>
        <w:jc w:val="center"/>
      </w:pPr>
      <w:r>
        <w:rPr>
          <w:rFonts w:ascii="Arial" w:cs="Arial" w:eastAsia="Arial" w:hAnsi="Arial"/>
          <w:b/>
          <w:bCs/>
          <w:color w:val="1F3864"/>
          <w:sz w:val="36"/>
          <w:szCs w:val="36"/>
        </w:rPr>
        <w:t xml:space="preserve">Cross-Attack Mechanistic Analysis of Adversarial Vulnerabilities in Gait Recognition</w:t>
      </w:r>
    </w:p>
    <w:p>
      <w:pPr>
        <w:pBdr>
          <w:bottom w:val="single" w:color="1F3864" w:sz="8" w:space="9"/>
        </w:pBdr>
        <w:jc w:val="center"/>
      </w:pPr>
      <w:r>
        <w:rPr>
          <w:rFonts w:ascii="Arial" w:cs="Arial" w:eastAsia="Arial" w:hAnsi="Arial"/>
          <w:color w:val="555555"/>
          <w:sz w:val="19"/>
          <w:szCs w:val="19"/>
        </w:rPr>
        <w:t xml:space="preserve">MAIT — BYTE Society Research Group  |  15 October 2026  |  Supersedes v6</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BBBBBB" w:sz="1"/>
              <w:bottom w:val="single" w:color="BBBBBB" w:sz="1"/>
              <w:right w:val="single" w:color="BBBBBB" w:sz="1"/>
            </w:tcBorders>
            <w:shd w:fill="E6F4EA" w:val="clear"/>
            <w:tcMar>
              <w:top w:type="dxa" w:w="90"/>
              <w:left w:type="dxa" w:w="160"/>
              <w:bottom w:type="dxa" w:w="90"/>
              <w:right w:type="dxa" w:w="160"/>
            </w:tcMar>
          </w:tcPr>
          <w:p>
            <w:pPr>
              <w:spacing w:after="50"/>
            </w:pPr>
            <w:r>
              <w:rPr>
                <w:rFonts w:ascii="Arial" w:cs="Arial" w:eastAsia="Arial" w:hAnsi="Arial"/>
                <w:b/>
                <w:bCs/>
                <w:color w:val="1F3864"/>
                <w:sz w:val="21"/>
                <w:szCs w:val="21"/>
              </w:rPr>
              <w:t xml:space="preserve">Research question</w:t>
            </w:r>
          </w:p>
          <w:p>
            <w:pPr>
              <w:spacing w:line="300"/>
            </w:pPr>
            <w:r>
              <w:rPr>
                <w:rFonts w:ascii="Times New Roman" w:cs="Times New Roman" w:eastAsia="Times New Roman" w:hAnsi="Times New Roman"/>
                <w:sz w:val="21"/>
                <w:szCs w:val="21"/>
              </w:rPr>
              <w:t xml:space="preserve">Do structurally different adversarial attacks on a gait recognition model disrupt the same internal representations, and does the similarity of their vulnerability fingerprints explain cross-attack defence transfer?</w:t>
            </w:r>
          </w:p>
        </w:tc>
      </w:tr>
    </w:tbl>
    <w:p>
      <w:pPr>
        <w:shd w:fill="1F3864" w:val="clear"/>
        <w:spacing w:after="120" w:before="380"/>
      </w:pPr>
      <w:r>
        <w:rPr>
          <w:rFonts w:ascii="Arial" w:cs="Arial" w:eastAsia="Arial" w:hAnsi="Arial"/>
          <w:b/>
          <w:bCs/>
          <w:color w:val="FFFFFF"/>
          <w:sz w:val="27"/>
          <w:szCs w:val="27"/>
        </w:rPr>
        <w:t xml:space="preserve">   01   Decisions Locked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rFonts w:ascii="Arial" w:cs="Arial" w:eastAsia="Arial" w:hAnsi="Arial"/>
                <w:b/>
                <w:bCs/>
                <w:color w:val="FFFFFF"/>
                <w:sz w:val="19"/>
                <w:szCs w:val="19"/>
              </w:rPr>
              <w:t xml:space="preserve">Decision</w:t>
            </w:r>
          </w:p>
        </w:tc>
        <w:tc>
          <w:tcPr>
            <w:tcW w:type="dxa" w:w="68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rFonts w:ascii="Arial" w:cs="Arial" w:eastAsia="Arial" w:hAnsi="Arial"/>
                <w:b/>
                <w:bCs/>
                <w:color w:val="FFFFFF"/>
                <w:sz w:val="19"/>
                <w:szCs w:val="19"/>
              </w:rPr>
              <w:t xml:space="preserve">What and why</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bCs/>
                <w:sz w:val="19"/>
                <w:szCs w:val="19"/>
              </w:rPr>
              <w:t xml:space="preserve">Venue</w:t>
            </w:r>
          </w:p>
        </w:tc>
        <w:tc>
          <w:tcPr>
            <w:tcW w:type="dxa" w:w="68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9"/>
                <w:szCs w:val="19"/>
              </w:rPr>
              <w:t xml:space="preserve">CVPR 2027 ONLY. Registration Nov 10, paper Nov 16, supplementary Nov 23 (AoE). No parallel IEEE S&amp;P submission: CVPR forbids substantially similar submissions anywhere Nov 16 2026 – Feb 22 2027, and S&amp;P treats registration itself as being under submission. Doing both risks desk rejection at both and a one-year S&amp;P ban.</w:t>
            </w:r>
          </w:p>
        </w:tc>
      </w:tr>
      <w:tr>
        <w:tc>
          <w:tcPr>
            <w:tcW w:type="dxa" w:w="2500"/>
            <w:tcBorders>
              <w:top w:val="single" w:color="BBBBBB" w:sz="1"/>
              <w:left w:val="single" w:color="BBBBBB" w:sz="1"/>
              <w:bottom w:val="single" w:color="BBBBBB" w:sz="1"/>
              <w:right w:val="single" w:color="BBBBBB" w:sz="1"/>
            </w:tcBorders>
            <w:shd w:fill="EBF3FB" w:val="clear"/>
            <w:tcMar>
              <w:top w:type="dxa" w:w="60"/>
              <w:left w:type="dxa" w:w="90"/>
              <w:bottom w:type="dxa" w:w="60"/>
              <w:right w:type="dxa" w:w="90"/>
            </w:tcMar>
            <w:vAlign w:val="center"/>
          </w:tcPr>
          <w:p>
            <w:pPr>
              <w:jc w:val="left"/>
            </w:pPr>
            <w:r>
              <w:rPr>
                <w:rFonts w:ascii="Times New Roman" w:cs="Times New Roman" w:eastAsia="Times New Roman" w:hAnsi="Times New Roman"/>
                <w:b/>
                <w:bCs/>
                <w:sz w:val="19"/>
                <w:szCs w:val="19"/>
              </w:rPr>
              <w:t xml:space="preserve">Fallback venue</w:t>
            </w:r>
          </w:p>
        </w:tc>
        <w:tc>
          <w:tcPr>
            <w:tcW w:type="dxa" w:w="6860"/>
            <w:tcBorders>
              <w:top w:val="single" w:color="BBBBBB" w:sz="1"/>
              <w:left w:val="single" w:color="BBBBBB" w:sz="1"/>
              <w:bottom w:val="single" w:color="BBBBBB" w:sz="1"/>
              <w:right w:val="single" w:color="BBBBBB" w:sz="1"/>
            </w:tcBorders>
            <w:shd w:fill="EBF3FB"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9"/>
                <w:szCs w:val="19"/>
              </w:rPr>
              <w:t xml:space="preserve">IJCB 2027 (Apr 10) or IEEE T-BIOM. CVPR decisions (~Feb 25) arrive before the IJCB deadline, so a rejected paper can be revised with reviewer feedback.</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bCs/>
                <w:sz w:val="19"/>
                <w:szCs w:val="19"/>
              </w:rPr>
              <w:t xml:space="preserve">Scope</w:t>
            </w:r>
          </w:p>
        </w:tc>
        <w:tc>
          <w:tcPr>
            <w:tcW w:type="dxa" w:w="68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9"/>
                <w:szCs w:val="19"/>
              </w:rPr>
              <w:t xml:space="preserve">FULL: Tier A controlled attacks + Tier B published attacks + activation and attribution fingerprints + bridge test + defence transfer.</w:t>
            </w:r>
          </w:p>
        </w:tc>
      </w:tr>
      <w:tr>
        <w:tc>
          <w:tcPr>
            <w:tcW w:type="dxa" w:w="2500"/>
            <w:tcBorders>
              <w:top w:val="single" w:color="BBBBBB" w:sz="1"/>
              <w:left w:val="single" w:color="BBBBBB" w:sz="1"/>
              <w:bottom w:val="single" w:color="BBBBBB" w:sz="1"/>
              <w:right w:val="single" w:color="BBBBBB" w:sz="1"/>
            </w:tcBorders>
            <w:shd w:fill="EBF3FB" w:val="clear"/>
            <w:tcMar>
              <w:top w:type="dxa" w:w="60"/>
              <w:left w:type="dxa" w:w="90"/>
              <w:bottom w:type="dxa" w:w="60"/>
              <w:right w:type="dxa" w:w="90"/>
            </w:tcMar>
            <w:vAlign w:val="center"/>
          </w:tcPr>
          <w:p>
            <w:pPr>
              <w:jc w:val="left"/>
            </w:pPr>
            <w:r>
              <w:rPr>
                <w:rFonts w:ascii="Times New Roman" w:cs="Times New Roman" w:eastAsia="Times New Roman" w:hAnsi="Times New Roman"/>
                <w:b/>
                <w:bCs/>
                <w:sz w:val="19"/>
                <w:szCs w:val="19"/>
              </w:rPr>
              <w:t xml:space="preserve">Compute</w:t>
            </w:r>
          </w:p>
        </w:tc>
        <w:tc>
          <w:tcPr>
            <w:tcW w:type="dxa" w:w="6860"/>
            <w:tcBorders>
              <w:top w:val="single" w:color="BBBBBB" w:sz="1"/>
              <w:left w:val="single" w:color="BBBBBB" w:sz="1"/>
              <w:bottom w:val="single" w:color="BBBBBB" w:sz="1"/>
              <w:right w:val="single" w:color="BBBBBB" w:sz="1"/>
            </w:tcBorders>
            <w:shd w:fill="EBF3FB"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9"/>
                <w:szCs w:val="19"/>
              </w:rPr>
              <w:t xml:space="preserve">Free Kaggle + free Colab, ONE account of each per teammate (multiple accounts per person violates Kaggle terms and risks bans). All long jobs resumable.</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bCs/>
                <w:sz w:val="19"/>
                <w:szCs w:val="19"/>
              </w:rPr>
              <w:t xml:space="preserve">Cost</w:t>
            </w:r>
          </w:p>
        </w:tc>
        <w:tc>
          <w:tcPr>
            <w:tcW w:type="dxa" w:w="68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9"/>
                <w:szCs w:val="19"/>
              </w:rPr>
              <w:t xml:space="preserve">No CVPR submission fee. If accepted, one author needs an author registration (2026 student rates were $525–810) plus travel to Seattle and a US visa — check college travel funding now.</w:t>
            </w:r>
          </w:p>
        </w:tc>
      </w:tr>
    </w:tbl>
    <w:p>
      <w:pPr>
        <w:shd w:fill="5B2C6F" w:val="clear"/>
        <w:spacing w:after="120" w:before="380"/>
      </w:pPr>
      <w:r>
        <w:rPr>
          <w:rFonts w:ascii="Arial" w:cs="Arial" w:eastAsia="Arial" w:hAnsi="Arial"/>
          <w:b/>
          <w:bCs/>
          <w:color w:val="FFFFFF"/>
          <w:sz w:val="27"/>
          <w:szCs w:val="27"/>
        </w:rPr>
        <w:t xml:space="preserve">   02   Why Two Tiers of Attacks</w:t>
      </w:r>
    </w:p>
    <w:p>
      <w:pPr>
        <w:spacing w:after="150" w:line="330"/>
        <w:jc w:val="both"/>
      </w:pPr>
      <w:r>
        <w:rPr>
          <w:rFonts w:ascii="Times New Roman" w:cs="Times New Roman" w:eastAsia="Times New Roman" w:hAnsi="Times New Roman"/>
          <w:sz w:val="23"/>
          <w:szCs w:val="23"/>
        </w:rPr>
        <w:t xml:space="preserve">Comparing only controlled variants cannot explain why published defences fail against published attacks. Comparing only the published attacks cannot say what causes their differences, because each paper changes many things at once (generator, optimiser, loss, sparsity). We do both and connect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BBBBBB" w:sz="1"/>
              <w:left w:val="single" w:color="BBBBBB" w:sz="1"/>
              <w:bottom w:val="single" w:color="BBBBBB" w:sz="1"/>
              <w:right w:val="single" w:color="BBBBBB" w:sz="1"/>
            </w:tcBorders>
            <w:shd w:fill="5B2C6F" w:val="clear"/>
            <w:tcMar>
              <w:top w:type="dxa" w:w="60"/>
              <w:left w:type="dxa" w:w="90"/>
              <w:bottom w:type="dxa" w:w="60"/>
              <w:right w:type="dxa" w:w="90"/>
            </w:tcMar>
            <w:vAlign w:val="center"/>
          </w:tcPr>
          <w:p>
            <w:pPr>
              <w:jc w:val="center"/>
            </w:pPr>
            <w:r>
              <w:rPr>
                <w:rFonts w:ascii="Arial" w:cs="Arial" w:eastAsia="Arial" w:hAnsi="Arial"/>
                <w:b/>
                <w:bCs/>
                <w:color w:val="FFFFFF"/>
                <w:sz w:val="19"/>
                <w:szCs w:val="19"/>
              </w:rPr>
              <w:t xml:space="preserve">Tier</w:t>
            </w:r>
          </w:p>
        </w:tc>
        <w:tc>
          <w:tcPr>
            <w:tcW w:type="dxa" w:w="3600"/>
            <w:tcBorders>
              <w:top w:val="single" w:color="BBBBBB" w:sz="1"/>
              <w:left w:val="single" w:color="BBBBBB" w:sz="1"/>
              <w:bottom w:val="single" w:color="BBBBBB" w:sz="1"/>
              <w:right w:val="single" w:color="BBBBBB" w:sz="1"/>
            </w:tcBorders>
            <w:shd w:fill="5B2C6F" w:val="clear"/>
            <w:tcMar>
              <w:top w:type="dxa" w:w="60"/>
              <w:left w:type="dxa" w:w="90"/>
              <w:bottom w:type="dxa" w:w="60"/>
              <w:right w:type="dxa" w:w="90"/>
            </w:tcMar>
            <w:vAlign w:val="center"/>
          </w:tcPr>
          <w:p>
            <w:pPr>
              <w:jc w:val="center"/>
            </w:pPr>
            <w:r>
              <w:rPr>
                <w:rFonts w:ascii="Arial" w:cs="Arial" w:eastAsia="Arial" w:hAnsi="Arial"/>
                <w:b/>
                <w:bCs/>
                <w:color w:val="FFFFFF"/>
                <w:sz w:val="19"/>
                <w:szCs w:val="19"/>
              </w:rPr>
              <w:t xml:space="preserve">Attacks</w:t>
            </w:r>
          </w:p>
        </w:tc>
        <w:tc>
          <w:tcPr>
            <w:tcW w:type="dxa" w:w="3760"/>
            <w:tcBorders>
              <w:top w:val="single" w:color="BBBBBB" w:sz="1"/>
              <w:left w:val="single" w:color="BBBBBB" w:sz="1"/>
              <w:bottom w:val="single" w:color="BBBBBB" w:sz="1"/>
              <w:right w:val="single" w:color="BBBBBB" w:sz="1"/>
            </w:tcBorders>
            <w:shd w:fill="5B2C6F" w:val="clear"/>
            <w:tcMar>
              <w:top w:type="dxa" w:w="60"/>
              <w:left w:type="dxa" w:w="90"/>
              <w:bottom w:type="dxa" w:w="60"/>
              <w:right w:type="dxa" w:w="90"/>
            </w:tcMar>
            <w:vAlign w:val="center"/>
          </w:tcPr>
          <w:p>
            <w:pPr>
              <w:jc w:val="center"/>
            </w:pPr>
            <w:r>
              <w:rPr>
                <w:rFonts w:ascii="Arial" w:cs="Arial" w:eastAsia="Arial" w:hAnsi="Arial"/>
                <w:b/>
                <w:bCs/>
                <w:color w:val="FFFFFF"/>
                <w:sz w:val="19"/>
                <w:szCs w:val="19"/>
              </w:rPr>
              <w:t xml:space="preserve">What it establishes</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bCs/>
                <w:sz w:val="19"/>
                <w:szCs w:val="19"/>
              </w:rPr>
              <w:t xml:space="preserve">A — controlled</w:t>
            </w:r>
          </w:p>
        </w:tc>
        <w:tc>
          <w:tcPr>
            <w:tcW w:type="dxa" w:w="36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9"/>
                <w:szCs w:val="19"/>
              </w:rPr>
              <w:t xml:space="preserve">Dense PGD · edge-masked PGD · temporal-sparse PGD (one optimiser, three support masks)</w:t>
            </w:r>
          </w:p>
        </w:tc>
        <w:tc>
          <w:tcPr>
            <w:tcW w:type="dxa" w:w="37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9"/>
                <w:szCs w:val="19"/>
              </w:rPr>
              <w:t xml:space="preserve">Causal: the only variable is where the perturbation is allowed</w:t>
            </w:r>
          </w:p>
        </w:tc>
      </w:tr>
      <w:tr>
        <w:tc>
          <w:tcPr>
            <w:tcW w:type="dxa" w:w="2000"/>
            <w:tcBorders>
              <w:top w:val="single" w:color="BBBBBB" w:sz="1"/>
              <w:left w:val="single" w:color="BBBBBB" w:sz="1"/>
              <w:bottom w:val="single" w:color="BBBBBB" w:sz="1"/>
              <w:right w:val="single" w:color="BBBBBB" w:sz="1"/>
            </w:tcBorders>
            <w:shd w:fill="EBF3FB" w:val="clear"/>
            <w:tcMar>
              <w:top w:type="dxa" w:w="60"/>
              <w:left w:type="dxa" w:w="90"/>
              <w:bottom w:type="dxa" w:w="60"/>
              <w:right w:type="dxa" w:w="90"/>
            </w:tcMar>
            <w:vAlign w:val="center"/>
          </w:tcPr>
          <w:p>
            <w:pPr>
              <w:jc w:val="left"/>
            </w:pPr>
            <w:r>
              <w:rPr>
                <w:rFonts w:ascii="Times New Roman" w:cs="Times New Roman" w:eastAsia="Times New Roman" w:hAnsi="Times New Roman"/>
                <w:b/>
                <w:bCs/>
                <w:sz w:val="19"/>
                <w:szCs w:val="19"/>
              </w:rPr>
              <w:t xml:space="preserve">B — published</w:t>
            </w:r>
          </w:p>
        </w:tc>
        <w:tc>
          <w:tcPr>
            <w:tcW w:type="dxa" w:w="3600"/>
            <w:tcBorders>
              <w:top w:val="single" w:color="BBBBBB" w:sz="1"/>
              <w:left w:val="single" w:color="BBBBBB" w:sz="1"/>
              <w:bottom w:val="single" w:color="BBBBBB" w:sz="1"/>
              <w:right w:val="single" w:color="BBBBBB" w:sz="1"/>
            </w:tcBorders>
            <w:shd w:fill="EBF3FB"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9"/>
                <w:szCs w:val="19"/>
              </w:rPr>
              <w:t xml:space="preserve">He et al. 2023 (WGAN-GP latent attack, first K frames) · Hou et al. 2025 (edge-oriented)</w:t>
            </w:r>
          </w:p>
        </w:tc>
        <w:tc>
          <w:tcPr>
            <w:tcW w:type="dxa" w:w="3760"/>
            <w:tcBorders>
              <w:top w:val="single" w:color="BBBBBB" w:sz="1"/>
              <w:left w:val="single" w:color="BBBBBB" w:sz="1"/>
              <w:bottom w:val="single" w:color="BBBBBB" w:sz="1"/>
              <w:right w:val="single" w:color="BBBBBB" w:sz="1"/>
            </w:tcBorders>
            <w:shd w:fill="EBF3FB"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9"/>
                <w:szCs w:val="19"/>
              </w:rPr>
              <w:t xml:space="preserve">External validity: the attacks real defences were built against</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bCs/>
                <w:sz w:val="19"/>
                <w:szCs w:val="19"/>
              </w:rPr>
              <w:t xml:space="preserve">Bridge</w:t>
            </w:r>
          </w:p>
        </w:tc>
        <w:tc>
          <w:tcPr>
            <w:tcW w:type="dxa" w:w="36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9"/>
                <w:szCs w:val="19"/>
              </w:rPr>
              <w:t xml:space="preserve">Does He ↔ temporal-sparse PGD and Hou ↔ edge-masked PGD match more than other pairings?</w:t>
            </w:r>
          </w:p>
        </w:tc>
        <w:tc>
          <w:tcPr>
            <w:tcW w:type="dxa" w:w="37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9"/>
                <w:szCs w:val="19"/>
              </w:rPr>
              <w:t xml:space="preserve">If yes, Tier A causal findings explain the published attacks — the paper's key contribution</w:t>
            </w:r>
          </w:p>
        </w:tc>
      </w:tr>
    </w:tbl>
    <w:p>
      <w:pPr>
        <w:spacing w:after="80" w:before="80"/>
      </w:pPr>
      <w:r>
        <w:t xml:space="preserve"/>
      </w:r>
    </w:p>
    <w:p>
      <w:pPr>
        <w:spacing w:after="150" w:line="330"/>
        <w:jc w:val="both"/>
      </w:pPr>
      <w:r>
        <w:rPr>
          <w:rFonts w:ascii="Times New Roman" w:cs="Times New Roman" w:eastAsia="Times New Roman" w:hAnsi="Times New Roman"/>
          <w:sz w:val="23"/>
          <w:szCs w:val="23"/>
        </w:rPr>
        <w:t xml:space="preserve">He et al. released no code but describe the method fully: WGAN-GP trained on CASIA-B, MI-FGSM on the latent vector, cosine feature loss plus discriminator realism loss, first K frames replaced, target GaitSet. We validate our reproduction on GaitSet against their reported accuracy drop before applying it to GaitBase. Hou et al. are reproduced from their method section with every deviation recorded.</w:t>
      </w:r>
    </w:p>
    <w:p>
      <w:pPr>
        <w:spacing w:after="90" w:before="220"/>
      </w:pPr>
      <w:r>
        <w:rPr>
          <w:rFonts w:ascii="Arial" w:cs="Arial" w:eastAsia="Arial" w:hAnsi="Arial"/>
          <w:b/>
          <w:bCs/>
          <w:color w:val="2E75B6"/>
          <w:sz w:val="23"/>
          <w:szCs w:val="23"/>
        </w:rPr>
        <w:t xml:space="preserve">Fingerprints measure what each attack changes inside the model</w:t>
      </w:r>
    </w:p>
    <w:p>
      <w:pPr>
        <w:pStyle w:val="ListParagraph"/>
        <w:numPr>
          <w:ilvl w:val="0"/>
          <w:numId w:val="2"/>
        </w:numPr>
        <w:spacing w:after="70"/>
      </w:pPr>
      <w:r>
        <w:rPr>
          <w:rFonts w:ascii="Times New Roman" w:cs="Times New Roman" w:eastAsia="Times New Roman" w:hAnsi="Times New Roman"/>
          <w:b/>
          <w:bCs/>
          <w:sz w:val="23"/>
          <w:szCs w:val="23"/>
        </w:rPr>
        <w:t xml:space="preserve">Activation shift: </w:t>
      </w:r>
      <w:r>
        <w:rPr>
          <w:rFonts w:ascii="Times New Roman" w:cs="Times New Roman" w:eastAsia="Times New Roman" w:hAnsi="Times New Roman"/>
          <w:sz w:val="23"/>
          <w:szCs w:val="23"/>
        </w:rPr>
        <w:t xml:space="preserve">forward hooks on every conv block and the horizontal-pooling output; per layer and per body strip, normalised distance and CKA between clean and attacked activations.</w:t>
      </w:r>
    </w:p>
    <w:p>
      <w:pPr>
        <w:pStyle w:val="ListParagraph"/>
        <w:numPr>
          <w:ilvl w:val="0"/>
          <w:numId w:val="2"/>
        </w:numPr>
        <w:spacing w:after="70"/>
      </w:pPr>
      <w:r>
        <w:rPr>
          <w:rFonts w:ascii="Times New Roman" w:cs="Times New Roman" w:eastAsia="Times New Roman" w:hAnsi="Times New Roman"/>
          <w:b/>
          <w:bCs/>
          <w:sz w:val="23"/>
          <w:szCs w:val="23"/>
        </w:rPr>
        <w:t xml:space="preserve">Attribution shift: </w:t>
      </w:r>
      <w:r>
        <w:rPr>
          <w:rFonts w:ascii="Times New Roman" w:cs="Times New Roman" w:eastAsia="Times New Roman" w:hAnsi="Times New Roman"/>
          <w:sz w:val="23"/>
          <w:szCs w:val="23"/>
        </w:rPr>
        <w:t xml:space="preserve">layer-wise Grad-CAM and Integrated Gradients for one fixed scalar target (−distance to the true identity's gallery centroid).</w:t>
      </w:r>
    </w:p>
    <w:p>
      <w:pPr>
        <w:pStyle w:val="ListParagraph"/>
        <w:numPr>
          <w:ilvl w:val="0"/>
          <w:numId w:val="2"/>
        </w:numPr>
        <w:spacing w:after="70"/>
      </w:pPr>
      <w:r>
        <w:rPr>
          <w:rFonts w:ascii="Times New Roman" w:cs="Times New Roman" w:eastAsia="Times New Roman" w:hAnsi="Times New Roman"/>
          <w:b/>
          <w:bCs/>
          <w:sz w:val="23"/>
          <w:szCs w:val="23"/>
        </w:rPr>
        <w:t xml:space="preserve">Embedding geometry: </w:t>
      </w:r>
      <w:r>
        <w:rPr>
          <w:rFonts w:ascii="Times New Roman" w:cs="Times New Roman" w:eastAsia="Times New Roman" w:hAnsi="Times New Roman"/>
          <w:sz w:val="23"/>
          <w:szCs w:val="23"/>
        </w:rPr>
        <w:t xml:space="preserve">how far, and toward whom, each attack moves the embedding.</w:t>
      </w:r>
    </w:p>
    <w:p>
      <w:pPr>
        <w:shd w:fill="1A7340" w:val="clear"/>
        <w:spacing w:after="120" w:before="380"/>
      </w:pPr>
      <w:r>
        <w:rPr>
          <w:rFonts w:ascii="Arial" w:cs="Arial" w:eastAsia="Arial" w:hAnsi="Arial"/>
          <w:b/>
          <w:bCs/>
          <w:color w:val="FFFFFF"/>
          <w:sz w:val="27"/>
          <w:szCs w:val="27"/>
        </w:rPr>
        <w:t xml:space="preserve">   03   Three Parallel Workstreams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560"/>
      </w:tblGrid>
      <w:tr>
        <w:trPr>
          <w:tblHeader/>
        </w:trPr>
        <w:tc>
          <w:tcPr>
            <w:tcW w:type="dxa" w:w="2300"/>
            <w:tcBorders>
              <w:top w:val="single" w:color="BBBBBB" w:sz="1"/>
              <w:left w:val="single" w:color="BBBBBB" w:sz="1"/>
              <w:bottom w:val="single" w:color="BBBBBB" w:sz="1"/>
              <w:right w:val="single" w:color="BBBBBB" w:sz="1"/>
            </w:tcBorders>
            <w:shd w:fill="1A7340" w:val="clear"/>
            <w:tcMar>
              <w:top w:type="dxa" w:w="60"/>
              <w:left w:type="dxa" w:w="90"/>
              <w:bottom w:type="dxa" w:w="60"/>
              <w:right w:type="dxa" w:w="90"/>
            </w:tcMar>
            <w:vAlign w:val="center"/>
          </w:tcPr>
          <w:p>
            <w:pPr>
              <w:jc w:val="center"/>
            </w:pPr>
            <w:r>
              <w:rPr>
                <w:rFonts w:ascii="Arial" w:cs="Arial" w:eastAsia="Arial" w:hAnsi="Arial"/>
                <w:b/>
                <w:bCs/>
                <w:color w:val="FFFFFF"/>
                <w:sz w:val="19"/>
                <w:szCs w:val="19"/>
              </w:rPr>
              <w:t xml:space="preserve">Workstream</w:t>
            </w:r>
          </w:p>
        </w:tc>
        <w:tc>
          <w:tcPr>
            <w:tcW w:type="dxa" w:w="1500"/>
            <w:tcBorders>
              <w:top w:val="single" w:color="BBBBBB" w:sz="1"/>
              <w:left w:val="single" w:color="BBBBBB" w:sz="1"/>
              <w:bottom w:val="single" w:color="BBBBBB" w:sz="1"/>
              <w:right w:val="single" w:color="BBBBBB" w:sz="1"/>
            </w:tcBorders>
            <w:shd w:fill="1A7340" w:val="clear"/>
            <w:tcMar>
              <w:top w:type="dxa" w:w="60"/>
              <w:left w:type="dxa" w:w="90"/>
              <w:bottom w:type="dxa" w:w="60"/>
              <w:right w:type="dxa" w:w="90"/>
            </w:tcMar>
            <w:vAlign w:val="center"/>
          </w:tcPr>
          <w:p>
            <w:pPr>
              <w:jc w:val="center"/>
            </w:pPr>
            <w:r>
              <w:rPr>
                <w:rFonts w:ascii="Arial" w:cs="Arial" w:eastAsia="Arial" w:hAnsi="Arial"/>
                <w:b/>
                <w:bCs/>
                <w:color w:val="FFFFFF"/>
                <w:sz w:val="19"/>
                <w:szCs w:val="19"/>
              </w:rPr>
              <w:t xml:space="preserve">Owner</w:t>
            </w:r>
          </w:p>
        </w:tc>
        <w:tc>
          <w:tcPr>
            <w:tcW w:type="dxa" w:w="5560"/>
            <w:tcBorders>
              <w:top w:val="single" w:color="BBBBBB" w:sz="1"/>
              <w:left w:val="single" w:color="BBBBBB" w:sz="1"/>
              <w:bottom w:val="single" w:color="BBBBBB" w:sz="1"/>
              <w:right w:val="single" w:color="BBBBBB" w:sz="1"/>
            </w:tcBorders>
            <w:shd w:fill="1A7340" w:val="clear"/>
            <w:tcMar>
              <w:top w:type="dxa" w:w="60"/>
              <w:left w:type="dxa" w:w="90"/>
              <w:bottom w:type="dxa" w:w="60"/>
              <w:right w:type="dxa" w:w="90"/>
            </w:tcMar>
            <w:vAlign w:val="center"/>
          </w:tcPr>
          <w:p>
            <w:pPr>
              <w:jc w:val="center"/>
            </w:pPr>
            <w:r>
              <w:rPr>
                <w:rFonts w:ascii="Arial" w:cs="Arial" w:eastAsia="Arial" w:hAnsi="Arial"/>
                <w:b/>
                <w:bCs/>
                <w:color w:val="FFFFFF"/>
                <w:sz w:val="19"/>
                <w:szCs w:val="19"/>
              </w:rPr>
              <w:t xml:space="preserve">Notebooks and dates</w:t>
            </w:r>
          </w:p>
        </w:tc>
      </w:tr>
      <w:tr>
        <w:tc>
          <w:tcPr>
            <w:tcW w:type="dxa" w:w="23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bCs/>
                <w:sz w:val="19"/>
                <w:szCs w:val="19"/>
              </w:rPr>
              <w:t xml:space="preserve">WS1 Foundations + Tier A</w:t>
            </w:r>
          </w:p>
        </w:tc>
        <w:tc>
          <w:tcPr>
            <w:tcW w:type="dxa" w:w="15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9"/>
                <w:szCs w:val="19"/>
              </w:rPr>
              <w:t xml:space="preserve">Teammate 1</w:t>
            </w:r>
          </w:p>
        </w:tc>
        <w:tc>
          <w:tcPr>
            <w:tcW w:type="dxa" w:w="55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9"/>
                <w:szCs w:val="19"/>
              </w:rPr>
              <w:t xml:space="preserve">01 baseline Oct 17 (gate) · 02 PGD Oct 20 · 03 edge-masked Oct 22 · 04 temporal-masked Oct 23</w:t>
            </w:r>
          </w:p>
        </w:tc>
      </w:tr>
      <w:tr>
        <w:tc>
          <w:tcPr>
            <w:tcW w:type="dxa" w:w="2300"/>
            <w:tcBorders>
              <w:top w:val="single" w:color="BBBBBB" w:sz="1"/>
              <w:left w:val="single" w:color="BBBBBB" w:sz="1"/>
              <w:bottom w:val="single" w:color="BBBBBB" w:sz="1"/>
              <w:right w:val="single" w:color="BBBBBB" w:sz="1"/>
            </w:tcBorders>
            <w:shd w:fill="EBF3FB" w:val="clear"/>
            <w:tcMar>
              <w:top w:type="dxa" w:w="60"/>
              <w:left w:type="dxa" w:w="90"/>
              <w:bottom w:type="dxa" w:w="60"/>
              <w:right w:type="dxa" w:w="90"/>
            </w:tcMar>
            <w:vAlign w:val="center"/>
          </w:tcPr>
          <w:p>
            <w:pPr>
              <w:jc w:val="left"/>
            </w:pPr>
            <w:r>
              <w:rPr>
                <w:rFonts w:ascii="Times New Roman" w:cs="Times New Roman" w:eastAsia="Times New Roman" w:hAnsi="Times New Roman"/>
                <w:b/>
                <w:bCs/>
                <w:sz w:val="19"/>
                <w:szCs w:val="19"/>
              </w:rPr>
              <w:t xml:space="preserve">WS2 He et al.</w:t>
            </w:r>
          </w:p>
        </w:tc>
        <w:tc>
          <w:tcPr>
            <w:tcW w:type="dxa" w:w="1500"/>
            <w:tcBorders>
              <w:top w:val="single" w:color="BBBBBB" w:sz="1"/>
              <w:left w:val="single" w:color="BBBBBB" w:sz="1"/>
              <w:bottom w:val="single" w:color="BBBBBB" w:sz="1"/>
              <w:right w:val="single" w:color="BBBBBB" w:sz="1"/>
            </w:tcBorders>
            <w:shd w:fill="EBF3FB"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9"/>
                <w:szCs w:val="19"/>
              </w:rPr>
              <w:t xml:space="preserve">Teammate 2</w:t>
            </w:r>
          </w:p>
        </w:tc>
        <w:tc>
          <w:tcPr>
            <w:tcW w:type="dxa" w:w="5560"/>
            <w:tcBorders>
              <w:top w:val="single" w:color="BBBBBB" w:sz="1"/>
              <w:left w:val="single" w:color="BBBBBB" w:sz="1"/>
              <w:bottom w:val="single" w:color="BBBBBB" w:sz="1"/>
              <w:right w:val="single" w:color="BBBBBB" w:sz="1"/>
            </w:tcBorders>
            <w:shd w:fill="EBF3FB"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9"/>
                <w:szCs w:val="19"/>
              </w:rPr>
              <w:t xml:space="preserve">Read paper Oct 15–16 · 05 WGAN-GP training Oct 17–25 · 06 He attack (GaitSet validation, then GaitBase) Oct 28</w:t>
            </w:r>
          </w:p>
        </w:tc>
      </w:tr>
      <w:tr>
        <w:tc>
          <w:tcPr>
            <w:tcW w:type="dxa" w:w="23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bCs/>
                <w:sz w:val="19"/>
                <w:szCs w:val="19"/>
              </w:rPr>
              <w:t xml:space="preserve">WS3 Hou et al. + defence</w:t>
            </w:r>
          </w:p>
        </w:tc>
        <w:tc>
          <w:tcPr>
            <w:tcW w:type="dxa" w:w="15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9"/>
                <w:szCs w:val="19"/>
              </w:rPr>
              <w:t xml:space="preserve">Teammate 3</w:t>
            </w:r>
          </w:p>
        </w:tc>
        <w:tc>
          <w:tcPr>
            <w:tcW w:type="dxa" w:w="55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9"/>
                <w:szCs w:val="19"/>
              </w:rPr>
              <w:t xml:space="preserve">Read Hou + DAGait Oct 15–17 · 07 Hou attack Oct 27 · 11 defence training Oct 28–Nov 2, evaluation Nov 3–4</w:t>
            </w:r>
          </w:p>
        </w:tc>
      </w:tr>
      <w:tr>
        <w:tc>
          <w:tcPr>
            <w:tcW w:type="dxa" w:w="2300"/>
            <w:tcBorders>
              <w:top w:val="single" w:color="BBBBBB" w:sz="1"/>
              <w:left w:val="single" w:color="BBBBBB" w:sz="1"/>
              <w:bottom w:val="single" w:color="BBBBBB" w:sz="1"/>
              <w:right w:val="single" w:color="BBBBBB" w:sz="1"/>
            </w:tcBorders>
            <w:shd w:fill="EBF3FB" w:val="clear"/>
            <w:tcMar>
              <w:top w:type="dxa" w:w="60"/>
              <w:left w:type="dxa" w:w="90"/>
              <w:bottom w:type="dxa" w:w="60"/>
              <w:right w:type="dxa" w:w="90"/>
            </w:tcMar>
            <w:vAlign w:val="center"/>
          </w:tcPr>
          <w:p>
            <w:pPr>
              <w:jc w:val="left"/>
            </w:pPr>
            <w:r>
              <w:rPr>
                <w:rFonts w:ascii="Times New Roman" w:cs="Times New Roman" w:eastAsia="Times New Roman" w:hAnsi="Times New Roman"/>
                <w:b/>
                <w:bCs/>
                <w:sz w:val="19"/>
                <w:szCs w:val="19"/>
              </w:rPr>
              <w:t xml:space="preserve">Joint analysis</w:t>
            </w:r>
          </w:p>
        </w:tc>
        <w:tc>
          <w:tcPr>
            <w:tcW w:type="dxa" w:w="1500"/>
            <w:tcBorders>
              <w:top w:val="single" w:color="BBBBBB" w:sz="1"/>
              <w:left w:val="single" w:color="BBBBBB" w:sz="1"/>
              <w:bottom w:val="single" w:color="BBBBBB" w:sz="1"/>
              <w:right w:val="single" w:color="BBBBBB" w:sz="1"/>
            </w:tcBorders>
            <w:shd w:fill="EBF3FB"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9"/>
                <w:szCs w:val="19"/>
              </w:rPr>
              <w:t xml:space="preserve">All</w:t>
            </w:r>
          </w:p>
        </w:tc>
        <w:tc>
          <w:tcPr>
            <w:tcW w:type="dxa" w:w="5560"/>
            <w:tcBorders>
              <w:top w:val="single" w:color="BBBBBB" w:sz="1"/>
              <w:left w:val="single" w:color="BBBBBB" w:sz="1"/>
              <w:bottom w:val="single" w:color="BBBBBB" w:sz="1"/>
              <w:right w:val="single" w:color="BBBBBB" w:sz="1"/>
            </w:tcBorders>
            <w:shd w:fill="EBF3FB"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9"/>
                <w:szCs w:val="19"/>
              </w:rPr>
              <w:t xml:space="preserve">08 comparison Oct 28–29 · 09 fingerprints Oct 29–31 · 10 statistics + bridge Nov 1–3 · 12 figures Nov 5–6</w:t>
            </w:r>
          </w:p>
        </w:tc>
      </w:tr>
      <w:tr>
        <w:tc>
          <w:tcPr>
            <w:tcW w:type="dxa" w:w="23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bCs/>
                <w:sz w:val="19"/>
                <w:szCs w:val="19"/>
              </w:rPr>
              <w:t xml:space="preserve">Paper</w:t>
            </w:r>
          </w:p>
        </w:tc>
        <w:tc>
          <w:tcPr>
            <w:tcW w:type="dxa" w:w="15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9"/>
                <w:szCs w:val="19"/>
              </w:rPr>
              <w:t xml:space="preserve">All</w:t>
            </w:r>
          </w:p>
        </w:tc>
        <w:tc>
          <w:tcPr>
            <w:tcW w:type="dxa" w:w="55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9"/>
                <w:szCs w:val="19"/>
              </w:rPr>
              <w:t xml:space="preserve">Methods from Oct 25 · results Nov 5–8 · internal review Nov 9 · registration Nov 10 · upload Nov 15 · deadline Nov 16</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BBBBBB" w:sz="1"/>
              <w:bottom w:val="single" w:color="BBBBBB" w:sz="1"/>
              <w:right w:val="single" w:color="BBBBBB" w:sz="1"/>
            </w:tcBorders>
            <w:shd w:fill="FDF6E3" w:val="clear"/>
            <w:tcMar>
              <w:top w:type="dxa" w:w="90"/>
              <w:left w:type="dxa" w:w="160"/>
              <w:bottom w:type="dxa" w:w="90"/>
              <w:right w:type="dxa" w:w="160"/>
            </w:tcMar>
          </w:tcPr>
          <w:p>
            <w:pPr>
              <w:spacing w:after="50"/>
            </w:pPr>
            <w:r>
              <w:rPr>
                <w:rFonts w:ascii="Arial" w:cs="Arial" w:eastAsia="Arial" w:hAnsi="Arial"/>
                <w:b/>
                <w:bCs/>
                <w:color w:val="1F3864"/>
                <w:sz w:val="21"/>
                <w:szCs w:val="21"/>
              </w:rPr>
              <w:t xml:space="preserve">Gates that stop the line</w:t>
            </w:r>
          </w:p>
          <w:p>
            <w:pPr>
              <w:spacing w:line="300"/>
            </w:pPr>
            <w:r>
              <w:rPr>
                <w:rFonts w:ascii="Times New Roman" w:cs="Times New Roman" w:eastAsia="Times New Roman" w:hAnsi="Times New Roman"/>
                <w:sz w:val="21"/>
                <w:szCs w:val="21"/>
              </w:rPr>
              <w:t xml:space="preserve">Oct 17: clean GaitBase and GaitSet match OpenGait within ~1%. Oct 23: GAN produces plausible silhouettes, otherwise simplify and record. Oct 28: He reproduction validated on GaitSet. Nov 1: defence fine-tuning converging, otherwise drop defence transfer and narrow the title.</w:t>
            </w:r>
          </w:p>
        </w:tc>
      </w:tr>
    </w:tbl>
    <w:p>
      <w:pPr>
        <w:shd w:fill="8B1A1A" w:val="clear"/>
        <w:spacing w:after="120" w:before="380"/>
      </w:pPr>
      <w:r>
        <w:rPr>
          <w:rFonts w:ascii="Arial" w:cs="Arial" w:eastAsia="Arial" w:hAnsi="Arial"/>
          <w:b/>
          <w:bCs/>
          <w:color w:val="FFFFFF"/>
          <w:sz w:val="27"/>
          <w:szCs w:val="27"/>
        </w:rPr>
        <w:t xml:space="preserve">   04   Honest Risk Read</w:t>
      </w:r>
    </w:p>
    <w:p>
      <w:pPr>
        <w:pStyle w:val="ListParagraph"/>
        <w:numPr>
          <w:ilvl w:val="0"/>
          <w:numId w:val="2"/>
        </w:numPr>
        <w:spacing w:after="70"/>
      </w:pPr>
      <w:r>
        <w:rPr>
          <w:rFonts w:ascii="Times New Roman" w:cs="Times New Roman" w:eastAsia="Times New Roman" w:hAnsi="Times New Roman"/>
          <w:b/>
          <w:bCs/>
          <w:sz w:val="23"/>
          <w:szCs w:val="23"/>
        </w:rPr>
        <w:t xml:space="preserve">Acceptance: </w:t>
      </w:r>
      <w:r>
        <w:rPr>
          <w:rFonts w:ascii="Times New Roman" w:cs="Times New Roman" w:eastAsia="Times New Roman" w:hAnsi="Times New Roman"/>
          <w:sz w:val="23"/>
          <w:szCs w:val="23"/>
        </w:rPr>
        <w:t xml:space="preserve">CVPR accepts roughly a quarter of submissions; a one-model, one-dataset study from a first-time team is a reach. Submitting still buys expert reviews and a forced finish.</w:t>
      </w:r>
    </w:p>
    <w:p>
      <w:pPr>
        <w:pStyle w:val="ListParagraph"/>
        <w:numPr>
          <w:ilvl w:val="0"/>
          <w:numId w:val="2"/>
        </w:numPr>
        <w:spacing w:after="70"/>
      </w:pPr>
      <w:r>
        <w:rPr>
          <w:rFonts w:ascii="Times New Roman" w:cs="Times New Roman" w:eastAsia="Times New Roman" w:hAnsi="Times New Roman"/>
          <w:b/>
          <w:bCs/>
          <w:sz w:val="23"/>
          <w:szCs w:val="23"/>
        </w:rPr>
        <w:t xml:space="preserve">Highest schedule risk: </w:t>
      </w:r>
      <w:r>
        <w:rPr>
          <w:rFonts w:ascii="Times New Roman" w:cs="Times New Roman" w:eastAsia="Times New Roman" w:hAnsi="Times New Roman"/>
          <w:sz w:val="23"/>
          <w:szCs w:val="23"/>
        </w:rPr>
        <w:t xml:space="preserve">GAN training and defence fine-tuning on free GPUs with disconnects. Both must checkpoint every 30 minutes and run in chunks under 3 hours.</w:t>
      </w:r>
    </w:p>
    <w:p>
      <w:pPr>
        <w:pStyle w:val="ListParagraph"/>
        <w:numPr>
          <w:ilvl w:val="0"/>
          <w:numId w:val="2"/>
        </w:numPr>
        <w:spacing w:after="70"/>
      </w:pPr>
      <w:r>
        <w:rPr>
          <w:rFonts w:ascii="Times New Roman" w:cs="Times New Roman" w:eastAsia="Times New Roman" w:hAnsi="Times New Roman"/>
          <w:b/>
          <w:bCs/>
          <w:sz w:val="23"/>
          <w:szCs w:val="23"/>
        </w:rPr>
        <w:t xml:space="preserve">Reproduction fidelity: </w:t>
      </w:r>
      <w:r>
        <w:rPr>
          <w:rFonts w:ascii="Times New Roman" w:cs="Times New Roman" w:eastAsia="Times New Roman" w:hAnsi="Times New Roman"/>
          <w:sz w:val="23"/>
          <w:szCs w:val="23"/>
        </w:rPr>
        <w:t xml:space="preserve">without author code, Tier B numbers may not match the papers. Report the gap honestly; the bridge test is only as strong as the reproduction.</w:t>
      </w:r>
    </w:p>
    <w:p>
      <w:pPr>
        <w:pStyle w:val="ListParagraph"/>
        <w:numPr>
          <w:ilvl w:val="0"/>
          <w:numId w:val="2"/>
        </w:numPr>
        <w:spacing w:after="70"/>
      </w:pPr>
      <w:r>
        <w:rPr>
          <w:rFonts w:ascii="Times New Roman" w:cs="Times New Roman" w:eastAsia="Times New Roman" w:hAnsi="Times New Roman"/>
          <w:b/>
          <w:bCs/>
          <w:sz w:val="23"/>
          <w:szCs w:val="23"/>
        </w:rPr>
        <w:t xml:space="preserve">Ask the mentor today: </w:t>
      </w:r>
      <w:r>
        <w:rPr>
          <w:rFonts w:ascii="Times New Roman" w:cs="Times New Roman" w:eastAsia="Times New Roman" w:hAnsi="Times New Roman"/>
          <w:sz w:val="23"/>
          <w:szCs w:val="23"/>
        </w:rPr>
        <w:t xml:space="preserve">is any department or lab GPU available? It is the single change that most improves the odds.</w:t>
      </w:r>
    </w:p>
    <w:p>
      <w:pPr>
        <w:shd w:fill="2E75B6" w:val="clear"/>
        <w:spacing w:after="120" w:before="380"/>
      </w:pPr>
      <w:r>
        <w:rPr>
          <w:rFonts w:ascii="Arial" w:cs="Arial" w:eastAsia="Arial" w:hAnsi="Arial"/>
          <w:b/>
          <w:bCs/>
          <w:color w:val="FFFFFF"/>
          <w:sz w:val="27"/>
          <w:szCs w:val="27"/>
        </w:rPr>
        <w:t xml:space="preserve">   05   Repository and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rFonts w:ascii="Arial" w:cs="Arial" w:eastAsia="Arial" w:hAnsi="Arial"/>
                <w:b/>
                <w:bCs/>
                <w:color w:val="FFFFFF"/>
                <w:sz w:val="19"/>
                <w:szCs w:val="19"/>
              </w:rPr>
              <w:t xml:space="preserve">File</w:t>
            </w:r>
          </w:p>
        </w:tc>
        <w:tc>
          <w:tcPr>
            <w:tcW w:type="dxa" w:w="64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rFonts w:ascii="Arial" w:cs="Arial" w:eastAsia="Arial" w:hAnsi="Arial"/>
                <w:b/>
                <w:bCs/>
                <w:color w:val="FFFFFF"/>
                <w:sz w:val="19"/>
                <w:szCs w:val="19"/>
              </w:rPr>
              <w:t xml:space="preserve">Purpose</w:t>
            </w:r>
          </w:p>
        </w:tc>
      </w:tr>
      <w:tr>
        <w:tc>
          <w:tcPr>
            <w:tcW w:type="dxa" w:w="29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bCs/>
                <w:sz w:val="19"/>
                <w:szCs w:val="19"/>
              </w:rPr>
              <w:t xml:space="preserve">CLAUDE.md</w:t>
            </w:r>
          </w:p>
        </w:tc>
        <w:tc>
          <w:tcPr>
            <w:tcW w:type="dxa" w:w="64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9"/>
                <w:szCs w:val="19"/>
              </w:rPr>
              <w:t xml:space="preserve">Contract for Claude Code: scope, tiers, threat model, fingerprints, bridge test, compute rules, engineering rules.</w:t>
            </w:r>
          </w:p>
        </w:tc>
      </w:tr>
      <w:tr>
        <w:tc>
          <w:tcPr>
            <w:tcW w:type="dxa" w:w="2900"/>
            <w:tcBorders>
              <w:top w:val="single" w:color="BBBBBB" w:sz="1"/>
              <w:left w:val="single" w:color="BBBBBB" w:sz="1"/>
              <w:bottom w:val="single" w:color="BBBBBB" w:sz="1"/>
              <w:right w:val="single" w:color="BBBBBB" w:sz="1"/>
            </w:tcBorders>
            <w:shd w:fill="EBF3FB" w:val="clear"/>
            <w:tcMar>
              <w:top w:type="dxa" w:w="60"/>
              <w:left w:type="dxa" w:w="90"/>
              <w:bottom w:type="dxa" w:w="60"/>
              <w:right w:type="dxa" w:w="90"/>
            </w:tcMar>
            <w:vAlign w:val="center"/>
          </w:tcPr>
          <w:p>
            <w:pPr>
              <w:jc w:val="left"/>
            </w:pPr>
            <w:r>
              <w:rPr>
                <w:rFonts w:ascii="Times New Roman" w:cs="Times New Roman" w:eastAsia="Times New Roman" w:hAnsi="Times New Roman"/>
                <w:b/>
                <w:bCs/>
                <w:sz w:val="19"/>
                <w:szCs w:val="19"/>
              </w:rPr>
              <w:t xml:space="preserve">docs/notebook_specs.md</w:t>
            </w:r>
          </w:p>
        </w:tc>
        <w:tc>
          <w:tcPr>
            <w:tcW w:type="dxa" w:w="6460"/>
            <w:tcBorders>
              <w:top w:val="single" w:color="BBBBBB" w:sz="1"/>
              <w:left w:val="single" w:color="BBBBBB" w:sz="1"/>
              <w:bottom w:val="single" w:color="BBBBBB" w:sz="1"/>
              <w:right w:val="single" w:color="BBBBBB" w:sz="1"/>
            </w:tcBorders>
            <w:shd w:fill="EBF3FB"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9"/>
                <w:szCs w:val="19"/>
              </w:rPr>
              <w:t xml:space="preserve">All 12 notebooks by workstream: steps, gates, due dates, CSV columns.</w:t>
            </w:r>
          </w:p>
        </w:tc>
      </w:tr>
      <w:tr>
        <w:tc>
          <w:tcPr>
            <w:tcW w:type="dxa" w:w="29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bCs/>
                <w:sz w:val="19"/>
                <w:szCs w:val="19"/>
              </w:rPr>
              <w:t xml:space="preserve">docs/deviations.md</w:t>
            </w:r>
          </w:p>
        </w:tc>
        <w:tc>
          <w:tcPr>
            <w:tcW w:type="dxa" w:w="64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9"/>
                <w:szCs w:val="19"/>
              </w:rPr>
              <w:t xml:space="preserve">Every difference between our attacks/defence and the published papers.</w:t>
            </w:r>
          </w:p>
        </w:tc>
      </w:tr>
      <w:tr>
        <w:tc>
          <w:tcPr>
            <w:tcW w:type="dxa" w:w="2900"/>
            <w:tcBorders>
              <w:top w:val="single" w:color="BBBBBB" w:sz="1"/>
              <w:left w:val="single" w:color="BBBBBB" w:sz="1"/>
              <w:bottom w:val="single" w:color="BBBBBB" w:sz="1"/>
              <w:right w:val="single" w:color="BBBBBB" w:sz="1"/>
            </w:tcBorders>
            <w:shd w:fill="EBF3FB" w:val="clear"/>
            <w:tcMar>
              <w:top w:type="dxa" w:w="60"/>
              <w:left w:type="dxa" w:w="90"/>
              <w:bottom w:type="dxa" w:w="60"/>
              <w:right w:type="dxa" w:w="90"/>
            </w:tcMar>
            <w:vAlign w:val="center"/>
          </w:tcPr>
          <w:p>
            <w:pPr>
              <w:jc w:val="left"/>
            </w:pPr>
            <w:r>
              <w:rPr>
                <w:rFonts w:ascii="Times New Roman" w:cs="Times New Roman" w:eastAsia="Times New Roman" w:hAnsi="Times New Roman"/>
                <w:b/>
                <w:bCs/>
                <w:sz w:val="19"/>
                <w:szCs w:val="19"/>
              </w:rPr>
              <w:t xml:space="preserve">configs/*.yaml</w:t>
            </w:r>
          </w:p>
        </w:tc>
        <w:tc>
          <w:tcPr>
            <w:tcW w:type="dxa" w:w="6460"/>
            <w:tcBorders>
              <w:top w:val="single" w:color="BBBBBB" w:sz="1"/>
              <w:left w:val="single" w:color="BBBBBB" w:sz="1"/>
              <w:bottom w:val="single" w:color="BBBBBB" w:sz="1"/>
              <w:right w:val="single" w:color="BBBBBB" w:sz="1"/>
            </w:tcBorders>
            <w:shd w:fill="EBF3FB"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9"/>
                <w:szCs w:val="19"/>
              </w:rPr>
              <w:t xml:space="preserve">All hyperparameters, including gan.yaml for the He et al. generator.</w:t>
            </w:r>
          </w:p>
        </w:tc>
      </w:tr>
      <w:tr>
        <w:tc>
          <w:tcPr>
            <w:tcW w:type="dxa" w:w="29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bCs/>
                <w:sz w:val="19"/>
                <w:szCs w:val="19"/>
              </w:rPr>
              <w:t xml:space="preserve">paper/claim_evidence_ledger.csv</w:t>
            </w:r>
          </w:p>
        </w:tc>
        <w:tc>
          <w:tcPr>
            <w:tcW w:type="dxa" w:w="64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9"/>
                <w:szCs w:val="19"/>
              </w:rPr>
              <w:t xml:space="preserve">Claims C1–C5, each tied to the result file that must support it.</w:t>
            </w:r>
          </w:p>
        </w:tc>
      </w:tr>
    </w:tbl>
    <w:p>
      <w:pPr>
        <w:spacing w:after="80" w:before="80"/>
      </w:pPr>
      <w:r>
        <w:t xml:space="preserve"/>
      </w:r>
    </w:p>
    <w:p>
      <w:pPr>
        <w:spacing w:after="90" w:before="220"/>
      </w:pPr>
      <w:r>
        <w:rPr>
          <w:rFonts w:ascii="Arial" w:cs="Arial" w:eastAsia="Arial" w:hAnsi="Arial"/>
          <w:b/>
          <w:bCs/>
          <w:color w:val="2E75B6"/>
          <w:sz w:val="23"/>
          <w:szCs w:val="23"/>
        </w:rPr>
        <w:t xml:space="preserve">First Claude Code session (WS1, today)</w:t>
      </w:r>
    </w:p>
    <w:p>
      <w:pPr>
        <w:pStyle w:val="ListParagraph"/>
        <w:numPr>
          <w:ilvl w:val="0"/>
          <w:numId w:val="2"/>
        </w:numPr>
        <w:spacing w:after="70"/>
      </w:pPr>
      <w:r>
        <w:rPr>
          <w:rFonts w:ascii="Times New Roman" w:cs="Times New Roman" w:eastAsia="Times New Roman" w:hAnsi="Times New Roman"/>
          <w:b/>
          <w:bCs/>
          <w:sz w:val="23"/>
          <w:szCs w:val="23"/>
        </w:rPr>
        <w:t xml:space="preserve">1. </w:t>
      </w:r>
      <w:r>
        <w:rPr>
          <w:rFonts w:ascii="Times New Roman" w:cs="Times New Roman" w:eastAsia="Times New Roman" w:hAnsi="Times New Roman"/>
          <w:sz w:val="23"/>
          <w:szCs w:val="23"/>
        </w:rPr>
        <w:t xml:space="preserve">Upload CASIA-B pretreated silhouettes and the GaitBase + GaitSet checkpoints to a private Kaggle Dataset shared with the team; mirror on Drive.</w:t>
      </w:r>
    </w:p>
    <w:p>
      <w:pPr>
        <w:pStyle w:val="ListParagraph"/>
        <w:numPr>
          <w:ilvl w:val="0"/>
          <w:numId w:val="2"/>
        </w:numPr>
        <w:spacing w:after="70"/>
      </w:pPr>
      <w:r>
        <w:rPr>
          <w:rFonts w:ascii="Times New Roman" w:cs="Times New Roman" w:eastAsia="Times New Roman" w:hAnsi="Times New Roman"/>
          <w:b/>
          <w:bCs/>
          <w:sz w:val="23"/>
          <w:szCs w:val="23"/>
        </w:rPr>
        <w:t xml:space="preserve">2. </w:t>
      </w:r>
      <w:r>
        <w:rPr>
          <w:rFonts w:ascii="Times New Roman" w:cs="Times New Roman" w:eastAsia="Times New Roman" w:hAnsi="Times New Roman"/>
          <w:sz w:val="23"/>
          <w:szCs w:val="23"/>
        </w:rPr>
        <w:t xml:space="preserve">Prompt: "Read CLAUDE.md and docs/notebook_specs.md. Build only the shared foundations — src/utils.py, src/checkpointing.py, src/data.py, src/evaluation.py — and Notebook 01. Inspect the OpenGait repo to verify the GaitBase and GaitSet forward signatures before writing the wrapper. Stop after Notebook 01."</w:t>
      </w:r>
    </w:p>
    <w:p>
      <w:pPr>
        <w:pStyle w:val="ListParagraph"/>
        <w:numPr>
          <w:ilvl w:val="0"/>
          <w:numId w:val="2"/>
        </w:numPr>
        <w:spacing w:after="70"/>
      </w:pPr>
      <w:r>
        <w:rPr>
          <w:rFonts w:ascii="Times New Roman" w:cs="Times New Roman" w:eastAsia="Times New Roman" w:hAnsi="Times New Roman"/>
          <w:b/>
          <w:bCs/>
          <w:sz w:val="23"/>
          <w:szCs w:val="23"/>
        </w:rPr>
        <w:t xml:space="preserve">3. </w:t>
      </w:r>
      <w:r>
        <w:rPr>
          <w:rFonts w:ascii="Times New Roman" w:cs="Times New Roman" w:eastAsia="Times New Roman" w:hAnsi="Times New Roman"/>
          <w:sz w:val="23"/>
          <w:szCs w:val="23"/>
        </w:rPr>
        <w:t xml:space="preserve">Run Notebook 01, check the Oct 17 gate, fill docs/reproducibility.md, push to the shared repo. WS2 and WS3 start their Claude Code sessions on top of it.</w:t>
      </w:r>
    </w:p>
    <w:p>
      <w:pPr>
        <w:spacing w:after="80" w:before="80"/>
      </w:pPr>
      <w:r>
        <w:t xml:space="preserve"/>
      </w:r>
    </w:p>
    <w:p>
      <w:pPr>
        <w:shd w:fill="1F3864" w:val="clear"/>
        <w:jc w:val="center"/>
      </w:pPr>
      <w:r>
        <w:rPr>
          <w:rFonts w:ascii="Arial" w:cs="Arial" w:eastAsia="Arial" w:hAnsi="Arial"/>
          <w:b/>
          <w:bCs/>
          <w:color w:val="FFFFFF"/>
          <w:sz w:val="21"/>
          <w:szCs w:val="21"/>
        </w:rPr>
        <w:t xml:space="preserve">  Today: OpenReview profiles for all · Kaggle Dataset shared · workstream owners assigned · WS2/WS3 reading · WS1 Claude Code session 1.  </w:t>
      </w:r>
    </w:p>
    <w:sectPr>
      <w:pgSz w:w="12240" w:h="15840" w:orient="portrait"/>
      <w:pgMar w:top="1000" w:right="1040" w:bottom="1000" w:left="10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2026-10-15T04:50:24.875Z</dcterms:created>
  <dcterms:modified xsi:type="dcterms:W3CDTF">2026-10-15T04:50:24.883Z</dcterms:modified>
</cp:coreProperties>
</file>

<file path=docProps/custom.xml><?xml version="1.0" encoding="utf-8"?>
<Properties xmlns="http://schemas.openxmlformats.org/officeDocument/2006/custom-properties" xmlns:vt="http://schemas.openxmlformats.org/officeDocument/2006/docPropsVTypes"/>
</file>