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Kunnskapsregimets Transformasjon: En Systemteoretisk Analyse av Norsk Forskning</w:t>
      </w:r>
    </w:p>
    <w:p w:rsidR="00000000" w:rsidDel="00000000" w:rsidP="00000000" w:rsidRDefault="00000000" w:rsidRPr="00000000" w14:paraId="00000002">
      <w:pPr>
        <w:pStyle w:val="Heading1"/>
        <w:rPr/>
      </w:pPr>
      <w:r w:rsidDel="00000000" w:rsidR="00000000" w:rsidRPr="00000000">
        <w:rPr>
          <w:rtl w:val="0"/>
        </w:rPr>
        <w:t xml:space="preserve">Sammendrag</w:t>
      </w:r>
    </w:p>
    <w:p w:rsidR="00000000" w:rsidDel="00000000" w:rsidP="00000000" w:rsidRDefault="00000000" w:rsidRPr="00000000" w14:paraId="00000003">
      <w:pPr>
        <w:rPr/>
      </w:pPr>
      <w:r w:rsidDel="00000000" w:rsidR="00000000" w:rsidRPr="00000000">
        <w:rPr>
          <w:rtl w:val="0"/>
        </w:rPr>
        <w:t xml:space="preserve">Denne analysen undersøker den strukturelle og epistemologiske omformingen av norsk forskning. Ved å anvende teorier om institusjonell isomorfisme, ressursavhengighet og epistemisk drift, påvises det hvordan skillet mellom akademisk og industriell forskning viskes ut. Analysen inkorporerer nye perspektiver på sekuritisering og instrumentell rasjonalitet (Habermas, Foucault, Buzan) for å forklare hvordan systemet produserer både teknologisk akselerasjon og systematisk uvitenhet (agnotologi) om økologiske og sosiale risikoer.</w:t>
      </w:r>
    </w:p>
    <w:p w:rsidR="00000000" w:rsidDel="00000000" w:rsidP="00000000" w:rsidRDefault="00000000" w:rsidRPr="00000000" w14:paraId="00000004">
      <w:pPr>
        <w:pStyle w:val="Heading1"/>
        <w:rPr/>
      </w:pPr>
      <w:r w:rsidDel="00000000" w:rsidR="00000000" w:rsidRPr="00000000">
        <w:rPr>
          <w:rtl w:val="0"/>
        </w:rPr>
        <w:t xml:space="preserve">1. Innledning: Fra Autonomi til Heteronomi</w:t>
      </w:r>
    </w:p>
    <w:p w:rsidR="00000000" w:rsidDel="00000000" w:rsidP="00000000" w:rsidRDefault="00000000" w:rsidRPr="00000000" w14:paraId="00000005">
      <w:pPr>
        <w:rPr/>
      </w:pPr>
      <w:r w:rsidDel="00000000" w:rsidR="00000000" w:rsidRPr="00000000">
        <w:rPr>
          <w:rtl w:val="0"/>
        </w:rPr>
        <w:t xml:space="preserve">Det norske kunnskapssystemet gjennomgår en funksjonell omforming. Historisk har vitenskapen vært legitimert gjennom sin relative autonomi og søken etter sannhet (Episteme). I det senmoderne samfunnet er legitimiteten flyttet til vitenskapens evne til å levere teknisk nytte (Techne) og økonomisk vekst. Dette markerer overgangen fra Mode 1 (disiplinær, autonom forskning) til Mode 2 (transdisiplinær, anvendelsesorientert forskning) (Gibbons et al., 1994). I denne prosessen erstattes Robert K. Mertons vitenskapelige normer om uegennytte (CUDOS) av John Zimans post-akademiske normer (PLACE), der kunnskap er bestilt, proprietær og instrumentell (Ziman, 2000).</w:t>
      </w:r>
    </w:p>
    <w:p w:rsidR="00000000" w:rsidDel="00000000" w:rsidP="00000000" w:rsidRDefault="00000000" w:rsidRPr="00000000" w14:paraId="00000006">
      <w:pPr>
        <w:pStyle w:val="Heading1"/>
        <w:rPr/>
      </w:pPr>
      <w:r w:rsidDel="00000000" w:rsidR="00000000" w:rsidRPr="00000000">
        <w:rPr>
          <w:rtl w:val="0"/>
        </w:rPr>
        <w:t xml:space="preserve">2. Strukturell Konvergens: Institusjonell Isomorfisme</w:t>
      </w:r>
    </w:p>
    <w:p w:rsidR="00000000" w:rsidDel="00000000" w:rsidP="00000000" w:rsidRDefault="00000000" w:rsidRPr="00000000" w14:paraId="00000007">
      <w:pPr>
        <w:rPr/>
      </w:pPr>
      <w:r w:rsidDel="00000000" w:rsidR="00000000" w:rsidRPr="00000000">
        <w:rPr>
          <w:rtl w:val="0"/>
        </w:rPr>
        <w:t xml:space="preserve">Tradisjonelt har det vært et skille mellom universitetssektoren (fri grunnforskning) og instituttsektoren (anvendt oppdragsforskning). Dette skillet er i ferd med å kollapse. Årsaken kan forklares gjennom Ressursavhengighetsteori (Pfeffer &amp; Salancik, 1978). Når statlig basisfinansiering reduseres, tvinges både universiteter og institutter inn i det samme markedet for konkurranseutsatte midler. For å overleve må organisasjonene internalisere preferansene til de som kontrollerer ressursene – primært industrien og det næringsrettede virkemiddelapparatet. Dette fører til Institusjonell Isomorfisme (DiMaggio &amp; Powell, 1983). For å oppnå legitimitet og finansiering, begynner universitetene å kopiere instituttenes forretningsmodell (kommersialisering, patenter, TTO-er). Resultatet er et homogent kunnskapssystem der alle aktører optimaliserer for samme type nytte, og det funksjonelle mangfoldet forsvinner.</w:t>
      </w:r>
    </w:p>
    <w:p w:rsidR="00000000" w:rsidDel="00000000" w:rsidP="00000000" w:rsidRDefault="00000000" w:rsidRPr="00000000" w14:paraId="00000008">
      <w:pPr>
        <w:pStyle w:val="Heading1"/>
        <w:rPr/>
      </w:pPr>
      <w:r w:rsidDel="00000000" w:rsidR="00000000" w:rsidRPr="00000000">
        <w:rPr>
          <w:rtl w:val="0"/>
        </w:rPr>
        <w:t xml:space="preserve">3. Epistemisk Drift og Kolonisering av Livsverdenen</w:t>
      </w:r>
    </w:p>
    <w:p w:rsidR="00000000" w:rsidDel="00000000" w:rsidP="00000000" w:rsidRDefault="00000000" w:rsidRPr="00000000" w14:paraId="00000009">
      <w:pPr>
        <w:rPr/>
      </w:pPr>
      <w:r w:rsidDel="00000000" w:rsidR="00000000" w:rsidRPr="00000000">
        <w:rPr>
          <w:rtl w:val="0"/>
        </w:rPr>
        <w:t xml:space="preserve">Finansieringsmodellens krav til relevans og effekt fører til det Aant Elzinga (1985) kaller Epistemisk Drift. Kvalitetskriteriene for god forskning forskyves fra interne vitenskapelige standarder (metodisk stringens) til eksterne byråkratiske standarder (politisk/økonomisk måloppnåelse). Filosofisk kan dette forstås gjennom Jürgen Habermas’ teori om Kolonisering av livsverdenen (Habermas, 1981). Vitenskapen, som burde styres av kommunikativ fornuft (forståelse og kritisk refleksjon), overtas av systemets instrumentelle fornuft (penger og makt). Forskningens formål reduseres til å være et middel for systemvedlikehold, snarere enn en arena for sannhetssøken. Dette forsterkes av The Tyranny of Metrics (Muller, 2018), der kvantitative måleindikatorer erstatter faglig skjønn, noe som insentiverer risikoavers og inkrementell forskning.</w:t>
      </w:r>
    </w:p>
    <w:p w:rsidR="00000000" w:rsidDel="00000000" w:rsidP="00000000" w:rsidRDefault="00000000" w:rsidRPr="00000000" w14:paraId="0000000A">
      <w:pPr>
        <w:pStyle w:val="Heading1"/>
        <w:rPr/>
      </w:pPr>
      <w:r w:rsidDel="00000000" w:rsidR="00000000" w:rsidRPr="00000000">
        <w:rPr>
          <w:rtl w:val="0"/>
        </w:rPr>
        <w:t xml:space="preserve">4. Agnotologi og Undone Science</w:t>
      </w:r>
    </w:p>
    <w:p w:rsidR="00000000" w:rsidDel="00000000" w:rsidP="00000000" w:rsidRDefault="00000000" w:rsidRPr="00000000" w14:paraId="0000000B">
      <w:pPr>
        <w:rPr/>
      </w:pPr>
      <w:r w:rsidDel="00000000" w:rsidR="00000000" w:rsidRPr="00000000">
        <w:rPr>
          <w:rtl w:val="0"/>
        </w:rPr>
        <w:t xml:space="preserve">Systemet produserer ikke bare kunnskap, men også strukturert uvitenhet. Dette feltet, kjent som Agnotologi (Proctor &amp; Schiebinger, 2008), forklarer hvordan visse spørsmål systematisk unnlates. I et markedsstyrt regime oppstår fenomenet Undone Science (Hess, 2016). Forskning som tjener kjøpesterke grupper (industrien) blir utført, mens forskning som tjener allmennheten men mangler betalingsvillig oppdragsgiver – for eksempel langtidseffekter av miljøgifter og alternativer til forbruksvekst – forblir ugjort. Dette skaper en Epistemisk Asymmetri: Beslutningstakere har overflod av data som støtter utbygging og vekst, men mangler data om systemrisiko og alternative utviklingsbaner. Dette er ikke en tilfeldighet, men en logisk konsekvens av Public Value Failure (Bozeman, 2002).</w:t>
      </w:r>
    </w:p>
    <w:p w:rsidR="00000000" w:rsidDel="00000000" w:rsidP="00000000" w:rsidRDefault="00000000" w:rsidRPr="00000000" w14:paraId="0000000C">
      <w:pPr>
        <w:pStyle w:val="Heading1"/>
        <w:rPr/>
      </w:pPr>
      <w:r w:rsidDel="00000000" w:rsidR="00000000" w:rsidRPr="00000000">
        <w:rPr>
          <w:rtl w:val="0"/>
        </w:rPr>
        <w:t xml:space="preserve">5. Makt, Disiplinering og Selvsensur</w:t>
      </w:r>
    </w:p>
    <w:p w:rsidR="00000000" w:rsidDel="00000000" w:rsidP="00000000" w:rsidRDefault="00000000" w:rsidRPr="00000000" w14:paraId="0000000D">
      <w:pPr>
        <w:rPr/>
      </w:pPr>
      <w:r w:rsidDel="00000000" w:rsidR="00000000" w:rsidRPr="00000000">
        <w:rPr>
          <w:rtl w:val="0"/>
        </w:rPr>
        <w:t xml:space="preserve">Hvorfor protesterer ikke forskersamfunnet? Michel Foucaults begrep om Governmentality (styringsmentalitet) gir en forklaring (Foucault, 1980). Makt utøves ikke lenger primært gjennom forbud, men gjennom subjektivering. Forskeren disiplinerer seg selv: gjennom søknadsskriving, rapportering og karrierejag internaliserer forskeren systemets logikk. Kritikk av systemet eller oppdragsgiver oppleves ikke som ulovlig, men som irrasjonelt eller profesjonelt selvmord. Dette skaper en strukturell selvsensur, der radikale perspektiver lukes ut lenge før de når offentligheten, fordi de anses som ufinansierbare.</w:t>
      </w:r>
    </w:p>
    <w:p w:rsidR="00000000" w:rsidDel="00000000" w:rsidP="00000000" w:rsidRDefault="00000000" w:rsidRPr="00000000" w14:paraId="0000000E">
      <w:pPr>
        <w:pStyle w:val="Heading1"/>
        <w:rPr/>
      </w:pPr>
      <w:r w:rsidDel="00000000" w:rsidR="00000000" w:rsidRPr="00000000">
        <w:rPr>
          <w:rtl w:val="0"/>
        </w:rPr>
        <w:t xml:space="preserve">6. Teknologisk Låsing og Organisert Uansvarlighet</w:t>
      </w:r>
    </w:p>
    <w:p w:rsidR="00000000" w:rsidDel="00000000" w:rsidP="00000000" w:rsidRDefault="00000000" w:rsidRPr="00000000" w14:paraId="0000000F">
      <w:pPr>
        <w:rPr/>
      </w:pPr>
      <w:r w:rsidDel="00000000" w:rsidR="00000000" w:rsidRPr="00000000">
        <w:rPr>
          <w:rtl w:val="0"/>
        </w:rPr>
        <w:t xml:space="preserve">Store investeringer i forskningsinfrastruktur – laboratorier for petroleum, havbruk, skipsfart – skaper Path Dependency og Carbon Lock-in (Unruh, 2000). Systemet blir deterministisk: fordi vi har investert i teknologien, må vi forske på hvordan den kan videreføres. Dette leder til Technological Solutionism (Morozov, 2013) – troen på at komplekse politiske og økologiske problemer kan løses med tekniske fikser uten sosiale endringer. Ulrich Beck beskriver dette som Organisert Uansvarlighet (Beck, 1992). Institusjonene er designet for å optimalisere industriell vekst, men mangler mandat og begreper for å håndtere de eksistensielle risikoene denne veksten produserer. Vitenskapen blir en produsent av risiko fremfor en beskytter mot den.</w:t>
      </w:r>
    </w:p>
    <w:p w:rsidR="00000000" w:rsidDel="00000000" w:rsidP="00000000" w:rsidRDefault="00000000" w:rsidRPr="00000000" w14:paraId="00000010">
      <w:pPr>
        <w:pStyle w:val="Heading1"/>
        <w:rPr/>
      </w:pPr>
      <w:r w:rsidDel="00000000" w:rsidR="00000000" w:rsidRPr="00000000">
        <w:rPr>
          <w:rtl w:val="0"/>
        </w:rPr>
        <w:t xml:space="preserve">7. Sekuritisering: Den nye styringslogikken</w:t>
      </w:r>
    </w:p>
    <w:p w:rsidR="00000000" w:rsidDel="00000000" w:rsidP="00000000" w:rsidRDefault="00000000" w:rsidRPr="00000000" w14:paraId="00000011">
      <w:pPr>
        <w:rPr/>
      </w:pPr>
      <w:r w:rsidDel="00000000" w:rsidR="00000000" w:rsidRPr="00000000">
        <w:rPr>
          <w:rtl w:val="0"/>
        </w:rPr>
        <w:t xml:space="preserve">En ny tendens i samtiden er Sekuritisering av forskningen (Buzan et al., 1998). I møte med geopolitisk uro og energikrise, løftes forskningsfelt som energi, teknologi og havbunn ut av normal politisk debatt og inn i sikkerhetssfæren. Når forskning defineres som nasjonal sikkerhet eller totalforsvar, settes normale krav til åpenhet, miljøhensyn og demokratisk medvirkning til side. Den instrumentelle rasjonaliteten blir totalitær: forskningens eneste mål blir kontroll, beredskap og strategisk overtak. Dette marginaliserer ytterligere den økologiske rasjonaliteten, som krever langsiktighet og grensesetting.</w:t>
      </w:r>
    </w:p>
    <w:p w:rsidR="00000000" w:rsidDel="00000000" w:rsidP="00000000" w:rsidRDefault="00000000" w:rsidRPr="00000000" w14:paraId="00000012">
      <w:pPr>
        <w:pStyle w:val="Heading1"/>
        <w:rPr/>
      </w:pPr>
      <w:r w:rsidDel="00000000" w:rsidR="00000000" w:rsidRPr="00000000">
        <w:rPr>
          <w:rtl w:val="0"/>
        </w:rPr>
        <w:t xml:space="preserve">8. Konklusjon: Behovet for en ny samfunnskontrakt</w:t>
      </w:r>
    </w:p>
    <w:p w:rsidR="00000000" w:rsidDel="00000000" w:rsidP="00000000" w:rsidRDefault="00000000" w:rsidRPr="00000000" w14:paraId="00000013">
      <w:pPr>
        <w:rPr/>
      </w:pPr>
      <w:r w:rsidDel="00000000" w:rsidR="00000000" w:rsidRPr="00000000">
        <w:rPr>
          <w:rtl w:val="0"/>
        </w:rPr>
        <w:t xml:space="preserve">Analysen viser at det norske kunnskapsregimet lider av en dyp systemisk ubalanse. Vi har optimalisert systemet for produksjon av Techne (instrumentell nytte), men har utarmet vilkårene for Phronesis (etisk dømmekraft) og Episteme (uavhengig forståelse). For å gjenopprette balansen kreves strukturelle grep inspirert av Mariana Mazzucatos Mission-Oriented Innovation (2013), der staten aktivt finansierer mot-hårs-forskning og setter samfunnsoppdrag som går på tvers av markedets kortsiktige logikk. Uten en slik korreks vil kunnskapssystemet fortsette å akselerere det bestående, blind for risikoen ved sin egen suksess.</w:t>
      </w:r>
    </w:p>
    <w:p w:rsidR="00000000" w:rsidDel="00000000" w:rsidP="00000000" w:rsidRDefault="00000000" w:rsidRPr="00000000" w14:paraId="00000014">
      <w:pPr>
        <w:pStyle w:val="Heading1"/>
        <w:rPr/>
      </w:pPr>
      <w:r w:rsidDel="00000000" w:rsidR="00000000" w:rsidRPr="00000000">
        <w:rPr>
          <w:rtl w:val="0"/>
        </w:rPr>
        <w:t xml:space="preserve">Bibliografi og Referanser</w:t>
      </w:r>
    </w:p>
    <w:p w:rsidR="00000000" w:rsidDel="00000000" w:rsidP="00000000" w:rsidRDefault="00000000" w:rsidRPr="00000000" w14:paraId="00000015">
      <w:pPr>
        <w:rPr/>
      </w:pPr>
      <w:r w:rsidDel="00000000" w:rsidR="00000000" w:rsidRPr="00000000">
        <w:rPr>
          <w:rtl w:val="0"/>
        </w:rPr>
        <w:t xml:space="preserve">Aristoteles: Den nikomakiske etikk.; Beck, U. (1992). Risk Society.; Bozeman (2002); Buzan et al. (1998); DiMaggio &amp; Powell (1983); Elzinga (1985); Etzkowitz &amp; Leydesdorff (2000); Foucault (1980); Gibbons et al. (1994); Guston (2000); Habermas (1981); Hess (2016); Mazzucato (2013); Merton (1973); Morozov (2013); Muller (2018); Pfeffer &amp; Salancik (1978); Proctor &amp; Schiebinger (2008); Slaughter &amp; Leslie (1997); Unruh (2000); Ziman (2000).</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