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80"/>
      </w:pPr>
    </w:p>
    <w:p>
      <w:pPr>
        <w:spacing w:after="220"/>
        <w:jc w:val="center"/>
      </w:pPr>
      <w:r>
        <w:drawing>
          <wp:inline distT="0" distB="0" distL="0" distR="0">
            <wp:extent cx="304800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00"/>
        <w:jc w:val="center"/>
      </w:pPr>
      <w:r>
        <w:rPr>
          <w:b/>
          <w:bCs/>
          <w:color w:val="1F3864"/>
          <w:sz w:val="44"/>
          <w:szCs w:val="44"/>
        </w:rPr>
        <w:t xml:space="preserve">TEAM EYRIE</w:t>
      </w:r>
    </w:p>
    <w:p>
      <w:pPr>
        <w:spacing w:after="40"/>
        <w:jc w:val="center"/>
      </w:pPr>
      <w:r>
        <w:rPr>
          <w:i/>
          <w:iCs/>
          <w:color w:val="B08D57"/>
          <w:sz w:val="22"/>
          <w:szCs w:val="22"/>
        </w:rPr>
        <w:t xml:space="preserve">Careers — DPDP Consent &amp; Revocation</w:t>
      </w:r>
    </w:p>
    <w:p>
      <w:pPr>
        <w:spacing w:before="460"/>
        <w:jc w:val="center"/>
      </w:pPr>
      <w:r>
        <w:rPr>
          <w:b/>
          <w:bCs/>
          <w:color w:val="333333"/>
          <w:sz w:val="32"/>
          <w:szCs w:val="32"/>
        </w:rPr>
        <w:t xml:space="preserve">Gap Analysis Document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Current state vs. DPDP consent requirement</w:t>
      </w:r>
    </w:p>
    <w:p>
      <w:pPr>
        <w:spacing w:before="420"/>
        <w:jc w:val="center"/>
      </w:pPr>
      <w:r>
        <w:rPr>
          <w:color w:val="595959"/>
          <w:sz w:val="20"/>
          <w:szCs w:val="20"/>
        </w:rPr>
        <w:t xml:space="preserve">Version 1.0   •   Prepared by NavaNala</w:t>
      </w:r>
    </w:p>
    <w:p>
      <w:r>
        <w:br w:type="page"/>
      </w:r>
    </w:p>
    <w:p>
      <w:pPr>
        <w:pStyle w:val="Heading1"/>
        <w:spacing w:after="110" w:before="300"/>
      </w:pPr>
      <w:r>
        <w:rPr>
          <w:b/>
          <w:bCs/>
          <w:color w:val="1F3864"/>
        </w:rPr>
        <w:t xml:space="preserve">1. Purpose</w:t>
      </w:r>
    </w:p>
    <w:p>
      <w:pPr>
        <w:pBdr>
          <w:bottom w:val="single" w:color="B08D57" w:sz="12"/>
        </w:pBdr>
        <w:spacing w:after="130" w:before="30"/>
      </w:pPr>
    </w:p>
    <w:p>
      <w:pPr>
        <w:spacing w:after="100"/>
      </w:pPr>
      <w:r>
        <w:rPr>
          <w:color w:val="333333"/>
        </w:rPr>
        <w:t xml:space="preserve">This document compares the current Careers application implementation against the DPDP consent &amp; revocation requirement, identifies the gaps, and maps each gap to the change required. It is the basis for the implementation plan.</w:t>
      </w:r>
    </w:p>
    <w:p>
      <w:pPr>
        <w:pBdr>
          <w:left w:val="single" w:color="B08D57" w:sz="18" w:space="10"/>
        </w:pBdr>
        <w:shd w:fill="F2F4F7" w:val="clear"/>
        <w:spacing w:after="120" w:before="80"/>
      </w:pPr>
      <w:r>
        <w:rPr>
          <w:i/>
          <w:iCs/>
          <w:color w:val="333333"/>
        </w:rPr>
        <w:t xml:space="preserve">This document describes the technical and functional requirements for consent handling. It is not legal advice. The consent notice wording, retention period and grievance-officer details must be reviewed and approved by Team Eyrie / its legal advisor before go-live.</w:t>
      </w:r>
    </w:p>
    <w:p>
      <w:pPr>
        <w:pStyle w:val="Heading1"/>
        <w:spacing w:after="110" w:before="300"/>
      </w:pPr>
      <w:r>
        <w:rPr>
          <w:b/>
          <w:bCs/>
          <w:color w:val="1F3864"/>
        </w:rPr>
        <w:t xml:space="preserve">2. Current State</w:t>
      </w:r>
    </w:p>
    <w:p>
      <w:pPr>
        <w:pBdr>
          <w:bottom w:val="single" w:color="B08D57" w:sz="12"/>
        </w:pBdr>
        <w:spacing w:after="13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26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Current behaviour</w:t>
            </w:r>
          </w:p>
        </w:tc>
      </w:tr>
      <w:tr>
        <w:tc>
          <w:tcPr>
            <w:tcW w:type="dxa" w:w="31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Application form (JobApplicationForm)</w:t>
            </w:r>
          </w:p>
        </w:tc>
        <w:tc>
          <w:tcPr>
            <w:tcW w:type="dxa" w:w="626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Collects name, email, phone, résumé etc. No consent checkbox.</w:t>
            </w:r>
          </w:p>
        </w:tc>
      </w:tr>
      <w:tr>
        <w:tc>
          <w:tcPr>
            <w:tcW w:type="dxa" w:w="31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Submission endpoint (/apply)</w:t>
            </w:r>
          </w:p>
        </w:tc>
        <w:tc>
          <w:tcPr>
            <w:tcW w:type="dxa" w:w="626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Validates and stores the application + résumé. Does not capture, require or store consent.</w:t>
            </w:r>
          </w:p>
        </w:tc>
      </w:tr>
      <w:tr>
        <w:tc>
          <w:tcPr>
            <w:tcW w:type="dxa" w:w="31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Job Applications record</w:t>
            </w:r>
          </w:p>
        </w:tc>
        <w:tc>
          <w:tcPr>
            <w:tcW w:type="dxa" w:w="626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No consent fields; no proof of consent.</w:t>
            </w:r>
          </w:p>
        </w:tc>
      </w:tr>
      <w:tr>
        <w:tc>
          <w:tcPr>
            <w:tcW w:type="dxa" w:w="31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Consent Logs collection</w:t>
            </w:r>
          </w:p>
        </w:tc>
        <w:tc>
          <w:tcPr>
            <w:tcW w:type="dxa" w:w="626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Exists but is cookie-consent only (necessary/preferences/statistics/marketing). Does not cover recruitment data.</w:t>
            </w:r>
          </w:p>
        </w:tc>
      </w:tr>
      <w:tr>
        <w:tc>
          <w:tcPr>
            <w:tcW w:type="dxa" w:w="31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Cookie-consent widget</w:t>
            </w:r>
          </w:p>
        </w:tc>
        <w:tc>
          <w:tcPr>
            <w:tcW w:type="dxa" w:w="626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Lets visitors withdraw cookie consent — unrelated to application data.</w:t>
            </w:r>
          </w:p>
        </w:tc>
      </w:tr>
      <w:tr>
        <w:tc>
          <w:tcPr>
            <w:tcW w:type="dxa" w:w="31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Candidate withdrawal</w:t>
            </w:r>
          </w:p>
        </w:tc>
        <w:tc>
          <w:tcPr>
            <w:tcW w:type="dxa" w:w="626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No mechanism to withdraw application-data consent.</w:t>
            </w:r>
          </w:p>
        </w:tc>
      </w:tr>
      <w:tr>
        <w:tc>
          <w:tcPr>
            <w:tcW w:type="dxa" w:w="31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Grievance / privacy notice</w:t>
            </w:r>
          </w:p>
        </w:tc>
        <w:tc>
          <w:tcPr>
            <w:tcW w:type="dxa" w:w="626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No published grievance contact; no candidate privacy notice; no stated retention period.</w:t>
            </w:r>
          </w:p>
        </w:tc>
      </w:tr>
      <w:tr>
        <w:tc>
          <w:tcPr>
            <w:tcW w:type="dxa" w:w="31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Admin consent configuration</w:t>
            </w:r>
          </w:p>
        </w:tc>
        <w:tc>
          <w:tcPr>
            <w:tcW w:type="dxa" w:w="626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None — notice text, grievance contact and retention period are not editable in the admin.</w:t>
            </w:r>
          </w:p>
        </w:tc>
      </w:tr>
      <w:tr>
        <w:tc>
          <w:tcPr>
            <w:tcW w:type="dxa" w:w="31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Email</w:t>
            </w:r>
          </w:p>
        </w:tc>
        <w:tc>
          <w:tcPr>
            <w:tcW w:type="dxa" w:w="626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No email adapter configured (no acknowledgement emails).</w:t>
            </w:r>
          </w:p>
        </w:tc>
      </w:tr>
    </w:tbl>
    <w:p>
      <w:pPr>
        <w:pStyle w:val="Heading1"/>
        <w:spacing w:after="110" w:before="300"/>
      </w:pPr>
      <w:r>
        <w:rPr>
          <w:b/>
          <w:bCs/>
          <w:color w:val="1F3864"/>
        </w:rPr>
        <w:t xml:space="preserve">3. Gap Analysis</w:t>
      </w:r>
    </w:p>
    <w:p>
      <w:pPr>
        <w:pBdr>
          <w:bottom w:val="single" w:color="B08D57" w:sz="12"/>
        </w:pBdr>
        <w:spacing w:after="13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60"/>
        <w:gridCol w:w="1900"/>
        <w:gridCol w:w="14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36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Gap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</w:tr>
      <w:tr>
        <w:tc>
          <w:tcPr>
            <w:tcW w:type="dxa" w:w="7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G-01</w:t>
            </w:r>
          </w:p>
        </w:tc>
        <w:tc>
          <w:tcPr>
            <w:tcW w:type="dxa" w:w="536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No consent checkbox in the form (must be un-ticked by default; blocks submit until ticked).</w:t>
            </w:r>
          </w:p>
        </w:tc>
        <w:tc>
          <w:tcPr>
            <w:tcW w:type="dxa" w:w="19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Capture (UI)</w:t>
            </w:r>
          </w:p>
        </w:tc>
        <w:tc>
          <w:tcPr>
            <w:tcW w:type="dxa" w:w="14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C0392B"/>
              </w:rPr>
              <w:t xml:space="preserve">High</w:t>
            </w:r>
          </w:p>
        </w:tc>
      </w:tr>
      <w:tr>
        <w:tc>
          <w:tcPr>
            <w:tcW w:type="dxa" w:w="7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G-02</w:t>
            </w:r>
          </w:p>
        </w:tc>
        <w:tc>
          <w:tcPr>
            <w:tcW w:type="dxa" w:w="536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Server does not require/validate consent — client-only enforcement is not compliant.</w:t>
            </w:r>
          </w:p>
        </w:tc>
        <w:tc>
          <w:tcPr>
            <w:tcW w:type="dxa" w:w="19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Capture (server)</w:t>
            </w:r>
          </w:p>
        </w:tc>
        <w:tc>
          <w:tcPr>
            <w:tcW w:type="dxa" w:w="14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C0392B"/>
              </w:rPr>
              <w:t xml:space="preserve">High</w:t>
            </w:r>
          </w:p>
        </w:tc>
      </w:tr>
      <w:tr>
        <w:tc>
          <w:tcPr>
            <w:tcW w:type="dxa" w:w="7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G-03</w:t>
            </w:r>
          </w:p>
        </w:tc>
        <w:tc>
          <w:tcPr>
            <w:tcW w:type="dxa" w:w="536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No fields to persist proof of consent (timestamp, version, IP, user agent).</w:t>
            </w:r>
          </w:p>
        </w:tc>
        <w:tc>
          <w:tcPr>
            <w:tcW w:type="dxa" w:w="19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Storage</w:t>
            </w:r>
          </w:p>
        </w:tc>
        <w:tc>
          <w:tcPr>
            <w:tcW w:type="dxa" w:w="14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C0392B"/>
              </w:rPr>
              <w:t xml:space="preserve">High</w:t>
            </w:r>
          </w:p>
        </w:tc>
      </w:tr>
      <w:tr>
        <w:tc>
          <w:tcPr>
            <w:tcW w:type="dxa" w:w="7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G-04</w:t>
            </w:r>
          </w:p>
        </w:tc>
        <w:tc>
          <w:tcPr>
            <w:tcW w:type="dxa" w:w="536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No consent-notice versioning.</w:t>
            </w:r>
          </w:p>
        </w:tc>
        <w:tc>
          <w:tcPr>
            <w:tcW w:type="dxa" w:w="19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Storage</w:t>
            </w:r>
          </w:p>
        </w:tc>
        <w:tc>
          <w:tcPr>
            <w:tcW w:type="dxa" w:w="14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B7791F"/>
              </w:rPr>
              <w:t xml:space="preserve">Medium</w:t>
            </w:r>
          </w:p>
        </w:tc>
      </w:tr>
      <w:tr>
        <w:tc>
          <w:tcPr>
            <w:tcW w:type="dxa" w:w="7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G-05</w:t>
            </w:r>
          </w:p>
        </w:tc>
        <w:tc>
          <w:tcPr>
            <w:tcW w:type="dxa" w:w="536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No candidate mechanism to withdraw application-data consent.</w:t>
            </w:r>
          </w:p>
        </w:tc>
        <w:tc>
          <w:tcPr>
            <w:tcW w:type="dxa" w:w="19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Revocation</w:t>
            </w:r>
          </w:p>
        </w:tc>
        <w:tc>
          <w:tcPr>
            <w:tcW w:type="dxa" w:w="14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C0392B"/>
              </w:rPr>
              <w:t xml:space="preserve">High</w:t>
            </w:r>
          </w:p>
        </w:tc>
      </w:tr>
      <w:tr>
        <w:tc>
          <w:tcPr>
            <w:tcW w:type="dxa" w:w="7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G-06</w:t>
            </w:r>
          </w:p>
        </w:tc>
        <w:tc>
          <w:tcPr>
            <w:tcW w:type="dxa" w:w="536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No identity-verified withdrawal (tokenised link) — needed to prevent abuse.</w:t>
            </w:r>
          </w:p>
        </w:tc>
        <w:tc>
          <w:tcPr>
            <w:tcW w:type="dxa" w:w="19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Revocation</w:t>
            </w:r>
          </w:p>
        </w:tc>
        <w:tc>
          <w:tcPr>
            <w:tcW w:type="dxa" w:w="14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C0392B"/>
              </w:rPr>
              <w:t xml:space="preserve">High</w:t>
            </w:r>
          </w:p>
        </w:tc>
      </w:tr>
      <w:tr>
        <w:tc>
          <w:tcPr>
            <w:tcW w:type="dxa" w:w="7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G-07</w:t>
            </w:r>
          </w:p>
        </w:tc>
        <w:tc>
          <w:tcPr>
            <w:tcW w:type="dxa" w:w="536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No defined post-withdrawal action / consent status on the record.</w:t>
            </w:r>
          </w:p>
        </w:tc>
        <w:tc>
          <w:tcPr>
            <w:tcW w:type="dxa" w:w="19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Revocation</w:t>
            </w:r>
          </w:p>
        </w:tc>
        <w:tc>
          <w:tcPr>
            <w:tcW w:type="dxa" w:w="14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C0392B"/>
              </w:rPr>
              <w:t xml:space="preserve">High</w:t>
            </w:r>
          </w:p>
        </w:tc>
      </w:tr>
      <w:tr>
        <w:tc>
          <w:tcPr>
            <w:tcW w:type="dxa" w:w="7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G-08</w:t>
            </w:r>
          </w:p>
        </w:tc>
        <w:tc>
          <w:tcPr>
            <w:tcW w:type="dxa" w:w="536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No append-only audit trail of consent + withdrawal events.</w:t>
            </w:r>
          </w:p>
        </w:tc>
        <w:tc>
          <w:tcPr>
            <w:tcW w:type="dxa" w:w="19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Compliance</w:t>
            </w:r>
          </w:p>
        </w:tc>
        <w:tc>
          <w:tcPr>
            <w:tcW w:type="dxa" w:w="14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B7791F"/>
              </w:rPr>
              <w:t xml:space="preserve">Medium</w:t>
            </w:r>
          </w:p>
        </w:tc>
      </w:tr>
      <w:tr>
        <w:tc>
          <w:tcPr>
            <w:tcW w:type="dxa" w:w="7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G-09</w:t>
            </w:r>
          </w:p>
        </w:tc>
        <w:tc>
          <w:tcPr>
            <w:tcW w:type="dxa" w:w="536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No grievance contact, candidate privacy notice, or stated retention period.</w:t>
            </w:r>
          </w:p>
        </w:tc>
        <w:tc>
          <w:tcPr>
            <w:tcW w:type="dxa" w:w="19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Compliance</w:t>
            </w:r>
          </w:p>
        </w:tc>
        <w:tc>
          <w:tcPr>
            <w:tcW w:type="dxa" w:w="14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B7791F"/>
              </w:rPr>
              <w:t xml:space="preserve">Medium</w:t>
            </w:r>
          </w:p>
        </w:tc>
      </w:tr>
      <w:tr>
        <w:tc>
          <w:tcPr>
            <w:tcW w:type="dxa" w:w="7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G-10</w:t>
            </w:r>
          </w:p>
        </w:tc>
        <w:tc>
          <w:tcPr>
            <w:tcW w:type="dxa" w:w="536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No admin visibility/filter for consent status.</w:t>
            </w:r>
          </w:p>
        </w:tc>
        <w:tc>
          <w:tcPr>
            <w:tcW w:type="dxa" w:w="19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Admin</w:t>
            </w:r>
          </w:p>
        </w:tc>
        <w:tc>
          <w:tcPr>
            <w:tcW w:type="dxa" w:w="14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B7791F"/>
              </w:rPr>
              <w:t xml:space="preserve">Medium</w:t>
            </w:r>
          </w:p>
        </w:tc>
      </w:tr>
      <w:tr>
        <w:tc>
          <w:tcPr>
            <w:tcW w:type="dxa" w:w="7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G-11</w:t>
            </w:r>
          </w:p>
        </w:tc>
        <w:tc>
          <w:tcPr>
            <w:tcW w:type="dxa" w:w="536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On-screen privacy claim ("encrypted / no third-party syndication") must match reality.</w:t>
            </w:r>
          </w:p>
        </w:tc>
        <w:tc>
          <w:tcPr>
            <w:tcW w:type="dxa" w:w="19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Accuracy</w:t>
            </w:r>
          </w:p>
        </w:tc>
        <w:tc>
          <w:tcPr>
            <w:tcW w:type="dxa" w:w="14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B7791F"/>
              </w:rPr>
              <w:t xml:space="preserve">Medium</w:t>
            </w:r>
          </w:p>
        </w:tc>
      </w:tr>
      <w:tr>
        <w:tc>
          <w:tcPr>
            <w:tcW w:type="dxa" w:w="7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G-12</w:t>
            </w:r>
          </w:p>
        </w:tc>
        <w:tc>
          <w:tcPr>
            <w:tcW w:type="dxa" w:w="536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Data Fiduciary name must read Team Eyrie (screenshot showed KPHS &amp; Co.).</w:t>
            </w:r>
          </w:p>
        </w:tc>
        <w:tc>
          <w:tcPr>
            <w:tcW w:type="dxa" w:w="19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Correctness</w:t>
            </w:r>
          </w:p>
        </w:tc>
        <w:tc>
          <w:tcPr>
            <w:tcW w:type="dxa" w:w="14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C0392B"/>
              </w:rPr>
              <w:t xml:space="preserve">High (confirm)</w:t>
            </w:r>
          </w:p>
        </w:tc>
      </w:tr>
      <w:tr>
        <w:tc>
          <w:tcPr>
            <w:tcW w:type="dxa" w:w="7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G-13</w:t>
            </w:r>
          </w:p>
        </w:tc>
        <w:tc>
          <w:tcPr>
            <w:tcW w:type="dxa" w:w="536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No email service to send the acknowledgement + withdrawal link.</w:t>
            </w:r>
          </w:p>
        </w:tc>
        <w:tc>
          <w:tcPr>
            <w:tcW w:type="dxa" w:w="19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Dependency</w:t>
            </w:r>
          </w:p>
        </w:tc>
        <w:tc>
          <w:tcPr>
            <w:tcW w:type="dxa" w:w="14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C0392B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spacing w:after="110" w:before="300"/>
      </w:pPr>
      <w:r>
        <w:rPr>
          <w:b/>
          <w:bCs/>
          <w:color w:val="1F3864"/>
        </w:rPr>
        <w:t xml:space="preserve">4. Gap → Required Change</w:t>
      </w:r>
    </w:p>
    <w:p>
      <w:pPr>
        <w:pBdr>
          <w:bottom w:val="single" w:color="B08D57" w:sz="12"/>
        </w:pBdr>
        <w:spacing w:after="13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60"/>
        <w:gridCol w:w="27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Gap</w:t>
            </w:r>
          </w:p>
        </w:tc>
        <w:tc>
          <w:tcPr>
            <w:tcW w:type="dxa" w:w="556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Change required</w:t>
            </w:r>
          </w:p>
        </w:tc>
        <w:tc>
          <w:tcPr>
            <w:tcW w:type="dxa" w:w="27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Decision applied</w:t>
            </w:r>
          </w:p>
        </w:tc>
      </w:tr>
      <w:tr>
        <w:tc>
          <w:tcPr>
            <w:tcW w:type="dxa" w:w="11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G-01</w:t>
            </w:r>
          </w:p>
        </w:tc>
        <w:tc>
          <w:tcPr>
            <w:tcW w:type="dxa" w:w="556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Add un-ticked consent checkbox; disable submit until ticked.</w:t>
            </w:r>
          </w:p>
        </w:tc>
        <w:tc>
          <w:tcPr>
            <w:tcW w:type="dxa" w:w="27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—</w:t>
            </w:r>
          </w:p>
        </w:tc>
      </w:tr>
      <w:tr>
        <w:tc>
          <w:tcPr>
            <w:tcW w:type="dxa" w:w="11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G-02</w:t>
            </w:r>
          </w:p>
        </w:tc>
        <w:tc>
          <w:tcPr>
            <w:tcW w:type="dxa" w:w="556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Validate consent in /apply; reject if not true.</w:t>
            </w:r>
          </w:p>
        </w:tc>
        <w:tc>
          <w:tcPr>
            <w:tcW w:type="dxa" w:w="27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—</w:t>
            </w:r>
          </w:p>
        </w:tc>
      </w:tr>
      <w:tr>
        <w:tc>
          <w:tcPr>
            <w:tcW w:type="dxa" w:w="11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G-03</w:t>
            </w:r>
          </w:p>
        </w:tc>
        <w:tc>
          <w:tcPr>
            <w:tcW w:type="dxa" w:w="556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Add consent proof fields (given, at, version, IP, UA) to Job Applications.</w:t>
            </w:r>
          </w:p>
        </w:tc>
        <w:tc>
          <w:tcPr>
            <w:tcW w:type="dxa" w:w="27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Extend Job Applications (5)</w:t>
            </w:r>
          </w:p>
        </w:tc>
      </w:tr>
      <w:tr>
        <w:tc>
          <w:tcPr>
            <w:tcW w:type="dxa" w:w="11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G-04</w:t>
            </w:r>
          </w:p>
        </w:tc>
        <w:tc>
          <w:tcPr>
            <w:tcW w:type="dxa" w:w="556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Add an admin Consent Settings page for the notice text/version + snapshot the exact wording onto each application (Safeguards 1 &amp; 2).</w:t>
            </w:r>
          </w:p>
        </w:tc>
        <w:tc>
          <w:tcPr>
            <w:tcW w:type="dxa" w:w="27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Config page + snapshot</w:t>
            </w:r>
          </w:p>
        </w:tc>
      </w:tr>
      <w:tr>
        <w:tc>
          <w:tcPr>
            <w:tcW w:type="dxa" w:w="11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G-05/G-06</w:t>
            </w:r>
          </w:p>
        </w:tc>
        <w:tc>
          <w:tcPr>
            <w:tcW w:type="dxa" w:w="556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Generate withdrawal token; email self-service link; public withdrawal page.</w:t>
            </w:r>
          </w:p>
        </w:tc>
        <w:tc>
          <w:tcPr>
            <w:tcW w:type="dxa" w:w="27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Tokenised link (2)</w:t>
            </w:r>
          </w:p>
        </w:tc>
      </w:tr>
      <w:tr>
        <w:tc>
          <w:tcPr>
            <w:tcW w:type="dxa" w:w="11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G-07</w:t>
            </w:r>
          </w:p>
        </w:tc>
        <w:tc>
          <w:tcPr>
            <w:tcW w:type="dxa" w:w="556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Add consentStatus (active/withdrawn) + withdrawnAt; mark withdrawn on request.</w:t>
            </w:r>
          </w:p>
        </w:tc>
        <w:tc>
          <w:tcPr>
            <w:tcW w:type="dxa" w:w="27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Mark withdrawn (3)</w:t>
            </w:r>
          </w:p>
        </w:tc>
      </w:tr>
      <w:tr>
        <w:tc>
          <w:tcPr>
            <w:tcW w:type="dxa" w:w="11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G-08</w:t>
            </w:r>
          </w:p>
        </w:tc>
        <w:tc>
          <w:tcPr>
            <w:tcW w:type="dxa" w:w="556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Append consent/withdrawal events to an audit log.</w:t>
            </w:r>
          </w:p>
        </w:tc>
        <w:tc>
          <w:tcPr>
            <w:tcW w:type="dxa" w:w="27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—</w:t>
            </w:r>
          </w:p>
        </w:tc>
      </w:tr>
      <w:tr>
        <w:tc>
          <w:tcPr>
            <w:tcW w:type="dxa" w:w="11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G-09</w:t>
            </w:r>
          </w:p>
        </w:tc>
        <w:tc>
          <w:tcPr>
            <w:tcW w:type="dxa" w:w="556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Manage grievance contact, retention period and privacy notice via the admin Consent Settings page.</w:t>
            </w:r>
          </w:p>
        </w:tc>
        <w:tc>
          <w:tcPr>
            <w:tcW w:type="dxa" w:w="27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Admin config page</w:t>
            </w:r>
          </w:p>
        </w:tc>
      </w:tr>
      <w:tr>
        <w:tc>
          <w:tcPr>
            <w:tcW w:type="dxa" w:w="11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G-10</w:t>
            </w:r>
          </w:p>
        </w:tc>
        <w:tc>
          <w:tcPr>
            <w:tcW w:type="dxa" w:w="556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Add consent-status column + filter in admin.</w:t>
            </w:r>
          </w:p>
        </w:tc>
        <w:tc>
          <w:tcPr>
            <w:tcW w:type="dxa" w:w="27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—</w:t>
            </w:r>
          </w:p>
        </w:tc>
      </w:tr>
      <w:tr>
        <w:tc>
          <w:tcPr>
            <w:tcW w:type="dxa" w:w="11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G-11</w:t>
            </w:r>
          </w:p>
        </w:tc>
        <w:tc>
          <w:tcPr>
            <w:tcW w:type="dxa" w:w="556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Align UI wording with actual implementation.</w:t>
            </w:r>
          </w:p>
        </w:tc>
        <w:tc>
          <w:tcPr>
            <w:tcW w:type="dxa" w:w="27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Draft wording (4)</w:t>
            </w:r>
          </w:p>
        </w:tc>
      </w:tr>
      <w:tr>
        <w:tc>
          <w:tcPr>
            <w:tcW w:type="dxa" w:w="11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G-12</w:t>
            </w:r>
          </w:p>
        </w:tc>
        <w:tc>
          <w:tcPr>
            <w:tcW w:type="dxa" w:w="556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Use Team Eyrie as Data Fiduciary in all consent copy.</w:t>
            </w:r>
          </w:p>
        </w:tc>
        <w:tc>
          <w:tcPr>
            <w:tcW w:type="dxa" w:w="27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Confirmed Team Eyrie (1)</w:t>
            </w:r>
          </w:p>
        </w:tc>
      </w:tr>
      <w:tr>
        <w:tc>
          <w:tcPr>
            <w:tcW w:type="dxa" w:w="11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1F3864"/>
              </w:rPr>
              <w:t xml:space="preserve">G-13</w:t>
            </w:r>
          </w:p>
        </w:tc>
        <w:tc>
          <w:tcPr>
            <w:tcW w:type="dxa" w:w="556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Configure an email adapter (prerequisite for the link).</w:t>
            </w:r>
          </w:p>
        </w:tc>
        <w:tc>
          <w:tcPr>
            <w:tcW w:type="dxa" w:w="27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Dependency</w:t>
            </w:r>
          </w:p>
        </w:tc>
      </w:tr>
    </w:tbl>
    <w:p>
      <w:pPr>
        <w:spacing w:after="100"/>
      </w:pPr>
      <w:r>
        <w:rPr>
          <w:i/>
          <w:iCs/>
          <w:color w:val="595959"/>
        </w:rPr>
        <w:t xml:space="preserve">Consent Settings (admin config page): the notice text, version, grievance contact and retention period are managed in a new admin-only Consent Settings page. Two safeguards keep the editable notice compliant — Safeguard 1: the exact notice text + version are snapshotted onto each application at submission (immutable proof); Safeguard 2: the settings page keeps full version history of every wording change.</w:t>
      </w:r>
    </w:p>
    <w:p>
      <w:pPr>
        <w:pStyle w:val="Heading1"/>
        <w:spacing w:after="110" w:before="300"/>
      </w:pPr>
      <w:r>
        <w:rPr>
          <w:b/>
          <w:bCs/>
          <w:color w:val="1F3864"/>
        </w:rPr>
        <w:t xml:space="preserve">5. Severity Summary</w:t>
      </w:r>
    </w:p>
    <w:p>
      <w:pPr>
        <w:pBdr>
          <w:bottom w:val="single" w:color="B08D57" w:sz="12"/>
        </w:pBdr>
        <w:spacing w:after="13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56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Count</w:t>
            </w:r>
          </w:p>
        </w:tc>
        <w:tc>
          <w:tcPr>
            <w:tcW w:type="dxa" w:w="656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Gaps</w:t>
            </w:r>
          </w:p>
        </w:tc>
      </w:tr>
      <w:tr>
        <w:tc>
          <w:tcPr>
            <w:tcW w:type="dxa" w:w="16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C0392B"/>
              </w:rPr>
              <w:t xml:space="preserve">High</w:t>
            </w:r>
          </w:p>
        </w:tc>
        <w:tc>
          <w:tcPr>
            <w:tcW w:type="dxa" w:w="120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7</w:t>
            </w:r>
          </w:p>
        </w:tc>
        <w:tc>
          <w:tcPr>
            <w:tcW w:type="dxa" w:w="6560"/>
            <w:shd w:fill="F2F4F7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G-01, G-02, G-03, G-05, G-06, G-07, G-13 (+ G-12 confirm)</w:t>
            </w:r>
          </w:p>
        </w:tc>
      </w:tr>
      <w:tr>
        <w:tc>
          <w:tcPr>
            <w:tcW w:type="dxa" w:w="16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/>
                <w:bCs/>
                <w:color w:val="B7791F"/>
              </w:rPr>
              <w:t xml:space="preserve">Medium</w:t>
            </w:r>
          </w:p>
        </w:tc>
        <w:tc>
          <w:tcPr>
            <w:tcW w:type="dxa" w:w="120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5</w:t>
            </w:r>
          </w:p>
        </w:tc>
        <w:tc>
          <w:tcPr>
            <w:tcW w:type="dxa" w:w="6560"/>
            <w:shd w:fill="FFFFFF" w:val="clear"/>
            <w:tcMar>
              <w:top w:type="dxa" w:w="54"/>
              <w:left w:type="dxa" w:w="110"/>
              <w:bottom w:type="dxa" w:w="54"/>
              <w:right w:type="dxa" w:w="11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G-04, G-08, G-09, G-10, G-11</w:t>
            </w:r>
          </w:p>
        </w:tc>
      </w:tr>
    </w:tbl>
    <w:p>
      <w:pPr>
        <w:pStyle w:val="Heading1"/>
        <w:spacing w:after="110" w:before="300"/>
      </w:pPr>
      <w:r>
        <w:rPr>
          <w:b/>
          <w:bCs/>
          <w:color w:val="1F3864"/>
        </w:rPr>
        <w:t xml:space="preserve">6. Key Dependency &amp; Risk</w:t>
      </w:r>
    </w:p>
    <w:p>
      <w:pPr>
        <w:pBdr>
          <w:bottom w:val="single" w:color="B08D57" w:sz="12"/>
        </w:pBdr>
        <w:spacing w:after="130" w:before="30"/>
      </w:pPr>
    </w:p>
    <w:p>
      <w:pPr>
        <w:pStyle w:val="ListParagraph"/>
        <w:numPr>
          <w:ilvl w:val="0"/>
          <w:numId w:val="2"/>
        </w:numPr>
        <w:spacing w:after="44"/>
      </w:pPr>
      <w:r>
        <w:rPr>
          <w:color w:val="333333"/>
        </w:rPr>
        <w:t xml:space="preserve">Email dependency (G-13): the tokenised withdrawal link is delivered by email; without an email service the self-service withdrawal cannot function. Configuring email is a prerequisite, not part of the consent feature itself.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color w:val="333333"/>
        </w:rPr>
        <w:t xml:space="preserve">Legal sign-off: notice wording, retention period and grievance contact must be approved before go-live.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color w:val="333333"/>
        </w:rPr>
        <w:t xml:space="preserve">“Mark withdrawn” (decision 3) satisfies “cease processing”; full erasure/auto-purge is deferred to Phase 2 and should be acknowledged as a residual item for full DPDP alignment.</w:t>
      </w:r>
    </w:p>
    <w:p>
      <w:pPr>
        <w:pStyle w:val="Heading1"/>
        <w:spacing w:after="110" w:before="300"/>
      </w:pPr>
      <w:r>
        <w:rPr>
          <w:b/>
          <w:bCs/>
          <w:color w:val="1F3864"/>
        </w:rPr>
        <w:t xml:space="preserve">7. Recommended Sequence</w:t>
      </w:r>
    </w:p>
    <w:p>
      <w:pPr>
        <w:pBdr>
          <w:bottom w:val="single" w:color="B08D57" w:sz="12"/>
        </w:pBdr>
        <w:spacing w:after="130" w:before="30"/>
      </w:pPr>
    </w:p>
    <w:p>
      <w:pPr>
        <w:pStyle w:val="ListParagraph"/>
        <w:numPr>
          <w:ilvl w:val="0"/>
          <w:numId w:val="3"/>
        </w:numPr>
        <w:spacing w:after="44"/>
      </w:pPr>
      <w:r>
        <w:rPr>
          <w:color w:val="333333"/>
        </w:rPr>
        <w:t xml:space="preserve">Confirm notice wording, grievance contact and retention period (Team Eyrie).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color w:val="333333"/>
        </w:rPr>
        <w:t xml:space="preserve">Configure the email adapter (dependency G-13).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color w:val="333333"/>
        </w:rPr>
        <w:t xml:space="preserve">Extend Job Applications with consent fields; enforce consent in form + /apply (G-01–G-04).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color w:val="333333"/>
        </w:rPr>
        <w:t xml:space="preserve">Add withdrawal token, acknowledgement email, withdrawal page and status handling (G-05–G-07).</w:t>
      </w:r>
    </w:p>
    <w:p>
      <w:pPr>
        <w:pStyle w:val="ListParagraph"/>
        <w:numPr>
          <w:ilvl w:val="0"/>
          <w:numId w:val="3"/>
        </w:numPr>
        <w:spacing w:after="44"/>
      </w:pPr>
      <w:r>
        <w:rPr>
          <w:color w:val="333333"/>
        </w:rPr>
        <w:t xml:space="preserve">Add audit logging and admin visibility; publish privacy notice + grievance contact (G-08–G-12).</w:t>
      </w:r>
    </w:p>
    <w:p>
      <w:pPr>
        <w:spacing w:before="220"/>
        <w:jc w:val="center"/>
      </w:pPr>
      <w:r>
        <w:rPr>
          <w:i/>
          <w:iCs/>
          <w:color w:val="1F3864"/>
        </w:rPr>
        <w:t xml:space="preserve">Trusted Advice. Practical Solutions. Sustainable Growth.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Confidential — Prepared by NavaNala   •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Team Eyrie — DPDP Consent Gap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color w:val="B08D57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8e118a6074a5470e844868534a2e181f9d6f4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Eyrie Careers — DPDP Consent Gap Analysis</dc:title>
  <dc:creator>NavaNala</dc:creator>
  <cp:lastModifiedBy>Un-named</cp:lastModifiedBy>
  <cp:revision>1</cp:revision>
  <dcterms:created xsi:type="dcterms:W3CDTF">2026-08-15T16:30:07.440Z</dcterms:created>
  <dcterms:modified xsi:type="dcterms:W3CDTF">2026-08-15T16:30:07.440Z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