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80"/>
      </w:pPr>
    </w:p>
    <w:p>
      <w:pPr>
        <w:spacing w:after="220"/>
        <w:jc w:val="center"/>
      </w:pPr>
      <w:r>
        <w:drawing>
          <wp:inline distT="0" distB="0" distL="0" distR="0">
            <wp:extent cx="30480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695325"/>
                    </a:xfrm>
                    <a:prstGeom prst="rect">
                      <a:avLst/>
                    </a:prstGeom>
                  </pic:spPr>
                </pic:pic>
              </a:graphicData>
            </a:graphic>
          </wp:inline>
        </w:drawing>
      </w:r>
    </w:p>
    <w:p>
      <w:pPr>
        <w:spacing w:after="0" w:before="200"/>
        <w:jc w:val="center"/>
      </w:pPr>
      <w:r>
        <w:rPr>
          <w:b/>
          <w:bCs/>
          <w:color w:val="1F3864"/>
          <w:sz w:val="44"/>
          <w:szCs w:val="44"/>
        </w:rPr>
        <w:t xml:space="preserve">TEAM EYRIE</w:t>
      </w:r>
    </w:p>
    <w:p>
      <w:pPr>
        <w:spacing w:after="40"/>
        <w:jc w:val="center"/>
      </w:pPr>
      <w:r>
        <w:rPr>
          <w:i/>
          <w:iCs/>
          <w:color w:val="B08D57"/>
          <w:sz w:val="22"/>
          <w:szCs w:val="22"/>
        </w:rPr>
        <w:t xml:space="preserve">Careers — DPDP Consent &amp; Revocation</w:t>
      </w:r>
    </w:p>
    <w:p>
      <w:pPr>
        <w:spacing w:before="460"/>
        <w:jc w:val="center"/>
      </w:pPr>
      <w:r>
        <w:rPr>
          <w:b/>
          <w:bCs/>
          <w:color w:val="333333"/>
          <w:sz w:val="32"/>
          <w:szCs w:val="32"/>
        </w:rPr>
        <w:t xml:space="preserve">Requirement Document</w:t>
      </w:r>
    </w:p>
    <w:p>
      <w:pPr>
        <w:spacing w:after="40"/>
        <w:jc w:val="center"/>
      </w:pPr>
      <w:r>
        <w:rPr>
          <w:color w:val="595959"/>
          <w:sz w:val="22"/>
          <w:szCs w:val="22"/>
        </w:rPr>
        <w:t xml:space="preserve">Consent capture &amp; revocation for job applications</w:t>
      </w:r>
    </w:p>
    <w:p>
      <w:pPr>
        <w:spacing w:before="420"/>
        <w:jc w:val="center"/>
      </w:pPr>
      <w:r>
        <w:rPr>
          <w:color w:val="595959"/>
          <w:sz w:val="20"/>
          <w:szCs w:val="20"/>
        </w:rPr>
        <w:t xml:space="preserve">Version 1.0   •   Prepared by NavaNala</w:t>
      </w:r>
    </w:p>
    <w:p>
      <w:r>
        <w:br w:type="page"/>
      </w:r>
    </w:p>
    <w:p>
      <w:pPr>
        <w:pStyle w:val="Heading1"/>
        <w:spacing w:after="110" w:before="300"/>
      </w:pPr>
      <w:r>
        <w:rPr>
          <w:b/>
          <w:bCs/>
          <w:color w:val="1F3864"/>
        </w:rPr>
        <w:t xml:space="preserve">1. Purpose &amp; Scope</w:t>
      </w:r>
    </w:p>
    <w:p>
      <w:pPr>
        <w:pBdr>
          <w:bottom w:val="single" w:color="B08D57" w:sz="12"/>
        </w:pBdr>
        <w:spacing w:after="130" w:before="30"/>
      </w:pPr>
    </w:p>
    <w:p>
      <w:pPr>
        <w:spacing w:after="100"/>
      </w:pPr>
      <w:r>
        <w:rPr>
          <w:color w:val="333333"/>
        </w:rPr>
        <w:t xml:space="preserve">This document specifies the requirement to capture explicit consent from candidates when they upload personal data (name, email, phone and résumé) through the Careers application form, and to give candidates a means to withdraw that consent at any time. The processing is governed by India’s Digital Personal Data Protection (DPDP) Act, 2023.</w:t>
      </w:r>
    </w:p>
    <w:p>
      <w:pPr>
        <w:spacing w:after="100"/>
      </w:pPr>
      <w:r>
        <w:rPr>
          <w:color w:val="333333"/>
        </w:rPr>
        <w:t xml:space="preserve">Data Fiduciary: Team Eyrie. (The “KPHS &amp; Co.” text seen on the reference screenshot is only an example snapshot.)</w:t>
      </w:r>
    </w:p>
    <w:p>
      <w:pPr>
        <w:pBdr>
          <w:left w:val="single" w:color="B08D57" w:sz="18" w:space="10"/>
        </w:pBdr>
        <w:shd w:fill="F2F4F7" w:val="clear"/>
        <w:spacing w:after="120" w:before="80"/>
      </w:pPr>
      <w:r>
        <w:rPr>
          <w:i/>
          <w:iCs/>
          <w:color w:val="333333"/>
        </w:rPr>
        <w:t xml:space="preserve">This document describes the technical and functional requirements for consent handling. It is not legal advice. The consent notice wording, retention period and grievance-officer details must be reviewed and approved by Team Eyrie / its legal advisor before go-live.</w:t>
      </w:r>
    </w:p>
    <w:p>
      <w:pPr>
        <w:pStyle w:val="Heading1"/>
        <w:spacing w:after="110" w:before="300"/>
      </w:pPr>
      <w:r>
        <w:rPr>
          <w:b/>
          <w:bCs/>
          <w:color w:val="1F3864"/>
        </w:rPr>
        <w:t xml:space="preserve">2. Confirmed Decisions</w:t>
      </w:r>
    </w:p>
    <w:p>
      <w:pPr>
        <w:pBdr>
          <w:bottom w:val="single" w:color="B08D57" w:sz="12"/>
        </w:pBdr>
        <w:spacing w:after="1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shd w:fill="1F3864" w:val="clear"/>
            <w:tcMar>
              <w:top w:type="dxa" w:w="60"/>
              <w:left w:type="dxa" w:w="110"/>
              <w:bottom w:type="dxa" w:w="60"/>
              <w:right w:type="dxa" w:w="110"/>
            </w:tcMar>
          </w:tcPr>
          <w:p>
            <w:r>
              <w:rPr>
                <w:b/>
                <w:bCs/>
                <w:color w:val="FFFFFF"/>
              </w:rPr>
              <w:t xml:space="preserve">#</w:t>
            </w:r>
          </w:p>
        </w:tc>
        <w:tc>
          <w:tcPr>
            <w:tcW w:type="dxa" w:w="3600"/>
            <w:shd w:fill="1F3864" w:val="clear"/>
            <w:tcMar>
              <w:top w:type="dxa" w:w="60"/>
              <w:left w:type="dxa" w:w="110"/>
              <w:bottom w:type="dxa" w:w="60"/>
              <w:right w:type="dxa" w:w="110"/>
            </w:tcMar>
          </w:tcPr>
          <w:p>
            <w:r>
              <w:rPr>
                <w:b/>
                <w:bCs/>
                <w:color w:val="FFFFFF"/>
              </w:rPr>
              <w:t xml:space="preserve">Point</w:t>
            </w:r>
          </w:p>
        </w:tc>
        <w:tc>
          <w:tcPr>
            <w:tcW w:type="dxa" w:w="5160"/>
            <w:shd w:fill="1F3864" w:val="clear"/>
            <w:tcMar>
              <w:top w:type="dxa" w:w="60"/>
              <w:left w:type="dxa" w:w="110"/>
              <w:bottom w:type="dxa" w:w="60"/>
              <w:right w:type="dxa" w:w="110"/>
            </w:tcMar>
          </w:tcPr>
          <w:p>
            <w:r>
              <w:rPr>
                <w:b/>
                <w:bCs/>
                <w:color w:val="FFFFFF"/>
              </w:rPr>
              <w:t xml:space="preserve">Decision</w:t>
            </w:r>
          </w:p>
        </w:tc>
      </w:tr>
      <w:tr>
        <w:tc>
          <w:tcPr>
            <w:tcW w:type="dxa" w:w="600"/>
            <w:shd w:fill="F2F4F7" w:val="clear"/>
            <w:tcMar>
              <w:top w:type="dxa" w:w="54"/>
              <w:left w:type="dxa" w:w="110"/>
              <w:bottom w:type="dxa" w:w="54"/>
              <w:right w:type="dxa" w:w="110"/>
            </w:tcMar>
          </w:tcPr>
          <w:p>
            <w:r>
              <w:rPr>
                <w:b/>
                <w:bCs/>
                <w:color w:val="1F3864"/>
              </w:rPr>
              <w:t xml:space="preserve">1</w:t>
            </w:r>
          </w:p>
        </w:tc>
        <w:tc>
          <w:tcPr>
            <w:tcW w:type="dxa" w:w="3600"/>
            <w:shd w:fill="F2F4F7" w:val="clear"/>
            <w:tcMar>
              <w:top w:type="dxa" w:w="54"/>
              <w:left w:type="dxa" w:w="110"/>
              <w:bottom w:type="dxa" w:w="54"/>
              <w:right w:type="dxa" w:w="110"/>
            </w:tcMar>
          </w:tcPr>
          <w:p>
            <w:r>
              <w:rPr>
                <w:b w:val="false"/>
                <w:bCs w:val="false"/>
                <w:color w:val="333333"/>
              </w:rPr>
              <w:t xml:space="preserve">Data Fiduciary (legal entity)</w:t>
            </w:r>
          </w:p>
        </w:tc>
        <w:tc>
          <w:tcPr>
            <w:tcW w:type="dxa" w:w="5160"/>
            <w:shd w:fill="F2F4F7" w:val="clear"/>
            <w:tcMar>
              <w:top w:type="dxa" w:w="54"/>
              <w:left w:type="dxa" w:w="110"/>
              <w:bottom w:type="dxa" w:w="54"/>
              <w:right w:type="dxa" w:w="110"/>
            </w:tcMar>
          </w:tcPr>
          <w:p>
            <w:r>
              <w:rPr>
                <w:b w:val="false"/>
                <w:bCs w:val="false"/>
                <w:color w:val="333333"/>
              </w:rPr>
              <w:t xml:space="preserve">Team Eyrie</w:t>
            </w:r>
          </w:p>
        </w:tc>
      </w:tr>
      <w:tr>
        <w:tc>
          <w:tcPr>
            <w:tcW w:type="dxa" w:w="600"/>
            <w:shd w:fill="FFFFFF" w:val="clear"/>
            <w:tcMar>
              <w:top w:type="dxa" w:w="54"/>
              <w:left w:type="dxa" w:w="110"/>
              <w:bottom w:type="dxa" w:w="54"/>
              <w:right w:type="dxa" w:w="110"/>
            </w:tcMar>
          </w:tcPr>
          <w:p>
            <w:r>
              <w:rPr>
                <w:b/>
                <w:bCs/>
                <w:color w:val="1F3864"/>
              </w:rPr>
              <w:t xml:space="preserve">2</w:t>
            </w:r>
          </w:p>
        </w:tc>
        <w:tc>
          <w:tcPr>
            <w:tcW w:type="dxa" w:w="3600"/>
            <w:shd w:fill="FFFFFF" w:val="clear"/>
            <w:tcMar>
              <w:top w:type="dxa" w:w="54"/>
              <w:left w:type="dxa" w:w="110"/>
              <w:bottom w:type="dxa" w:w="54"/>
              <w:right w:type="dxa" w:w="110"/>
            </w:tcMar>
          </w:tcPr>
          <w:p>
            <w:r>
              <w:rPr>
                <w:b w:val="false"/>
                <w:bCs w:val="false"/>
                <w:color w:val="333333"/>
              </w:rPr>
              <w:t xml:space="preserve">Withdrawal mechanism</w:t>
            </w:r>
          </w:p>
        </w:tc>
        <w:tc>
          <w:tcPr>
            <w:tcW w:type="dxa" w:w="5160"/>
            <w:shd w:fill="FFFFFF" w:val="clear"/>
            <w:tcMar>
              <w:top w:type="dxa" w:w="54"/>
              <w:left w:type="dxa" w:w="110"/>
              <w:bottom w:type="dxa" w:w="54"/>
              <w:right w:type="dxa" w:w="110"/>
            </w:tcMar>
          </w:tcPr>
          <w:p>
            <w:r>
              <w:rPr>
                <w:b w:val="false"/>
                <w:bCs w:val="false"/>
                <w:color w:val="333333"/>
              </w:rPr>
              <w:t xml:space="preserve">Emailed self-service tokenised link</w:t>
            </w:r>
          </w:p>
        </w:tc>
      </w:tr>
      <w:tr>
        <w:tc>
          <w:tcPr>
            <w:tcW w:type="dxa" w:w="600"/>
            <w:shd w:fill="F2F4F7" w:val="clear"/>
            <w:tcMar>
              <w:top w:type="dxa" w:w="54"/>
              <w:left w:type="dxa" w:w="110"/>
              <w:bottom w:type="dxa" w:w="54"/>
              <w:right w:type="dxa" w:w="110"/>
            </w:tcMar>
          </w:tcPr>
          <w:p>
            <w:r>
              <w:rPr>
                <w:b/>
                <w:bCs/>
                <w:color w:val="1F3864"/>
              </w:rPr>
              <w:t xml:space="preserve">3</w:t>
            </w:r>
          </w:p>
        </w:tc>
        <w:tc>
          <w:tcPr>
            <w:tcW w:type="dxa" w:w="3600"/>
            <w:shd w:fill="F2F4F7" w:val="clear"/>
            <w:tcMar>
              <w:top w:type="dxa" w:w="54"/>
              <w:left w:type="dxa" w:w="110"/>
              <w:bottom w:type="dxa" w:w="54"/>
              <w:right w:type="dxa" w:w="110"/>
            </w:tcMar>
          </w:tcPr>
          <w:p>
            <w:r>
              <w:rPr>
                <w:b w:val="false"/>
                <w:bCs w:val="false"/>
                <w:color w:val="333333"/>
              </w:rPr>
              <w:t xml:space="preserve">Action on withdrawal</w:t>
            </w:r>
          </w:p>
        </w:tc>
        <w:tc>
          <w:tcPr>
            <w:tcW w:type="dxa" w:w="5160"/>
            <w:shd w:fill="F2F4F7" w:val="clear"/>
            <w:tcMar>
              <w:top w:type="dxa" w:w="54"/>
              <w:left w:type="dxa" w:w="110"/>
              <w:bottom w:type="dxa" w:w="54"/>
              <w:right w:type="dxa" w:w="110"/>
            </w:tcMar>
          </w:tcPr>
          <w:p>
            <w:r>
              <w:rPr>
                <w:b w:val="false"/>
                <w:bCs w:val="false"/>
                <w:color w:val="333333"/>
              </w:rPr>
              <w:t xml:space="preserve">Mark the application as consent-withdrawn (stop processing)</w:t>
            </w:r>
          </w:p>
        </w:tc>
      </w:tr>
      <w:tr>
        <w:tc>
          <w:tcPr>
            <w:tcW w:type="dxa" w:w="600"/>
            <w:shd w:fill="FFFFFF" w:val="clear"/>
            <w:tcMar>
              <w:top w:type="dxa" w:w="54"/>
              <w:left w:type="dxa" w:w="110"/>
              <w:bottom w:type="dxa" w:w="54"/>
              <w:right w:type="dxa" w:w="110"/>
            </w:tcMar>
          </w:tcPr>
          <w:p>
            <w:r>
              <w:rPr>
                <w:b/>
                <w:bCs/>
                <w:color w:val="1F3864"/>
              </w:rPr>
              <w:t xml:space="preserve">4</w:t>
            </w:r>
          </w:p>
        </w:tc>
        <w:tc>
          <w:tcPr>
            <w:tcW w:type="dxa" w:w="3600"/>
            <w:shd w:fill="FFFFFF" w:val="clear"/>
            <w:tcMar>
              <w:top w:type="dxa" w:w="54"/>
              <w:left w:type="dxa" w:w="110"/>
              <w:bottom w:type="dxa" w:w="54"/>
              <w:right w:type="dxa" w:w="110"/>
            </w:tcMar>
          </w:tcPr>
          <w:p>
            <w:r>
              <w:rPr>
                <w:b w:val="false"/>
                <w:bCs w:val="false"/>
                <w:color w:val="333333"/>
              </w:rPr>
              <w:t xml:space="preserve">Consent notice wording</w:t>
            </w:r>
          </w:p>
        </w:tc>
        <w:tc>
          <w:tcPr>
            <w:tcW w:type="dxa" w:w="5160"/>
            <w:shd w:fill="FFFFFF" w:val="clear"/>
            <w:tcMar>
              <w:top w:type="dxa" w:w="54"/>
              <w:left w:type="dxa" w:w="110"/>
              <w:bottom w:type="dxa" w:w="54"/>
              <w:right w:type="dxa" w:w="110"/>
            </w:tcMar>
          </w:tcPr>
          <w:p>
            <w:r>
              <w:rPr>
                <w:b w:val="false"/>
                <w:bCs w:val="false"/>
                <w:color w:val="333333"/>
              </w:rPr>
              <w:t xml:space="preserve">Drafted by NavaNala (Section 6) for Team Eyrie review</w:t>
            </w:r>
          </w:p>
        </w:tc>
      </w:tr>
      <w:tr>
        <w:tc>
          <w:tcPr>
            <w:tcW w:type="dxa" w:w="600"/>
            <w:shd w:fill="F2F4F7" w:val="clear"/>
            <w:tcMar>
              <w:top w:type="dxa" w:w="54"/>
              <w:left w:type="dxa" w:w="110"/>
              <w:bottom w:type="dxa" w:w="54"/>
              <w:right w:type="dxa" w:w="110"/>
            </w:tcMar>
          </w:tcPr>
          <w:p>
            <w:r>
              <w:rPr>
                <w:b/>
                <w:bCs/>
                <w:color w:val="1F3864"/>
              </w:rPr>
              <w:t xml:space="preserve">5</w:t>
            </w:r>
          </w:p>
        </w:tc>
        <w:tc>
          <w:tcPr>
            <w:tcW w:type="dxa" w:w="3600"/>
            <w:shd w:fill="F2F4F7" w:val="clear"/>
            <w:tcMar>
              <w:top w:type="dxa" w:w="54"/>
              <w:left w:type="dxa" w:w="110"/>
              <w:bottom w:type="dxa" w:w="54"/>
              <w:right w:type="dxa" w:w="110"/>
            </w:tcMar>
          </w:tcPr>
          <w:p>
            <w:r>
              <w:rPr>
                <w:b w:val="false"/>
                <w:bCs w:val="false"/>
                <w:color w:val="333333"/>
              </w:rPr>
              <w:t xml:space="preserve">Consent storage</w:t>
            </w:r>
          </w:p>
        </w:tc>
        <w:tc>
          <w:tcPr>
            <w:tcW w:type="dxa" w:w="5160"/>
            <w:shd w:fill="F2F4F7" w:val="clear"/>
            <w:tcMar>
              <w:top w:type="dxa" w:w="54"/>
              <w:left w:type="dxa" w:w="110"/>
              <w:bottom w:type="dxa" w:w="54"/>
              <w:right w:type="dxa" w:w="110"/>
            </w:tcMar>
          </w:tcPr>
          <w:p>
            <w:r>
              <w:rPr>
                <w:b w:val="false"/>
                <w:bCs w:val="false"/>
                <w:color w:val="333333"/>
              </w:rPr>
              <w:t xml:space="preserve">Extend the Job Applications record with consent fields</w:t>
            </w:r>
          </w:p>
        </w:tc>
      </w:tr>
    </w:tbl>
    <w:p>
      <w:pPr>
        <w:pStyle w:val="Heading1"/>
        <w:spacing w:after="110" w:before="300"/>
      </w:pPr>
      <w:r>
        <w:rPr>
          <w:b/>
          <w:bCs/>
          <w:color w:val="1F3864"/>
        </w:rPr>
        <w:t xml:space="preserve">3. Regulatory Context (DPDP Act, 2023)</w:t>
      </w:r>
    </w:p>
    <w:p>
      <w:pPr>
        <w:pBdr>
          <w:bottom w:val="single" w:color="B08D57" w:sz="12"/>
        </w:pBdr>
        <w:spacing w:after="130" w:before="30"/>
      </w:pPr>
    </w:p>
    <w:p>
      <w:pPr>
        <w:spacing w:after="100"/>
      </w:pPr>
      <w:r>
        <w:rPr>
          <w:color w:val="333333"/>
        </w:rPr>
        <w:t xml:space="preserve">The relevant obligations this feature must satisfy:</w:t>
      </w:r>
    </w:p>
    <w:p>
      <w:pPr>
        <w:pStyle w:val="ListParagraph"/>
        <w:numPr>
          <w:ilvl w:val="0"/>
          <w:numId w:val="2"/>
        </w:numPr>
        <w:spacing w:after="44"/>
      </w:pPr>
      <w:r>
        <w:rPr>
          <w:color w:val="333333"/>
        </w:rPr>
        <w:t xml:space="preserve">Consent must be free, specific, informed, unconditional and unambiguous, given by a clear affirmative action (an un-ticked checkbox the candidate actively selects).</w:t>
      </w:r>
    </w:p>
    <w:p>
      <w:pPr>
        <w:pStyle w:val="ListParagraph"/>
        <w:numPr>
          <w:ilvl w:val="0"/>
          <w:numId w:val="2"/>
        </w:numPr>
        <w:spacing w:after="44"/>
      </w:pPr>
      <w:r>
        <w:rPr>
          <w:color w:val="333333"/>
        </w:rPr>
        <w:t xml:space="preserve">An itemised notice must state what personal data is collected, the purpose, how to withdraw, and how to raise a grievance.</w:t>
      </w:r>
    </w:p>
    <w:p>
      <w:pPr>
        <w:pStyle w:val="ListParagraph"/>
        <w:numPr>
          <w:ilvl w:val="0"/>
          <w:numId w:val="2"/>
        </w:numPr>
        <w:spacing w:after="44"/>
      </w:pPr>
      <w:r>
        <w:rPr>
          <w:color w:val="333333"/>
        </w:rPr>
        <w:t xml:space="preserve">The candidate may withdraw consent at any time, and it must be as easy to withdraw as it was to give.</w:t>
      </w:r>
    </w:p>
    <w:p>
      <w:pPr>
        <w:pStyle w:val="ListParagraph"/>
        <w:numPr>
          <w:ilvl w:val="0"/>
          <w:numId w:val="2"/>
        </w:numPr>
        <w:spacing w:after="44"/>
      </w:pPr>
      <w:r>
        <w:rPr>
          <w:color w:val="333333"/>
        </w:rPr>
        <w:t xml:space="preserve">On withdrawal, the Data Fiduciary must cease processing (and, per policy, erase data unless retention is legally required).</w:t>
      </w:r>
    </w:p>
    <w:p>
      <w:pPr>
        <w:pStyle w:val="ListParagraph"/>
        <w:numPr>
          <w:ilvl w:val="0"/>
          <w:numId w:val="2"/>
        </w:numPr>
        <w:spacing w:after="44"/>
      </w:pPr>
      <w:r>
        <w:rPr>
          <w:color w:val="333333"/>
        </w:rPr>
        <w:t xml:space="preserve">The Data Fiduciary must maintain a record/proof of consent and of any withdrawal.</w:t>
      </w:r>
    </w:p>
    <w:p>
      <w:pPr>
        <w:pStyle w:val="ListParagraph"/>
        <w:numPr>
          <w:ilvl w:val="0"/>
          <w:numId w:val="2"/>
        </w:numPr>
        <w:spacing w:after="44"/>
      </w:pPr>
      <w:r>
        <w:rPr>
          <w:color w:val="333333"/>
        </w:rPr>
        <w:t xml:space="preserve">A grievance-redressal contact must be available to the candidate.</w:t>
      </w:r>
    </w:p>
    <w:p>
      <w:pPr>
        <w:pStyle w:val="Heading1"/>
        <w:spacing w:after="110" w:before="300"/>
      </w:pPr>
      <w:r>
        <w:rPr>
          <w:b/>
          <w:bCs/>
          <w:color w:val="1F3864"/>
        </w:rPr>
        <w:t xml:space="preserve">4. Functional Requirements</w:t>
      </w:r>
    </w:p>
    <w:p>
      <w:pPr>
        <w:pBdr>
          <w:bottom w:val="single" w:color="B08D57" w:sz="12"/>
        </w:pBdr>
        <w:spacing w:after="13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val="clear"/>
            <w:tcMar>
              <w:top w:type="dxa" w:w="60"/>
              <w:left w:type="dxa" w:w="110"/>
              <w:bottom w:type="dxa" w:w="60"/>
              <w:right w:type="dxa" w:w="110"/>
            </w:tcMar>
          </w:tcPr>
          <w:p>
            <w:r>
              <w:rPr>
                <w:b/>
                <w:bCs/>
                <w:color w:val="FFFFFF"/>
              </w:rPr>
              <w:t xml:space="preserve">ID</w:t>
            </w:r>
          </w:p>
        </w:tc>
        <w:tc>
          <w:tcPr>
            <w:tcW w:type="dxa" w:w="8460"/>
            <w:shd w:fill="1F3864" w:val="clear"/>
            <w:tcMar>
              <w:top w:type="dxa" w:w="60"/>
              <w:left w:type="dxa" w:w="110"/>
              <w:bottom w:type="dxa" w:w="60"/>
              <w:right w:type="dxa" w:w="110"/>
            </w:tcMar>
          </w:tcPr>
          <w:p>
            <w:r>
              <w:rPr>
                <w:b/>
                <w:bCs/>
                <w:color w:val="FFFFFF"/>
              </w:rPr>
              <w:t xml:space="preserve">Requirement</w:t>
            </w:r>
          </w:p>
        </w:tc>
      </w:tr>
      <w:tr>
        <w:tc>
          <w:tcPr>
            <w:tcW w:type="dxa" w:w="900"/>
            <w:shd w:fill="F2F4F7" w:val="clear"/>
            <w:tcMar>
              <w:top w:type="dxa" w:w="54"/>
              <w:left w:type="dxa" w:w="110"/>
              <w:bottom w:type="dxa" w:w="54"/>
              <w:right w:type="dxa" w:w="110"/>
            </w:tcMar>
          </w:tcPr>
          <w:p>
            <w:r>
              <w:rPr>
                <w:b/>
                <w:bCs/>
                <w:color w:val="1F3864"/>
              </w:rPr>
              <w:t xml:space="preserve">FR-01</w:t>
            </w:r>
          </w:p>
        </w:tc>
        <w:tc>
          <w:tcPr>
            <w:tcW w:type="dxa" w:w="8460"/>
            <w:shd w:fill="F2F4F7" w:val="clear"/>
            <w:tcMar>
              <w:top w:type="dxa" w:w="54"/>
              <w:left w:type="dxa" w:w="110"/>
              <w:bottom w:type="dxa" w:w="54"/>
              <w:right w:type="dxa" w:w="110"/>
            </w:tcMar>
          </w:tcPr>
          <w:p>
            <w:r>
              <w:rPr>
                <w:b w:val="false"/>
                <w:bCs w:val="false"/>
                <w:color w:val="333333"/>
              </w:rPr>
              <w:t xml:space="preserve">Add an un-ticked consent checkbox to the job-application form; the form cannot be submitted until it is ticked.</w:t>
            </w:r>
          </w:p>
        </w:tc>
      </w:tr>
      <w:tr>
        <w:tc>
          <w:tcPr>
            <w:tcW w:type="dxa" w:w="900"/>
            <w:shd w:fill="FFFFFF" w:val="clear"/>
            <w:tcMar>
              <w:top w:type="dxa" w:w="54"/>
              <w:left w:type="dxa" w:w="110"/>
              <w:bottom w:type="dxa" w:w="54"/>
              <w:right w:type="dxa" w:w="110"/>
            </w:tcMar>
          </w:tcPr>
          <w:p>
            <w:r>
              <w:rPr>
                <w:b/>
                <w:bCs/>
                <w:color w:val="1F3864"/>
              </w:rPr>
              <w:t xml:space="preserve">FR-02</w:t>
            </w:r>
          </w:p>
        </w:tc>
        <w:tc>
          <w:tcPr>
            <w:tcW w:type="dxa" w:w="8460"/>
            <w:shd w:fill="FFFFFF" w:val="clear"/>
            <w:tcMar>
              <w:top w:type="dxa" w:w="54"/>
              <w:left w:type="dxa" w:w="110"/>
              <w:bottom w:type="dxa" w:w="54"/>
              <w:right w:type="dxa" w:w="110"/>
            </w:tcMar>
          </w:tcPr>
          <w:p>
            <w:r>
              <w:rPr>
                <w:b w:val="false"/>
                <w:bCs w:val="false"/>
                <w:color w:val="333333"/>
              </w:rPr>
              <w:t xml:space="preserve">Display the itemised consent notice (Section 7) beside the checkbox, naming Team Eyrie and the withdrawal/grievance route.</w:t>
            </w:r>
          </w:p>
        </w:tc>
      </w:tr>
      <w:tr>
        <w:tc>
          <w:tcPr>
            <w:tcW w:type="dxa" w:w="900"/>
            <w:shd w:fill="F2F4F7" w:val="clear"/>
            <w:tcMar>
              <w:top w:type="dxa" w:w="54"/>
              <w:left w:type="dxa" w:w="110"/>
              <w:bottom w:type="dxa" w:w="54"/>
              <w:right w:type="dxa" w:w="110"/>
            </w:tcMar>
          </w:tcPr>
          <w:p>
            <w:r>
              <w:rPr>
                <w:b/>
                <w:bCs/>
                <w:color w:val="1F3864"/>
              </w:rPr>
              <w:t xml:space="preserve">FR-03</w:t>
            </w:r>
          </w:p>
        </w:tc>
        <w:tc>
          <w:tcPr>
            <w:tcW w:type="dxa" w:w="8460"/>
            <w:shd w:fill="F2F4F7" w:val="clear"/>
            <w:tcMar>
              <w:top w:type="dxa" w:w="54"/>
              <w:left w:type="dxa" w:w="110"/>
              <w:bottom w:type="dxa" w:w="54"/>
              <w:right w:type="dxa" w:w="110"/>
            </w:tcMar>
          </w:tcPr>
          <w:p>
            <w:r>
              <w:rPr>
                <w:b w:val="false"/>
                <w:bCs w:val="false"/>
                <w:color w:val="333333"/>
              </w:rPr>
              <w:t xml:space="preserve">Enforce consent on the server (the /apply endpoint) — reject any submission where consent is not explicitly true.</w:t>
            </w:r>
          </w:p>
        </w:tc>
      </w:tr>
      <w:tr>
        <w:tc>
          <w:tcPr>
            <w:tcW w:type="dxa" w:w="900"/>
            <w:shd w:fill="FFFFFF" w:val="clear"/>
            <w:tcMar>
              <w:top w:type="dxa" w:w="54"/>
              <w:left w:type="dxa" w:w="110"/>
              <w:bottom w:type="dxa" w:w="54"/>
              <w:right w:type="dxa" w:w="110"/>
            </w:tcMar>
          </w:tcPr>
          <w:p>
            <w:r>
              <w:rPr>
                <w:b/>
                <w:bCs/>
                <w:color w:val="1F3864"/>
              </w:rPr>
              <w:t xml:space="preserve">FR-04</w:t>
            </w:r>
          </w:p>
        </w:tc>
        <w:tc>
          <w:tcPr>
            <w:tcW w:type="dxa" w:w="8460"/>
            <w:shd w:fill="FFFFFF" w:val="clear"/>
            <w:tcMar>
              <w:top w:type="dxa" w:w="54"/>
              <w:left w:type="dxa" w:w="110"/>
              <w:bottom w:type="dxa" w:w="54"/>
              <w:right w:type="dxa" w:w="110"/>
            </w:tcMar>
          </w:tcPr>
          <w:p>
            <w:r>
              <w:rPr>
                <w:b w:val="false"/>
                <w:bCs w:val="false"/>
                <w:color w:val="333333"/>
              </w:rPr>
              <w:t xml:space="preserve">Store proof of consent on the Job Application record (Section 5 fields), including timestamp, notice version, IP and user agent.</w:t>
            </w:r>
          </w:p>
        </w:tc>
      </w:tr>
      <w:tr>
        <w:tc>
          <w:tcPr>
            <w:tcW w:type="dxa" w:w="900"/>
            <w:shd w:fill="F2F4F7" w:val="clear"/>
            <w:tcMar>
              <w:top w:type="dxa" w:w="54"/>
              <w:left w:type="dxa" w:w="110"/>
              <w:bottom w:type="dxa" w:w="54"/>
              <w:right w:type="dxa" w:w="110"/>
            </w:tcMar>
          </w:tcPr>
          <w:p>
            <w:r>
              <w:rPr>
                <w:b/>
                <w:bCs/>
                <w:color w:val="1F3864"/>
              </w:rPr>
              <w:t xml:space="preserve">FR-05</w:t>
            </w:r>
          </w:p>
        </w:tc>
        <w:tc>
          <w:tcPr>
            <w:tcW w:type="dxa" w:w="8460"/>
            <w:shd w:fill="F2F4F7" w:val="clear"/>
            <w:tcMar>
              <w:top w:type="dxa" w:w="54"/>
              <w:left w:type="dxa" w:w="110"/>
              <w:bottom w:type="dxa" w:w="54"/>
              <w:right w:type="dxa" w:w="110"/>
            </w:tcMar>
          </w:tcPr>
          <w:p>
            <w:r>
              <w:rPr>
                <w:b w:val="false"/>
                <w:bCs w:val="false"/>
                <w:color w:val="333333"/>
              </w:rPr>
              <w:t xml:space="preserve">Manage the consent notice text, version, grievance contact and retention period in an admin-only “Consent Settings” page (Section 6).</w:t>
            </w:r>
          </w:p>
        </w:tc>
      </w:tr>
      <w:tr>
        <w:tc>
          <w:tcPr>
            <w:tcW w:type="dxa" w:w="900"/>
            <w:shd w:fill="FFFFFF" w:val="clear"/>
            <w:tcMar>
              <w:top w:type="dxa" w:w="54"/>
              <w:left w:type="dxa" w:w="110"/>
              <w:bottom w:type="dxa" w:w="54"/>
              <w:right w:type="dxa" w:w="110"/>
            </w:tcMar>
          </w:tcPr>
          <w:p>
            <w:r>
              <w:rPr>
                <w:b/>
                <w:bCs/>
                <w:color w:val="1F3864"/>
              </w:rPr>
              <w:t xml:space="preserve">FR-06</w:t>
            </w:r>
          </w:p>
        </w:tc>
        <w:tc>
          <w:tcPr>
            <w:tcW w:type="dxa" w:w="8460"/>
            <w:shd w:fill="FFFFFF" w:val="clear"/>
            <w:tcMar>
              <w:top w:type="dxa" w:w="54"/>
              <w:left w:type="dxa" w:w="110"/>
              <w:bottom w:type="dxa" w:w="54"/>
              <w:right w:type="dxa" w:w="110"/>
            </w:tcMar>
          </w:tcPr>
          <w:p>
            <w:r>
              <w:rPr>
                <w:b w:val="false"/>
                <w:bCs w:val="false"/>
                <w:color w:val="333333"/>
              </w:rPr>
              <w:t xml:space="preserve">Generate a unique, non-guessable withdrawal token per application at submission time.</w:t>
            </w:r>
          </w:p>
        </w:tc>
      </w:tr>
      <w:tr>
        <w:tc>
          <w:tcPr>
            <w:tcW w:type="dxa" w:w="900"/>
            <w:shd w:fill="F2F4F7" w:val="clear"/>
            <w:tcMar>
              <w:top w:type="dxa" w:w="54"/>
              <w:left w:type="dxa" w:w="110"/>
              <w:bottom w:type="dxa" w:w="54"/>
              <w:right w:type="dxa" w:w="110"/>
            </w:tcMar>
          </w:tcPr>
          <w:p>
            <w:r>
              <w:rPr>
                <w:b/>
                <w:bCs/>
                <w:color w:val="1F3864"/>
              </w:rPr>
              <w:t xml:space="preserve">FR-07</w:t>
            </w:r>
          </w:p>
        </w:tc>
        <w:tc>
          <w:tcPr>
            <w:tcW w:type="dxa" w:w="8460"/>
            <w:shd w:fill="F2F4F7" w:val="clear"/>
            <w:tcMar>
              <w:top w:type="dxa" w:w="54"/>
              <w:left w:type="dxa" w:w="110"/>
              <w:bottom w:type="dxa" w:w="54"/>
              <w:right w:type="dxa" w:w="110"/>
            </w:tcMar>
          </w:tcPr>
          <w:p>
            <w:r>
              <w:rPr>
                <w:b w:val="false"/>
                <w:bCs w:val="false"/>
                <w:color w:val="333333"/>
              </w:rPr>
              <w:t xml:space="preserve">Email the candidate an application acknowledgement containing the self-service withdrawal link (depends on email service — Section 9).</w:t>
            </w:r>
          </w:p>
        </w:tc>
      </w:tr>
      <w:tr>
        <w:tc>
          <w:tcPr>
            <w:tcW w:type="dxa" w:w="900"/>
            <w:shd w:fill="FFFFFF" w:val="clear"/>
            <w:tcMar>
              <w:top w:type="dxa" w:w="54"/>
              <w:left w:type="dxa" w:w="110"/>
              <w:bottom w:type="dxa" w:w="54"/>
              <w:right w:type="dxa" w:w="110"/>
            </w:tcMar>
          </w:tcPr>
          <w:p>
            <w:r>
              <w:rPr>
                <w:b/>
                <w:bCs/>
                <w:color w:val="1F3864"/>
              </w:rPr>
              <w:t xml:space="preserve">FR-08</w:t>
            </w:r>
          </w:p>
        </w:tc>
        <w:tc>
          <w:tcPr>
            <w:tcW w:type="dxa" w:w="8460"/>
            <w:shd w:fill="FFFFFF" w:val="clear"/>
            <w:tcMar>
              <w:top w:type="dxa" w:w="54"/>
              <w:left w:type="dxa" w:w="110"/>
              <w:bottom w:type="dxa" w:w="54"/>
              <w:right w:type="dxa" w:w="110"/>
            </w:tcMar>
          </w:tcPr>
          <w:p>
            <w:r>
              <w:rPr>
                <w:b w:val="false"/>
                <w:bCs w:val="false"/>
                <w:color w:val="333333"/>
              </w:rPr>
              <w:t xml:space="preserve">Provide a public withdrawal page (e.g. /careers/withdraw?token=…) that validates the token and confirms the action.</w:t>
            </w:r>
          </w:p>
        </w:tc>
      </w:tr>
      <w:tr>
        <w:tc>
          <w:tcPr>
            <w:tcW w:type="dxa" w:w="900"/>
            <w:shd w:fill="F2F4F7" w:val="clear"/>
            <w:tcMar>
              <w:top w:type="dxa" w:w="54"/>
              <w:left w:type="dxa" w:w="110"/>
              <w:bottom w:type="dxa" w:w="54"/>
              <w:right w:type="dxa" w:w="110"/>
            </w:tcMar>
          </w:tcPr>
          <w:p>
            <w:r>
              <w:rPr>
                <w:b/>
                <w:bCs/>
                <w:color w:val="1F3864"/>
              </w:rPr>
              <w:t xml:space="preserve">FR-09</w:t>
            </w:r>
          </w:p>
        </w:tc>
        <w:tc>
          <w:tcPr>
            <w:tcW w:type="dxa" w:w="8460"/>
            <w:shd w:fill="F2F4F7" w:val="clear"/>
            <w:tcMar>
              <w:top w:type="dxa" w:w="54"/>
              <w:left w:type="dxa" w:w="110"/>
              <w:bottom w:type="dxa" w:w="54"/>
              <w:right w:type="dxa" w:w="110"/>
            </w:tcMar>
          </w:tcPr>
          <w:p>
            <w:r>
              <w:rPr>
                <w:b w:val="false"/>
                <w:bCs w:val="false"/>
                <w:color w:val="333333"/>
              </w:rPr>
              <w:t xml:space="preserve">On confirmed withdrawal, set the application’s consent status to “withdrawn”, record the date/time, and exclude it from the active recruitment pipeline.</w:t>
            </w:r>
          </w:p>
        </w:tc>
      </w:tr>
      <w:tr>
        <w:tc>
          <w:tcPr>
            <w:tcW w:type="dxa" w:w="900"/>
            <w:shd w:fill="FFFFFF" w:val="clear"/>
            <w:tcMar>
              <w:top w:type="dxa" w:w="54"/>
              <w:left w:type="dxa" w:w="110"/>
              <w:bottom w:type="dxa" w:w="54"/>
              <w:right w:type="dxa" w:w="110"/>
            </w:tcMar>
          </w:tcPr>
          <w:p>
            <w:r>
              <w:rPr>
                <w:b/>
                <w:bCs/>
                <w:color w:val="1F3864"/>
              </w:rPr>
              <w:t xml:space="preserve">FR-10</w:t>
            </w:r>
          </w:p>
        </w:tc>
        <w:tc>
          <w:tcPr>
            <w:tcW w:type="dxa" w:w="8460"/>
            <w:shd w:fill="FFFFFF" w:val="clear"/>
            <w:tcMar>
              <w:top w:type="dxa" w:w="54"/>
              <w:left w:type="dxa" w:w="110"/>
              <w:bottom w:type="dxa" w:w="54"/>
              <w:right w:type="dxa" w:w="110"/>
            </w:tcMar>
          </w:tcPr>
          <w:p>
            <w:r>
              <w:rPr>
                <w:b w:val="false"/>
                <w:bCs w:val="false"/>
                <w:color w:val="333333"/>
              </w:rPr>
              <w:t xml:space="preserve">Record every consent and withdrawal event in an append-only audit trail.</w:t>
            </w:r>
          </w:p>
        </w:tc>
      </w:tr>
      <w:tr>
        <w:tc>
          <w:tcPr>
            <w:tcW w:type="dxa" w:w="900"/>
            <w:shd w:fill="F2F4F7" w:val="clear"/>
            <w:tcMar>
              <w:top w:type="dxa" w:w="54"/>
              <w:left w:type="dxa" w:w="110"/>
              <w:bottom w:type="dxa" w:w="54"/>
              <w:right w:type="dxa" w:w="110"/>
            </w:tcMar>
          </w:tcPr>
          <w:p>
            <w:r>
              <w:rPr>
                <w:b/>
                <w:bCs/>
                <w:color w:val="1F3864"/>
              </w:rPr>
              <w:t xml:space="preserve">FR-11</w:t>
            </w:r>
          </w:p>
        </w:tc>
        <w:tc>
          <w:tcPr>
            <w:tcW w:type="dxa" w:w="8460"/>
            <w:shd w:fill="F2F4F7" w:val="clear"/>
            <w:tcMar>
              <w:top w:type="dxa" w:w="54"/>
              <w:left w:type="dxa" w:w="110"/>
              <w:bottom w:type="dxa" w:w="54"/>
              <w:right w:type="dxa" w:w="110"/>
            </w:tcMar>
          </w:tcPr>
          <w:p>
            <w:r>
              <w:rPr>
                <w:b w:val="false"/>
                <w:bCs w:val="false"/>
                <w:color w:val="333333"/>
              </w:rPr>
              <w:t xml:space="preserve">Show consent status (and withdrawal date) to recruiters/administrators in the admin panel, with the ability to filter withdrawn applications.</w:t>
            </w:r>
          </w:p>
        </w:tc>
      </w:tr>
      <w:tr>
        <w:tc>
          <w:tcPr>
            <w:tcW w:type="dxa" w:w="900"/>
            <w:shd w:fill="FFFFFF" w:val="clear"/>
            <w:tcMar>
              <w:top w:type="dxa" w:w="54"/>
              <w:left w:type="dxa" w:w="110"/>
              <w:bottom w:type="dxa" w:w="54"/>
              <w:right w:type="dxa" w:w="110"/>
            </w:tcMar>
          </w:tcPr>
          <w:p>
            <w:r>
              <w:rPr>
                <w:b/>
                <w:bCs/>
                <w:color w:val="1F3864"/>
              </w:rPr>
              <w:t xml:space="preserve">FR-12</w:t>
            </w:r>
          </w:p>
        </w:tc>
        <w:tc>
          <w:tcPr>
            <w:tcW w:type="dxa" w:w="8460"/>
            <w:shd w:fill="FFFFFF" w:val="clear"/>
            <w:tcMar>
              <w:top w:type="dxa" w:w="54"/>
              <w:left w:type="dxa" w:w="110"/>
              <w:bottom w:type="dxa" w:w="54"/>
              <w:right w:type="dxa" w:w="110"/>
            </w:tcMar>
          </w:tcPr>
          <w:p>
            <w:r>
              <w:rPr>
                <w:b w:val="false"/>
                <w:bCs w:val="false"/>
                <w:color w:val="333333"/>
              </w:rPr>
              <w:t xml:space="preserve">Publish a candidate privacy notice and a grievance-officer contact, linked from the form.</w:t>
            </w:r>
          </w:p>
        </w:tc>
      </w:tr>
      <w:tr>
        <w:tc>
          <w:tcPr>
            <w:tcW w:type="dxa" w:w="900"/>
            <w:shd w:fill="F2F4F7" w:val="clear"/>
            <w:tcMar>
              <w:top w:type="dxa" w:w="54"/>
              <w:left w:type="dxa" w:w="110"/>
              <w:bottom w:type="dxa" w:w="54"/>
              <w:right w:type="dxa" w:w="110"/>
            </w:tcMar>
          </w:tcPr>
          <w:p>
            <w:r>
              <w:rPr>
                <w:b/>
                <w:bCs/>
                <w:color w:val="1F3864"/>
              </w:rPr>
              <w:t xml:space="preserve">FR-13</w:t>
            </w:r>
          </w:p>
        </w:tc>
        <w:tc>
          <w:tcPr>
            <w:tcW w:type="dxa" w:w="8460"/>
            <w:shd w:fill="F2F4F7" w:val="clear"/>
            <w:tcMar>
              <w:top w:type="dxa" w:w="54"/>
              <w:left w:type="dxa" w:w="110"/>
              <w:bottom w:type="dxa" w:w="54"/>
              <w:right w:type="dxa" w:w="110"/>
            </w:tcMar>
          </w:tcPr>
          <w:p>
            <w:r>
              <w:rPr>
                <w:b w:val="false"/>
                <w:bCs w:val="false"/>
                <w:color w:val="333333"/>
              </w:rPr>
              <w:t xml:space="preserve">Snapshot the exact consent notice text + version onto each Job Application at submission, so the agreed wording is immutable even if the notice is later edited (Safeguard 1).</w:t>
            </w:r>
          </w:p>
        </w:tc>
      </w:tr>
      <w:tr>
        <w:tc>
          <w:tcPr>
            <w:tcW w:type="dxa" w:w="900"/>
            <w:shd w:fill="FFFFFF" w:val="clear"/>
            <w:tcMar>
              <w:top w:type="dxa" w:w="54"/>
              <w:left w:type="dxa" w:w="110"/>
              <w:bottom w:type="dxa" w:w="54"/>
              <w:right w:type="dxa" w:w="110"/>
            </w:tcMar>
          </w:tcPr>
          <w:p>
            <w:r>
              <w:rPr>
                <w:b/>
                <w:bCs/>
                <w:color w:val="1F3864"/>
              </w:rPr>
              <w:t xml:space="preserve">FR-14</w:t>
            </w:r>
          </w:p>
        </w:tc>
        <w:tc>
          <w:tcPr>
            <w:tcW w:type="dxa" w:w="8460"/>
            <w:shd w:fill="FFFFFF" w:val="clear"/>
            <w:tcMar>
              <w:top w:type="dxa" w:w="54"/>
              <w:left w:type="dxa" w:w="110"/>
              <w:bottom w:type="dxa" w:w="54"/>
              <w:right w:type="dxa" w:w="110"/>
            </w:tcMar>
          </w:tcPr>
          <w:p>
            <w:r>
              <w:rPr>
                <w:b w:val="false"/>
                <w:bCs w:val="false"/>
                <w:color w:val="333333"/>
              </w:rPr>
              <w:t xml:space="preserve">Keep a full version history of the Consent Settings page so every change to the notice wording is retained and auditable (Safeguard 2).</w:t>
            </w:r>
          </w:p>
        </w:tc>
      </w:tr>
    </w:tbl>
    <w:p>
      <w:r>
        <w:br w:type="page"/>
      </w:r>
    </w:p>
    <w:p>
      <w:pPr>
        <w:pStyle w:val="Heading1"/>
        <w:spacing w:after="110" w:before="300"/>
      </w:pPr>
      <w:r>
        <w:rPr>
          <w:b/>
          <w:bCs/>
          <w:color w:val="1F3864"/>
        </w:rPr>
        <w:t xml:space="preserve">5. Data Model — Job Application Consent Fields</w:t>
      </w:r>
    </w:p>
    <w:p>
      <w:pPr>
        <w:pBdr>
          <w:bottom w:val="single" w:color="B08D57" w:sz="12"/>
        </w:pBdr>
        <w:spacing w:after="130" w:before="30"/>
      </w:pPr>
    </w:p>
    <w:p>
      <w:pPr>
        <w:spacing w:after="100"/>
      </w:pPr>
      <w:r>
        <w:rPr>
          <w:color w:val="333333"/>
        </w:rPr>
        <w:t xml:space="preserve">New fields to add to the Job Applications record (decision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1F3864" w:val="clear"/>
            <w:tcMar>
              <w:top w:type="dxa" w:w="60"/>
              <w:left w:type="dxa" w:w="110"/>
              <w:bottom w:type="dxa" w:w="60"/>
              <w:right w:type="dxa" w:w="110"/>
            </w:tcMar>
          </w:tcPr>
          <w:p>
            <w:r>
              <w:rPr>
                <w:b/>
                <w:bCs/>
                <w:color w:val="FFFFFF"/>
              </w:rPr>
              <w:t xml:space="preserve">Field</w:t>
            </w:r>
          </w:p>
        </w:tc>
        <w:tc>
          <w:tcPr>
            <w:tcW w:type="dxa" w:w="2200"/>
            <w:shd w:fill="1F3864" w:val="clear"/>
            <w:tcMar>
              <w:top w:type="dxa" w:w="60"/>
              <w:left w:type="dxa" w:w="110"/>
              <w:bottom w:type="dxa" w:w="60"/>
              <w:right w:type="dxa" w:w="110"/>
            </w:tcMar>
          </w:tcPr>
          <w:p>
            <w:r>
              <w:rPr>
                <w:b/>
                <w:bCs/>
                <w:color w:val="FFFFFF"/>
              </w:rPr>
              <w:t xml:space="preserve">Type</w:t>
            </w:r>
          </w:p>
        </w:tc>
        <w:tc>
          <w:tcPr>
            <w:tcW w:type="dxa" w:w="4960"/>
            <w:shd w:fill="1F3864" w:val="clear"/>
            <w:tcMar>
              <w:top w:type="dxa" w:w="60"/>
              <w:left w:type="dxa" w:w="110"/>
              <w:bottom w:type="dxa" w:w="60"/>
              <w:right w:type="dxa" w:w="110"/>
            </w:tcMar>
          </w:tcPr>
          <w:p>
            <w:r>
              <w:rPr>
                <w:b/>
                <w:bCs/>
                <w:color w:val="FFFFFF"/>
              </w:rPr>
              <w:t xml:space="preserve">Purpose</w:t>
            </w:r>
          </w:p>
        </w:tc>
      </w:tr>
      <w:tr>
        <w:tc>
          <w:tcPr>
            <w:tcW w:type="dxa" w:w="2200"/>
            <w:shd w:fill="F2F4F7" w:val="clear"/>
            <w:tcMar>
              <w:top w:type="dxa" w:w="54"/>
              <w:left w:type="dxa" w:w="110"/>
              <w:bottom w:type="dxa" w:w="54"/>
              <w:right w:type="dxa" w:w="110"/>
            </w:tcMar>
          </w:tcPr>
          <w:p>
            <w:r>
              <w:rPr>
                <w:b/>
                <w:bCs/>
                <w:color w:val="1F3864"/>
              </w:rPr>
              <w:t xml:space="preserve">consentGiven</w:t>
            </w:r>
          </w:p>
        </w:tc>
        <w:tc>
          <w:tcPr>
            <w:tcW w:type="dxa" w:w="2200"/>
            <w:shd w:fill="F2F4F7" w:val="clear"/>
            <w:tcMar>
              <w:top w:type="dxa" w:w="54"/>
              <w:left w:type="dxa" w:w="110"/>
              <w:bottom w:type="dxa" w:w="54"/>
              <w:right w:type="dxa" w:w="110"/>
            </w:tcMar>
          </w:tcPr>
          <w:p>
            <w:r>
              <w:rPr>
                <w:b w:val="false"/>
                <w:bCs w:val="false"/>
                <w:color w:val="333333"/>
              </w:rPr>
              <w:t xml:space="preserve">Checkbox (required)</w:t>
            </w:r>
          </w:p>
        </w:tc>
        <w:tc>
          <w:tcPr>
            <w:tcW w:type="dxa" w:w="4960"/>
            <w:shd w:fill="F2F4F7" w:val="clear"/>
            <w:tcMar>
              <w:top w:type="dxa" w:w="54"/>
              <w:left w:type="dxa" w:w="110"/>
              <w:bottom w:type="dxa" w:w="54"/>
              <w:right w:type="dxa" w:w="110"/>
            </w:tcMar>
          </w:tcPr>
          <w:p>
            <w:r>
              <w:rPr>
                <w:b w:val="false"/>
                <w:bCs w:val="false"/>
                <w:color w:val="333333"/>
              </w:rPr>
              <w:t xml:space="preserve">Whether the candidate gave DPDP consent (must be true to submit).</w:t>
            </w:r>
          </w:p>
        </w:tc>
      </w:tr>
      <w:tr>
        <w:tc>
          <w:tcPr>
            <w:tcW w:type="dxa" w:w="2200"/>
            <w:shd w:fill="FFFFFF" w:val="clear"/>
            <w:tcMar>
              <w:top w:type="dxa" w:w="54"/>
              <w:left w:type="dxa" w:w="110"/>
              <w:bottom w:type="dxa" w:w="54"/>
              <w:right w:type="dxa" w:w="110"/>
            </w:tcMar>
          </w:tcPr>
          <w:p>
            <w:r>
              <w:rPr>
                <w:b/>
                <w:bCs/>
                <w:color w:val="1F3864"/>
              </w:rPr>
              <w:t xml:space="preserve">consentAt</w:t>
            </w:r>
          </w:p>
        </w:tc>
        <w:tc>
          <w:tcPr>
            <w:tcW w:type="dxa" w:w="2200"/>
            <w:shd w:fill="FFFFFF" w:val="clear"/>
            <w:tcMar>
              <w:top w:type="dxa" w:w="54"/>
              <w:left w:type="dxa" w:w="110"/>
              <w:bottom w:type="dxa" w:w="54"/>
              <w:right w:type="dxa" w:w="110"/>
            </w:tcMar>
          </w:tcPr>
          <w:p>
            <w:r>
              <w:rPr>
                <w:b w:val="false"/>
                <w:bCs w:val="false"/>
                <w:color w:val="333333"/>
              </w:rPr>
              <w:t xml:space="preserve">Date/time</w:t>
            </w:r>
          </w:p>
        </w:tc>
        <w:tc>
          <w:tcPr>
            <w:tcW w:type="dxa" w:w="4960"/>
            <w:shd w:fill="FFFFFF" w:val="clear"/>
            <w:tcMar>
              <w:top w:type="dxa" w:w="54"/>
              <w:left w:type="dxa" w:w="110"/>
              <w:bottom w:type="dxa" w:w="54"/>
              <w:right w:type="dxa" w:w="110"/>
            </w:tcMar>
          </w:tcPr>
          <w:p>
            <w:r>
              <w:rPr>
                <w:b w:val="false"/>
                <w:bCs w:val="false"/>
                <w:color w:val="333333"/>
              </w:rPr>
              <w:t xml:space="preserve">When consent was captured.</w:t>
            </w:r>
          </w:p>
        </w:tc>
      </w:tr>
      <w:tr>
        <w:tc>
          <w:tcPr>
            <w:tcW w:type="dxa" w:w="2200"/>
            <w:shd w:fill="F2F4F7" w:val="clear"/>
            <w:tcMar>
              <w:top w:type="dxa" w:w="54"/>
              <w:left w:type="dxa" w:w="110"/>
              <w:bottom w:type="dxa" w:w="54"/>
              <w:right w:type="dxa" w:w="110"/>
            </w:tcMar>
          </w:tcPr>
          <w:p>
            <w:r>
              <w:rPr>
                <w:b/>
                <w:bCs/>
                <w:color w:val="1F3864"/>
              </w:rPr>
              <w:t xml:space="preserve">consentVersion</w:t>
            </w:r>
          </w:p>
        </w:tc>
        <w:tc>
          <w:tcPr>
            <w:tcW w:type="dxa" w:w="2200"/>
            <w:shd w:fill="F2F4F7" w:val="clear"/>
            <w:tcMar>
              <w:top w:type="dxa" w:w="54"/>
              <w:left w:type="dxa" w:w="110"/>
              <w:bottom w:type="dxa" w:w="54"/>
              <w:right w:type="dxa" w:w="110"/>
            </w:tcMar>
          </w:tcPr>
          <w:p>
            <w:r>
              <w:rPr>
                <w:b w:val="false"/>
                <w:bCs w:val="false"/>
                <w:color w:val="333333"/>
              </w:rPr>
              <w:t xml:space="preserve">Text</w:t>
            </w:r>
          </w:p>
        </w:tc>
        <w:tc>
          <w:tcPr>
            <w:tcW w:type="dxa" w:w="4960"/>
            <w:shd w:fill="F2F4F7" w:val="clear"/>
            <w:tcMar>
              <w:top w:type="dxa" w:w="54"/>
              <w:left w:type="dxa" w:w="110"/>
              <w:bottom w:type="dxa" w:w="54"/>
              <w:right w:type="dxa" w:w="110"/>
            </w:tcMar>
          </w:tcPr>
          <w:p>
            <w:r>
              <w:rPr>
                <w:b w:val="false"/>
                <w:bCs w:val="false"/>
                <w:color w:val="333333"/>
              </w:rPr>
              <w:t xml:space="preserve">Version identifier of the notice wording agreed to.</w:t>
            </w:r>
          </w:p>
        </w:tc>
      </w:tr>
      <w:tr>
        <w:tc>
          <w:tcPr>
            <w:tcW w:type="dxa" w:w="2200"/>
            <w:shd w:fill="FFFFFF" w:val="clear"/>
            <w:tcMar>
              <w:top w:type="dxa" w:w="54"/>
              <w:left w:type="dxa" w:w="110"/>
              <w:bottom w:type="dxa" w:w="54"/>
              <w:right w:type="dxa" w:w="110"/>
            </w:tcMar>
          </w:tcPr>
          <w:p>
            <w:r>
              <w:rPr>
                <w:b/>
                <w:bCs/>
                <w:color w:val="1F3864"/>
              </w:rPr>
              <w:t xml:space="preserve">consentTextSnapshot</w:t>
            </w:r>
          </w:p>
        </w:tc>
        <w:tc>
          <w:tcPr>
            <w:tcW w:type="dxa" w:w="2200"/>
            <w:shd w:fill="FFFFFF" w:val="clear"/>
            <w:tcMar>
              <w:top w:type="dxa" w:w="54"/>
              <w:left w:type="dxa" w:w="110"/>
              <w:bottom w:type="dxa" w:w="54"/>
              <w:right w:type="dxa" w:w="110"/>
            </w:tcMar>
          </w:tcPr>
          <w:p>
            <w:r>
              <w:rPr>
                <w:b w:val="false"/>
                <w:bCs w:val="false"/>
                <w:color w:val="333333"/>
              </w:rPr>
              <w:t xml:space="preserve">Long text</w:t>
            </w:r>
          </w:p>
        </w:tc>
        <w:tc>
          <w:tcPr>
            <w:tcW w:type="dxa" w:w="4960"/>
            <w:shd w:fill="FFFFFF" w:val="clear"/>
            <w:tcMar>
              <w:top w:type="dxa" w:w="54"/>
              <w:left w:type="dxa" w:w="110"/>
              <w:bottom w:type="dxa" w:w="54"/>
              <w:right w:type="dxa" w:w="110"/>
            </w:tcMar>
          </w:tcPr>
          <w:p>
            <w:r>
              <w:rPr>
                <w:b w:val="false"/>
                <w:bCs w:val="false"/>
                <w:color w:val="333333"/>
              </w:rPr>
              <w:t xml:space="preserve">Immutable copy of the exact notice the candidate agreed to (Safeguard 1).</w:t>
            </w:r>
          </w:p>
        </w:tc>
      </w:tr>
      <w:tr>
        <w:tc>
          <w:tcPr>
            <w:tcW w:type="dxa" w:w="2200"/>
            <w:shd w:fill="F2F4F7" w:val="clear"/>
            <w:tcMar>
              <w:top w:type="dxa" w:w="54"/>
              <w:left w:type="dxa" w:w="110"/>
              <w:bottom w:type="dxa" w:w="54"/>
              <w:right w:type="dxa" w:w="110"/>
            </w:tcMar>
          </w:tcPr>
          <w:p>
            <w:r>
              <w:rPr>
                <w:b/>
                <w:bCs/>
                <w:color w:val="1F3864"/>
              </w:rPr>
              <w:t xml:space="preserve">consentIp</w:t>
            </w:r>
          </w:p>
        </w:tc>
        <w:tc>
          <w:tcPr>
            <w:tcW w:type="dxa" w:w="2200"/>
            <w:shd w:fill="F2F4F7" w:val="clear"/>
            <w:tcMar>
              <w:top w:type="dxa" w:w="54"/>
              <w:left w:type="dxa" w:w="110"/>
              <w:bottom w:type="dxa" w:w="54"/>
              <w:right w:type="dxa" w:w="110"/>
            </w:tcMar>
          </w:tcPr>
          <w:p>
            <w:r>
              <w:rPr>
                <w:b w:val="false"/>
                <w:bCs w:val="false"/>
                <w:color w:val="333333"/>
              </w:rPr>
              <w:t xml:space="preserve">Text</w:t>
            </w:r>
          </w:p>
        </w:tc>
        <w:tc>
          <w:tcPr>
            <w:tcW w:type="dxa" w:w="4960"/>
            <w:shd w:fill="F2F4F7" w:val="clear"/>
            <w:tcMar>
              <w:top w:type="dxa" w:w="54"/>
              <w:left w:type="dxa" w:w="110"/>
              <w:bottom w:type="dxa" w:w="54"/>
              <w:right w:type="dxa" w:w="110"/>
            </w:tcMar>
          </w:tcPr>
          <w:p>
            <w:r>
              <w:rPr>
                <w:b w:val="false"/>
                <w:bCs w:val="false"/>
                <w:color w:val="333333"/>
              </w:rPr>
              <w:t xml:space="preserve">IP address at time of consent (proof).</w:t>
            </w:r>
          </w:p>
        </w:tc>
      </w:tr>
      <w:tr>
        <w:tc>
          <w:tcPr>
            <w:tcW w:type="dxa" w:w="2200"/>
            <w:shd w:fill="FFFFFF" w:val="clear"/>
            <w:tcMar>
              <w:top w:type="dxa" w:w="54"/>
              <w:left w:type="dxa" w:w="110"/>
              <w:bottom w:type="dxa" w:w="54"/>
              <w:right w:type="dxa" w:w="110"/>
            </w:tcMar>
          </w:tcPr>
          <w:p>
            <w:r>
              <w:rPr>
                <w:b/>
                <w:bCs/>
                <w:color w:val="1F3864"/>
              </w:rPr>
              <w:t xml:space="preserve">consentUserAgent</w:t>
            </w:r>
          </w:p>
        </w:tc>
        <w:tc>
          <w:tcPr>
            <w:tcW w:type="dxa" w:w="2200"/>
            <w:shd w:fill="FFFFFF" w:val="clear"/>
            <w:tcMar>
              <w:top w:type="dxa" w:w="54"/>
              <w:left w:type="dxa" w:w="110"/>
              <w:bottom w:type="dxa" w:w="54"/>
              <w:right w:type="dxa" w:w="110"/>
            </w:tcMar>
          </w:tcPr>
          <w:p>
            <w:r>
              <w:rPr>
                <w:b w:val="false"/>
                <w:bCs w:val="false"/>
                <w:color w:val="333333"/>
              </w:rPr>
              <w:t xml:space="preserve">Text</w:t>
            </w:r>
          </w:p>
        </w:tc>
        <w:tc>
          <w:tcPr>
            <w:tcW w:type="dxa" w:w="4960"/>
            <w:shd w:fill="FFFFFF" w:val="clear"/>
            <w:tcMar>
              <w:top w:type="dxa" w:w="54"/>
              <w:left w:type="dxa" w:w="110"/>
              <w:bottom w:type="dxa" w:w="54"/>
              <w:right w:type="dxa" w:w="110"/>
            </w:tcMar>
          </w:tcPr>
          <w:p>
            <w:r>
              <w:rPr>
                <w:b w:val="false"/>
                <w:bCs w:val="false"/>
                <w:color w:val="333333"/>
              </w:rPr>
              <w:t xml:space="preserve">Browser/user-agent at time of consent (proof).</w:t>
            </w:r>
          </w:p>
        </w:tc>
      </w:tr>
      <w:tr>
        <w:tc>
          <w:tcPr>
            <w:tcW w:type="dxa" w:w="2200"/>
            <w:shd w:fill="F2F4F7" w:val="clear"/>
            <w:tcMar>
              <w:top w:type="dxa" w:w="54"/>
              <w:left w:type="dxa" w:w="110"/>
              <w:bottom w:type="dxa" w:w="54"/>
              <w:right w:type="dxa" w:w="110"/>
            </w:tcMar>
          </w:tcPr>
          <w:p>
            <w:r>
              <w:rPr>
                <w:b/>
                <w:bCs/>
                <w:color w:val="1F3864"/>
              </w:rPr>
              <w:t xml:space="preserve">consentStatus</w:t>
            </w:r>
          </w:p>
        </w:tc>
        <w:tc>
          <w:tcPr>
            <w:tcW w:type="dxa" w:w="2200"/>
            <w:shd w:fill="F2F4F7" w:val="clear"/>
            <w:tcMar>
              <w:top w:type="dxa" w:w="54"/>
              <w:left w:type="dxa" w:w="110"/>
              <w:bottom w:type="dxa" w:w="54"/>
              <w:right w:type="dxa" w:w="110"/>
            </w:tcMar>
          </w:tcPr>
          <w:p>
            <w:r>
              <w:rPr>
                <w:b w:val="false"/>
                <w:bCs w:val="false"/>
                <w:color w:val="333333"/>
              </w:rPr>
              <w:t xml:space="preserve">Select</w:t>
            </w:r>
          </w:p>
        </w:tc>
        <w:tc>
          <w:tcPr>
            <w:tcW w:type="dxa" w:w="4960"/>
            <w:shd w:fill="F2F4F7" w:val="clear"/>
            <w:tcMar>
              <w:top w:type="dxa" w:w="54"/>
              <w:left w:type="dxa" w:w="110"/>
              <w:bottom w:type="dxa" w:w="54"/>
              <w:right w:type="dxa" w:w="110"/>
            </w:tcMar>
          </w:tcPr>
          <w:p>
            <w:r>
              <w:rPr>
                <w:b w:val="false"/>
                <w:bCs w:val="false"/>
                <w:color w:val="333333"/>
              </w:rPr>
              <w:t xml:space="preserve">active → withdrawn.</w:t>
            </w:r>
          </w:p>
        </w:tc>
      </w:tr>
      <w:tr>
        <w:tc>
          <w:tcPr>
            <w:tcW w:type="dxa" w:w="2200"/>
            <w:shd w:fill="FFFFFF" w:val="clear"/>
            <w:tcMar>
              <w:top w:type="dxa" w:w="54"/>
              <w:left w:type="dxa" w:w="110"/>
              <w:bottom w:type="dxa" w:w="54"/>
              <w:right w:type="dxa" w:w="110"/>
            </w:tcMar>
          </w:tcPr>
          <w:p>
            <w:r>
              <w:rPr>
                <w:b/>
                <w:bCs/>
                <w:color w:val="1F3864"/>
              </w:rPr>
              <w:t xml:space="preserve">withdrawalToken</w:t>
            </w:r>
          </w:p>
        </w:tc>
        <w:tc>
          <w:tcPr>
            <w:tcW w:type="dxa" w:w="2200"/>
            <w:shd w:fill="FFFFFF" w:val="clear"/>
            <w:tcMar>
              <w:top w:type="dxa" w:w="54"/>
              <w:left w:type="dxa" w:w="110"/>
              <w:bottom w:type="dxa" w:w="54"/>
              <w:right w:type="dxa" w:w="110"/>
            </w:tcMar>
          </w:tcPr>
          <w:p>
            <w:r>
              <w:rPr>
                <w:b w:val="false"/>
                <w:bCs w:val="false"/>
                <w:color w:val="333333"/>
              </w:rPr>
              <w:t xml:space="preserve">Text (indexed, hidden)</w:t>
            </w:r>
          </w:p>
        </w:tc>
        <w:tc>
          <w:tcPr>
            <w:tcW w:type="dxa" w:w="4960"/>
            <w:shd w:fill="FFFFFF" w:val="clear"/>
            <w:tcMar>
              <w:top w:type="dxa" w:w="54"/>
              <w:left w:type="dxa" w:w="110"/>
              <w:bottom w:type="dxa" w:w="54"/>
              <w:right w:type="dxa" w:w="110"/>
            </w:tcMar>
          </w:tcPr>
          <w:p>
            <w:r>
              <w:rPr>
                <w:b w:val="false"/>
                <w:bCs w:val="false"/>
                <w:color w:val="333333"/>
              </w:rPr>
              <w:t xml:space="preserve">Secret token for the self-service withdrawal link.</w:t>
            </w:r>
          </w:p>
        </w:tc>
      </w:tr>
      <w:tr>
        <w:tc>
          <w:tcPr>
            <w:tcW w:type="dxa" w:w="2200"/>
            <w:shd w:fill="F2F4F7" w:val="clear"/>
            <w:tcMar>
              <w:top w:type="dxa" w:w="54"/>
              <w:left w:type="dxa" w:w="110"/>
              <w:bottom w:type="dxa" w:w="54"/>
              <w:right w:type="dxa" w:w="110"/>
            </w:tcMar>
          </w:tcPr>
          <w:p>
            <w:r>
              <w:rPr>
                <w:b/>
                <w:bCs/>
                <w:color w:val="1F3864"/>
              </w:rPr>
              <w:t xml:space="preserve">withdrawnAt</w:t>
            </w:r>
          </w:p>
        </w:tc>
        <w:tc>
          <w:tcPr>
            <w:tcW w:type="dxa" w:w="2200"/>
            <w:shd w:fill="F2F4F7" w:val="clear"/>
            <w:tcMar>
              <w:top w:type="dxa" w:w="54"/>
              <w:left w:type="dxa" w:w="110"/>
              <w:bottom w:type="dxa" w:w="54"/>
              <w:right w:type="dxa" w:w="110"/>
            </w:tcMar>
          </w:tcPr>
          <w:p>
            <w:r>
              <w:rPr>
                <w:b w:val="false"/>
                <w:bCs w:val="false"/>
                <w:color w:val="333333"/>
              </w:rPr>
              <w:t xml:space="preserve">Date/time</w:t>
            </w:r>
          </w:p>
        </w:tc>
        <w:tc>
          <w:tcPr>
            <w:tcW w:type="dxa" w:w="4960"/>
            <w:shd w:fill="F2F4F7" w:val="clear"/>
            <w:tcMar>
              <w:top w:type="dxa" w:w="54"/>
              <w:left w:type="dxa" w:w="110"/>
              <w:bottom w:type="dxa" w:w="54"/>
              <w:right w:type="dxa" w:w="110"/>
            </w:tcMar>
          </w:tcPr>
          <w:p>
            <w:r>
              <w:rPr>
                <w:b w:val="false"/>
                <w:bCs w:val="false"/>
                <w:color w:val="333333"/>
              </w:rPr>
              <w:t xml:space="preserve">When consent was withdrawn (if applicable).</w:t>
            </w:r>
          </w:p>
        </w:tc>
      </w:tr>
    </w:tbl>
    <w:p>
      <w:pPr>
        <w:spacing w:after="100"/>
      </w:pPr>
      <w:r>
        <w:rPr>
          <w:i/>
          <w:iCs/>
          <w:color w:val="595959"/>
        </w:rPr>
        <w:t xml:space="preserve">The withdrawal token is stored for validation and is not shown in listings. Recruiter-only visibility applies to the whole application record, as today.</w:t>
      </w:r>
    </w:p>
    <w:p>
      <w:pPr>
        <w:pStyle w:val="Heading1"/>
        <w:spacing w:after="110" w:before="300"/>
      </w:pPr>
      <w:r>
        <w:rPr>
          <w:b/>
          <w:bCs/>
          <w:color w:val="1F3864"/>
        </w:rPr>
        <w:t xml:space="preserve">6. Consent Settings (Admin Configuration Page)</w:t>
      </w:r>
    </w:p>
    <w:p>
      <w:pPr>
        <w:pBdr>
          <w:bottom w:val="single" w:color="B08D57" w:sz="12"/>
        </w:pBdr>
        <w:spacing w:after="130" w:before="30"/>
      </w:pPr>
    </w:p>
    <w:p>
      <w:pPr>
        <w:spacing w:after="100"/>
      </w:pPr>
      <w:r>
        <w:rPr>
          <w:color w:val="333333"/>
        </w:rPr>
        <w:t xml:space="preserve">Consent-related details are managed by Team Eyrie through a dedicated, admin-only Consent Settings page in the CMS (a configuration “global”, like Site Settings). This lets the Data Fiduciary maintain the notice and compliance details without developer involvement, and satisfies the versioning, grievance and retention requirements.</w:t>
      </w:r>
    </w:p>
    <w:p>
      <w:pPr>
        <w:pStyle w:val="Heading2"/>
        <w:spacing w:after="80" w:before="210"/>
      </w:pPr>
      <w:r>
        <w:rPr>
          <w:b/>
          <w:bCs/>
          <w:color w:val="1F3864"/>
        </w:rPr>
        <w:t xml:space="preserve">6.1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10"/>
              <w:bottom w:type="dxa" w:w="60"/>
              <w:right w:type="dxa" w:w="110"/>
            </w:tcMar>
          </w:tcPr>
          <w:p>
            <w:r>
              <w:rPr>
                <w:b/>
                <w:bCs/>
                <w:color w:val="FFFFFF"/>
              </w:rPr>
              <w:t xml:space="preserve">Field</w:t>
            </w:r>
          </w:p>
        </w:tc>
        <w:tc>
          <w:tcPr>
            <w:tcW w:type="dxa" w:w="6760"/>
            <w:shd w:fill="1F3864" w:val="clear"/>
            <w:tcMar>
              <w:top w:type="dxa" w:w="60"/>
              <w:left w:type="dxa" w:w="110"/>
              <w:bottom w:type="dxa" w:w="60"/>
              <w:right w:type="dxa" w:w="110"/>
            </w:tcMar>
          </w:tcPr>
          <w:p>
            <w:r>
              <w:rPr>
                <w:b/>
                <w:bCs/>
                <w:color w:val="FFFFFF"/>
              </w:rPr>
              <w:t xml:space="preserve">Purpose</w:t>
            </w:r>
          </w:p>
        </w:tc>
      </w:tr>
      <w:tr>
        <w:tc>
          <w:tcPr>
            <w:tcW w:type="dxa" w:w="2600"/>
            <w:shd w:fill="F2F4F7" w:val="clear"/>
            <w:tcMar>
              <w:top w:type="dxa" w:w="54"/>
              <w:left w:type="dxa" w:w="110"/>
              <w:bottom w:type="dxa" w:w="54"/>
              <w:right w:type="dxa" w:w="110"/>
            </w:tcMar>
          </w:tcPr>
          <w:p>
            <w:r>
              <w:rPr>
                <w:b/>
                <w:bCs/>
                <w:color w:val="1F3864"/>
              </w:rPr>
              <w:t xml:space="preserve">Grievance officer</w:t>
            </w:r>
          </w:p>
        </w:tc>
        <w:tc>
          <w:tcPr>
            <w:tcW w:type="dxa" w:w="6760"/>
            <w:shd w:fill="F2F4F7" w:val="clear"/>
            <w:tcMar>
              <w:top w:type="dxa" w:w="54"/>
              <w:left w:type="dxa" w:w="110"/>
              <w:bottom w:type="dxa" w:w="54"/>
              <w:right w:type="dxa" w:w="110"/>
            </w:tcMar>
          </w:tcPr>
          <w:p>
            <w:r>
              <w:rPr>
                <w:b w:val="false"/>
                <w:bCs w:val="false"/>
                <w:color w:val="333333"/>
              </w:rPr>
              <w:t xml:space="preserve">Name, email and phone of the officer handling data requests.</w:t>
            </w:r>
          </w:p>
        </w:tc>
      </w:tr>
      <w:tr>
        <w:tc>
          <w:tcPr>
            <w:tcW w:type="dxa" w:w="2600"/>
            <w:shd w:fill="FFFFFF" w:val="clear"/>
            <w:tcMar>
              <w:top w:type="dxa" w:w="54"/>
              <w:left w:type="dxa" w:w="110"/>
              <w:bottom w:type="dxa" w:w="54"/>
              <w:right w:type="dxa" w:w="110"/>
            </w:tcMar>
          </w:tcPr>
          <w:p>
            <w:r>
              <w:rPr>
                <w:b/>
                <w:bCs/>
                <w:color w:val="1F3864"/>
              </w:rPr>
              <w:t xml:space="preserve">Data retention period</w:t>
            </w:r>
          </w:p>
        </w:tc>
        <w:tc>
          <w:tcPr>
            <w:tcW w:type="dxa" w:w="6760"/>
            <w:shd w:fill="FFFFFF" w:val="clear"/>
            <w:tcMar>
              <w:top w:type="dxa" w:w="54"/>
              <w:left w:type="dxa" w:w="110"/>
              <w:bottom w:type="dxa" w:w="54"/>
              <w:right w:type="dxa" w:w="110"/>
            </w:tcMar>
          </w:tcPr>
          <w:p>
            <w:r>
              <w:rPr>
                <w:b w:val="false"/>
                <w:bCs w:val="false"/>
                <w:color w:val="333333"/>
              </w:rPr>
              <w:t xml:space="preserve">How long application data is kept (e.g. months).</w:t>
            </w:r>
          </w:p>
        </w:tc>
      </w:tr>
      <w:tr>
        <w:tc>
          <w:tcPr>
            <w:tcW w:type="dxa" w:w="2600"/>
            <w:shd w:fill="F2F4F7" w:val="clear"/>
            <w:tcMar>
              <w:top w:type="dxa" w:w="54"/>
              <w:left w:type="dxa" w:w="110"/>
              <w:bottom w:type="dxa" w:w="54"/>
              <w:right w:type="dxa" w:w="110"/>
            </w:tcMar>
          </w:tcPr>
          <w:p>
            <w:r>
              <w:rPr>
                <w:b/>
                <w:bCs/>
                <w:color w:val="1F3864"/>
              </w:rPr>
              <w:t xml:space="preserve">Consent notice version</w:t>
            </w:r>
          </w:p>
        </w:tc>
        <w:tc>
          <w:tcPr>
            <w:tcW w:type="dxa" w:w="6760"/>
            <w:shd w:fill="F2F4F7" w:val="clear"/>
            <w:tcMar>
              <w:top w:type="dxa" w:w="54"/>
              <w:left w:type="dxa" w:w="110"/>
              <w:bottom w:type="dxa" w:w="54"/>
              <w:right w:type="dxa" w:w="110"/>
            </w:tcMar>
          </w:tcPr>
          <w:p>
            <w:r>
              <w:rPr>
                <w:b w:val="false"/>
                <w:bCs w:val="false"/>
                <w:color w:val="333333"/>
              </w:rPr>
              <w:t xml:space="preserve">Identifier for the current wording.</w:t>
            </w:r>
          </w:p>
        </w:tc>
      </w:tr>
      <w:tr>
        <w:tc>
          <w:tcPr>
            <w:tcW w:type="dxa" w:w="2600"/>
            <w:shd w:fill="FFFFFF" w:val="clear"/>
            <w:tcMar>
              <w:top w:type="dxa" w:w="54"/>
              <w:left w:type="dxa" w:w="110"/>
              <w:bottom w:type="dxa" w:w="54"/>
              <w:right w:type="dxa" w:w="110"/>
            </w:tcMar>
          </w:tcPr>
          <w:p>
            <w:r>
              <w:rPr>
                <w:b/>
                <w:bCs/>
                <w:color w:val="1F3864"/>
              </w:rPr>
              <w:t xml:space="preserve">Consent checkbox label</w:t>
            </w:r>
          </w:p>
        </w:tc>
        <w:tc>
          <w:tcPr>
            <w:tcW w:type="dxa" w:w="6760"/>
            <w:shd w:fill="FFFFFF" w:val="clear"/>
            <w:tcMar>
              <w:top w:type="dxa" w:w="54"/>
              <w:left w:type="dxa" w:w="110"/>
              <w:bottom w:type="dxa" w:w="54"/>
              <w:right w:type="dxa" w:w="110"/>
            </w:tcMar>
          </w:tcPr>
          <w:p>
            <w:r>
              <w:rPr>
                <w:b w:val="false"/>
                <w:bCs w:val="false"/>
                <w:color w:val="333333"/>
              </w:rPr>
              <w:t xml:space="preserve">The itemised consent text shown beside the checkbox.</w:t>
            </w:r>
          </w:p>
        </w:tc>
      </w:tr>
      <w:tr>
        <w:tc>
          <w:tcPr>
            <w:tcW w:type="dxa" w:w="2600"/>
            <w:shd w:fill="F2F4F7" w:val="clear"/>
            <w:tcMar>
              <w:top w:type="dxa" w:w="54"/>
              <w:left w:type="dxa" w:w="110"/>
              <w:bottom w:type="dxa" w:w="54"/>
              <w:right w:type="dxa" w:w="110"/>
            </w:tcMar>
          </w:tcPr>
          <w:p>
            <w:r>
              <w:rPr>
                <w:b/>
                <w:bCs/>
                <w:color w:val="1F3864"/>
              </w:rPr>
              <w:t xml:space="preserve">Reassurance line</w:t>
            </w:r>
          </w:p>
        </w:tc>
        <w:tc>
          <w:tcPr>
            <w:tcW w:type="dxa" w:w="6760"/>
            <w:shd w:fill="F2F4F7" w:val="clear"/>
            <w:tcMar>
              <w:top w:type="dxa" w:w="54"/>
              <w:left w:type="dxa" w:w="110"/>
              <w:bottom w:type="dxa" w:w="54"/>
              <w:right w:type="dxa" w:w="110"/>
            </w:tcMar>
          </w:tcPr>
          <w:p>
            <w:r>
              <w:rPr>
                <w:b w:val="false"/>
                <w:bCs w:val="false"/>
                <w:color w:val="333333"/>
              </w:rPr>
              <w:t xml:space="preserve">The short security/privacy note below the checkbox.</w:t>
            </w:r>
          </w:p>
        </w:tc>
      </w:tr>
      <w:tr>
        <w:tc>
          <w:tcPr>
            <w:tcW w:type="dxa" w:w="2600"/>
            <w:shd w:fill="FFFFFF" w:val="clear"/>
            <w:tcMar>
              <w:top w:type="dxa" w:w="54"/>
              <w:left w:type="dxa" w:w="110"/>
              <w:bottom w:type="dxa" w:w="54"/>
              <w:right w:type="dxa" w:w="110"/>
            </w:tcMar>
          </w:tcPr>
          <w:p>
            <w:r>
              <w:rPr>
                <w:b/>
                <w:bCs/>
                <w:color w:val="1F3864"/>
              </w:rPr>
              <w:t xml:space="preserve">Withdrawal email template</w:t>
            </w:r>
          </w:p>
        </w:tc>
        <w:tc>
          <w:tcPr>
            <w:tcW w:type="dxa" w:w="6760"/>
            <w:shd w:fill="FFFFFF" w:val="clear"/>
            <w:tcMar>
              <w:top w:type="dxa" w:w="54"/>
              <w:left w:type="dxa" w:w="110"/>
              <w:bottom w:type="dxa" w:w="54"/>
              <w:right w:type="dxa" w:w="110"/>
            </w:tcMar>
          </w:tcPr>
          <w:p>
            <w:r>
              <w:rPr>
                <w:b w:val="false"/>
                <w:bCs w:val="false"/>
                <w:color w:val="333333"/>
              </w:rPr>
              <w:t xml:space="preserve">Subject and body of the acknowledgement / withdrawal-link email.</w:t>
            </w:r>
          </w:p>
        </w:tc>
      </w:tr>
      <w:tr>
        <w:tc>
          <w:tcPr>
            <w:tcW w:type="dxa" w:w="2600"/>
            <w:shd w:fill="F2F4F7" w:val="clear"/>
            <w:tcMar>
              <w:top w:type="dxa" w:w="54"/>
              <w:left w:type="dxa" w:w="110"/>
              <w:bottom w:type="dxa" w:w="54"/>
              <w:right w:type="dxa" w:w="110"/>
            </w:tcMar>
          </w:tcPr>
          <w:p>
            <w:r>
              <w:rPr>
                <w:b/>
                <w:bCs/>
                <w:color w:val="1F3864"/>
              </w:rPr>
              <w:t xml:space="preserve">Privacy notice</w:t>
            </w:r>
          </w:p>
        </w:tc>
        <w:tc>
          <w:tcPr>
            <w:tcW w:type="dxa" w:w="6760"/>
            <w:shd w:fill="F2F4F7" w:val="clear"/>
            <w:tcMar>
              <w:top w:type="dxa" w:w="54"/>
              <w:left w:type="dxa" w:w="110"/>
              <w:bottom w:type="dxa" w:w="54"/>
              <w:right w:type="dxa" w:w="110"/>
            </w:tcMar>
          </w:tcPr>
          <w:p>
            <w:r>
              <w:rPr>
                <w:b w:val="false"/>
                <w:bCs w:val="false"/>
                <w:color w:val="333333"/>
              </w:rPr>
              <w:t xml:space="preserve">Candidate privacy-notice content or link.</w:t>
            </w:r>
          </w:p>
        </w:tc>
      </w:tr>
    </w:tbl>
    <w:p>
      <w:pPr>
        <w:pStyle w:val="Heading2"/>
        <w:spacing w:after="80" w:before="210"/>
      </w:pPr>
      <w:r>
        <w:rPr>
          <w:b/>
          <w:bCs/>
          <w:color w:val="1F3864"/>
        </w:rPr>
        <w:t xml:space="preserve">6.2 Access</w:t>
      </w:r>
    </w:p>
    <w:p>
      <w:pPr>
        <w:pStyle w:val="ListParagraph"/>
        <w:numPr>
          <w:ilvl w:val="0"/>
          <w:numId w:val="2"/>
        </w:numPr>
        <w:spacing w:after="44"/>
      </w:pPr>
      <w:r>
        <w:rPr>
          <w:color w:val="333333"/>
        </w:rPr>
        <w:t xml:space="preserve">Read: available to the public application form so the current notice can be displayed.</w:t>
      </w:r>
    </w:p>
    <w:p>
      <w:pPr>
        <w:pStyle w:val="ListParagraph"/>
        <w:numPr>
          <w:ilvl w:val="0"/>
          <w:numId w:val="2"/>
        </w:numPr>
        <w:spacing w:after="44"/>
      </w:pPr>
      <w:r>
        <w:rPr>
          <w:color w:val="333333"/>
        </w:rPr>
        <w:t xml:space="preserve">Update: administrators only — this is compliance-critical content.</w:t>
      </w:r>
    </w:p>
    <w:p>
      <w:pPr>
        <w:pStyle w:val="Heading2"/>
        <w:spacing w:after="80" w:before="210"/>
      </w:pPr>
      <w:r>
        <w:rPr>
          <w:b/>
          <w:bCs/>
          <w:color w:val="1F3864"/>
        </w:rPr>
        <w:t xml:space="preserve">6.3 Safeguards</w:t>
      </w:r>
    </w:p>
    <w:p>
      <w:pPr>
        <w:spacing w:after="100"/>
      </w:pPr>
      <w:r>
        <w:rPr>
          <w:color w:val="333333"/>
        </w:rPr>
        <w:t xml:space="preserve">Because the notice is editable, two safeguards ensure it still provides valid proof of consent:</w:t>
      </w:r>
    </w:p>
    <w:p>
      <w:pPr>
        <w:pStyle w:val="ListParagraph"/>
        <w:numPr>
          <w:ilvl w:val="0"/>
          <w:numId w:val="2"/>
        </w:numPr>
        <w:spacing w:after="44"/>
      </w:pPr>
      <w:r>
        <w:rPr>
          <w:color w:val="333333"/>
        </w:rPr>
        <w:t xml:space="preserve">Safeguard 1 — Snapshot on submission: the exact notice text and version are copied onto each Job Application when consent is given (field consentTextSnapshot). The wording a candidate agreed to is therefore immutable, even if the notice is edited afterwards.</w:t>
      </w:r>
    </w:p>
    <w:p>
      <w:pPr>
        <w:pStyle w:val="ListParagraph"/>
        <w:numPr>
          <w:ilvl w:val="0"/>
          <w:numId w:val="2"/>
        </w:numPr>
        <w:spacing w:after="44"/>
      </w:pPr>
      <w:r>
        <w:rPr>
          <w:color w:val="333333"/>
        </w:rPr>
        <w:t xml:space="preserve">Safeguard 2 — Version history: the Consent Settings page keeps a full version history (built-in CMS versioning), so every change to the wording is retained and auditable.</w:t>
      </w:r>
    </w:p>
    <w:p>
      <w:pPr>
        <w:spacing w:after="100"/>
      </w:pPr>
      <w:r>
        <w:rPr>
          <w:i/>
          <w:iCs/>
          <w:color w:val="595959"/>
        </w:rPr>
        <w:t xml:space="preserve">Caution: edit access is limited to administrators and the notice field is labelled as legally significant. The per-application snapshot (Safeguard 1) guarantees that historical consents remain provable regardless of later edits.</w:t>
      </w:r>
    </w:p>
    <w:p>
      <w:pPr>
        <w:pStyle w:val="Heading1"/>
        <w:spacing w:after="110" w:before="300"/>
      </w:pPr>
      <w:r>
        <w:rPr>
          <w:b/>
          <w:bCs/>
          <w:color w:val="1F3864"/>
        </w:rPr>
        <w:t xml:space="preserve">7. Consent Notice — Draft (for Team Eyrie review)</w:t>
      </w:r>
    </w:p>
    <w:p>
      <w:pPr>
        <w:pBdr>
          <w:bottom w:val="single" w:color="B08D57" w:sz="12"/>
        </w:pBdr>
        <w:spacing w:after="130" w:before="30"/>
      </w:pPr>
    </w:p>
    <w:p>
      <w:pPr>
        <w:spacing w:after="100"/>
      </w:pPr>
      <w:r>
        <w:rPr>
          <w:color w:val="333333"/>
        </w:rPr>
        <w:t xml:space="preserve">This is the initial value for the Consent Settings notice (Section 6); Team Eyrie can edit it thereafter.</w:t>
      </w:r>
    </w:p>
    <w:p>
      <w:pPr>
        <w:spacing w:after="100"/>
      </w:pPr>
      <w:r>
        <w:rPr>
          <w:color w:val="333333"/>
        </w:rPr>
        <w:t xml:space="preserve">Checkbox label text:</w:t>
      </w:r>
    </w:p>
    <w:p>
      <w:pPr>
        <w:pBdr>
          <w:left w:val="single" w:color="B08D57" w:sz="18" w:space="10"/>
        </w:pBdr>
        <w:shd w:fill="F2F4F7" w:val="clear"/>
        <w:spacing w:after="120" w:before="80"/>
      </w:pPr>
      <w:r>
        <w:rPr>
          <w:i/>
          <w:iCs/>
          <w:color w:val="333333"/>
        </w:rPr>
        <w:t xml:space="preserve">DPDP Consent: I explicitly consent to Team Eyrie storing and processing my personal data — including my name, email address, phone number and uploaded résumé — in its secure candidate database for the purpose of evaluating my job application, under the Digital Personal Data Protection (DPDP) Act, 2023. I understand that I may withdraw this consent and request deletion of my data at any time using the link in my application acknowledgement email, or by contacting Team Eyrie’s Grievance Officer at [grievance@teameyrie.in]. I understand that withdrawing consent will mean my application is no longer considered.</w:t>
      </w:r>
    </w:p>
    <w:p>
      <w:pPr>
        <w:spacing w:after="100"/>
      </w:pPr>
      <w:r>
        <w:rPr>
          <w:color w:val="333333"/>
        </w:rPr>
        <w:t xml:space="preserve">Supporting reassurance line (below the checkbox):</w:t>
      </w:r>
    </w:p>
    <w:p>
      <w:pPr>
        <w:pBdr>
          <w:left w:val="single" w:color="B08D57" w:sz="18" w:space="10"/>
        </w:pBdr>
        <w:shd w:fill="F2F4F7" w:val="clear"/>
        <w:spacing w:after="120" w:before="80"/>
      </w:pPr>
      <w:r>
        <w:rPr>
          <w:i/>
          <w:iCs/>
          <w:color w:val="333333"/>
        </w:rPr>
        <w:t xml:space="preserve">Your application details are transmitted over a secure, encrypted (HTTPS/TLS) connection and are not shared with third parties for marketing.</w:t>
      </w:r>
    </w:p>
    <w:p>
      <w:pPr>
        <w:spacing w:after="100"/>
      </w:pPr>
      <w:r>
        <w:rPr>
          <w:i/>
          <w:iCs/>
          <w:color w:val="595959"/>
        </w:rPr>
        <w:t xml:space="preserve">Notes for review: (a) confirm the grievance-officer email/contact; (b) confirm the data-retention period to state in the privacy notice; (c) the reassurance line intentionally avoids claiming “encrypted at rest” unless/until résumé storage provides it.</w:t>
      </w:r>
    </w:p>
    <w:p>
      <w:pPr>
        <w:pStyle w:val="Heading1"/>
        <w:spacing w:after="110" w:before="300"/>
      </w:pPr>
      <w:r>
        <w:rPr>
          <w:b/>
          <w:bCs/>
          <w:color w:val="1F3864"/>
        </w:rPr>
        <w:t xml:space="preserve">8. Withdrawal Flow</w:t>
      </w:r>
    </w:p>
    <w:p>
      <w:pPr>
        <w:pBdr>
          <w:bottom w:val="single" w:color="B08D57" w:sz="12"/>
        </w:pBdr>
        <w:spacing w:after="130" w:before="30"/>
      </w:pPr>
    </w:p>
    <w:p>
      <w:pPr>
        <w:pStyle w:val="ListParagraph"/>
        <w:numPr>
          <w:ilvl w:val="0"/>
          <w:numId w:val="3"/>
        </w:numPr>
        <w:spacing w:after="44"/>
      </w:pPr>
      <w:r>
        <w:rPr>
          <w:color w:val="333333"/>
        </w:rPr>
        <w:t xml:space="preserve">Candidate submits an application with consent ticked; the system stores the consent proof and a unique withdrawal token.</w:t>
      </w:r>
    </w:p>
    <w:p>
      <w:pPr>
        <w:pStyle w:val="ListParagraph"/>
        <w:numPr>
          <w:ilvl w:val="0"/>
          <w:numId w:val="3"/>
        </w:numPr>
        <w:spacing w:after="44"/>
      </w:pPr>
      <w:r>
        <w:rPr>
          <w:color w:val="333333"/>
        </w:rPr>
        <w:t xml:space="preserve">The candidate receives an acknowledgement email containing a personal withdrawal link (…/careers/withdraw?token=…).</w:t>
      </w:r>
    </w:p>
    <w:p>
      <w:pPr>
        <w:pStyle w:val="ListParagraph"/>
        <w:numPr>
          <w:ilvl w:val="0"/>
          <w:numId w:val="3"/>
        </w:numPr>
        <w:spacing w:after="44"/>
      </w:pPr>
      <w:r>
        <w:rPr>
          <w:color w:val="333333"/>
        </w:rPr>
        <w:t xml:space="preserve">The candidate opens the link at any later time; the page validates the token and asks them to confirm withdrawal.</w:t>
      </w:r>
    </w:p>
    <w:p>
      <w:pPr>
        <w:pStyle w:val="ListParagraph"/>
        <w:numPr>
          <w:ilvl w:val="0"/>
          <w:numId w:val="3"/>
        </w:numPr>
        <w:spacing w:after="44"/>
      </w:pPr>
      <w:r>
        <w:rPr>
          <w:color w:val="333333"/>
        </w:rPr>
        <w:t xml:space="preserve">On confirmation, the application’s consent status becomes “withdrawn”, the withdrawal date/time is recorded, and the application is removed from the active pipeline.</w:t>
      </w:r>
    </w:p>
    <w:p>
      <w:pPr>
        <w:pStyle w:val="ListParagraph"/>
        <w:numPr>
          <w:ilvl w:val="0"/>
          <w:numId w:val="3"/>
        </w:numPr>
        <w:spacing w:after="44"/>
      </w:pPr>
      <w:r>
        <w:rPr>
          <w:color w:val="333333"/>
        </w:rPr>
        <w:t xml:space="preserve">The event is written to the audit trail; recruiters see the withdrawn status in the admin.</w:t>
      </w:r>
    </w:p>
    <w:p>
      <w:pPr>
        <w:spacing w:after="100"/>
      </w:pPr>
      <w:r>
        <w:rPr>
          <w:i/>
          <w:iCs/>
          <w:color w:val="595959"/>
        </w:rPr>
        <w:t xml:space="preserve">Because the withdrawal link is unique and emailed to the candidate’s own address, possession of the link serves as identity verification. Tokens should be single-purpose and revocable.</w:t>
      </w:r>
    </w:p>
    <w:p>
      <w:pPr>
        <w:pStyle w:val="Heading1"/>
        <w:spacing w:after="110" w:before="300"/>
      </w:pPr>
      <w:r>
        <w:rPr>
          <w:b/>
          <w:bCs/>
          <w:color w:val="1F3864"/>
        </w:rPr>
        <w:t xml:space="preserve">9. Non-Functional Requirements</w:t>
      </w:r>
    </w:p>
    <w:p>
      <w:pPr>
        <w:pBdr>
          <w:bottom w:val="single" w:color="B08D57" w:sz="12"/>
        </w:pBdr>
        <w:spacing w:after="130" w:before="30"/>
      </w:pPr>
    </w:p>
    <w:p>
      <w:pPr>
        <w:pStyle w:val="ListParagraph"/>
        <w:numPr>
          <w:ilvl w:val="0"/>
          <w:numId w:val="2"/>
        </w:numPr>
        <w:spacing w:after="44"/>
      </w:pPr>
      <w:r>
        <w:rPr>
          <w:color w:val="333333"/>
        </w:rPr>
        <w:t xml:space="preserve">Security: withdrawal tokens must be cryptographically random and unguessable; the withdrawal endpoint must be rate-limited.</w:t>
      </w:r>
    </w:p>
    <w:p>
      <w:pPr>
        <w:pStyle w:val="ListParagraph"/>
        <w:numPr>
          <w:ilvl w:val="0"/>
          <w:numId w:val="2"/>
        </w:numPr>
        <w:spacing w:after="44"/>
      </w:pPr>
      <w:r>
        <w:rPr>
          <w:color w:val="333333"/>
        </w:rPr>
        <w:t xml:space="preserve">Server-side enforcement: consent and token checks must occur on the server, never trusting the client alone.</w:t>
      </w:r>
    </w:p>
    <w:p>
      <w:pPr>
        <w:pStyle w:val="ListParagraph"/>
        <w:numPr>
          <w:ilvl w:val="0"/>
          <w:numId w:val="2"/>
        </w:numPr>
        <w:spacing w:after="44"/>
      </w:pPr>
      <w:r>
        <w:rPr>
          <w:color w:val="333333"/>
        </w:rPr>
        <w:t xml:space="preserve">Data minimisation: capture only the fields needed for the stated purpose.</w:t>
      </w:r>
    </w:p>
    <w:p>
      <w:pPr>
        <w:pStyle w:val="ListParagraph"/>
        <w:numPr>
          <w:ilvl w:val="0"/>
          <w:numId w:val="2"/>
        </w:numPr>
        <w:spacing w:after="44"/>
      </w:pPr>
      <w:r>
        <w:rPr>
          <w:color w:val="333333"/>
        </w:rPr>
        <w:t xml:space="preserve">Accuracy: on-screen privacy claims must match the actual implementation.</w:t>
      </w:r>
    </w:p>
    <w:p>
      <w:pPr>
        <w:pStyle w:val="ListParagraph"/>
        <w:numPr>
          <w:ilvl w:val="0"/>
          <w:numId w:val="2"/>
        </w:numPr>
        <w:spacing w:after="44"/>
      </w:pPr>
      <w:r>
        <w:rPr>
          <w:color w:val="333333"/>
        </w:rPr>
        <w:t xml:space="preserve">Accessibility: the consent control must be keyboard-accessible and clearly labelled.</w:t>
      </w:r>
    </w:p>
    <w:p>
      <w:pPr>
        <w:pStyle w:val="Heading1"/>
        <w:spacing w:after="110" w:before="300"/>
      </w:pPr>
      <w:r>
        <w:rPr>
          <w:b/>
          <w:bCs/>
          <w:color w:val="1F3864"/>
        </w:rPr>
        <w:t xml:space="preserve">10. Assumptions &amp; Dependencies</w:t>
      </w:r>
    </w:p>
    <w:p>
      <w:pPr>
        <w:pBdr>
          <w:bottom w:val="single" w:color="B08D57" w:sz="12"/>
        </w:pBdr>
        <w:spacing w:after="130" w:before="30"/>
      </w:pPr>
    </w:p>
    <w:p>
      <w:pPr>
        <w:pStyle w:val="ListParagraph"/>
        <w:numPr>
          <w:ilvl w:val="0"/>
          <w:numId w:val="2"/>
        </w:numPr>
        <w:spacing w:after="44"/>
      </w:pPr>
      <w:r>
        <w:rPr>
          <w:color w:val="333333"/>
        </w:rPr>
        <w:t xml:space="preserve">Email service: an email adapter must be configured to send the acknowledgement + withdrawal link. This is a prerequisite for FR-07 and is not yet wired in the current build.</w:t>
      </w:r>
    </w:p>
    <w:p>
      <w:pPr>
        <w:pStyle w:val="ListParagraph"/>
        <w:numPr>
          <w:ilvl w:val="0"/>
          <w:numId w:val="2"/>
        </w:numPr>
        <w:spacing w:after="44"/>
      </w:pPr>
      <w:r>
        <w:rPr>
          <w:color w:val="333333"/>
        </w:rPr>
        <w:t xml:space="preserve">Team Eyrie to provide: grievance-officer contact, data-retention period, and final approval of the notice wording.</w:t>
      </w:r>
    </w:p>
    <w:p>
      <w:pPr>
        <w:pStyle w:val="ListParagraph"/>
        <w:numPr>
          <w:ilvl w:val="0"/>
          <w:numId w:val="2"/>
        </w:numPr>
        <w:spacing w:after="44"/>
      </w:pPr>
      <w:r>
        <w:rPr>
          <w:color w:val="333333"/>
        </w:rPr>
        <w:t xml:space="preserve">A candidate privacy notice page will be added and linked from the form.</w:t>
      </w:r>
    </w:p>
    <w:p>
      <w:pPr>
        <w:pStyle w:val="Heading1"/>
        <w:spacing w:after="110" w:before="300"/>
      </w:pPr>
      <w:r>
        <w:rPr>
          <w:b/>
          <w:bCs/>
          <w:color w:val="1F3864"/>
        </w:rPr>
        <w:t xml:space="preserve">11. Out of Scope (Phase 2)</w:t>
      </w:r>
    </w:p>
    <w:p>
      <w:pPr>
        <w:pBdr>
          <w:bottom w:val="single" w:color="B08D57" w:sz="12"/>
        </w:pBdr>
        <w:spacing w:after="130" w:before="30"/>
      </w:pPr>
    </w:p>
    <w:p>
      <w:pPr>
        <w:pStyle w:val="ListParagraph"/>
        <w:numPr>
          <w:ilvl w:val="0"/>
          <w:numId w:val="2"/>
        </w:numPr>
        <w:spacing w:after="44"/>
      </w:pPr>
      <w:r>
        <w:rPr>
          <w:color w:val="333333"/>
        </w:rPr>
        <w:t xml:space="preserve">Automatic erasure / hard-deletion of withdrawn data (current decision is to mark withdrawn only).</w:t>
      </w:r>
    </w:p>
    <w:p>
      <w:pPr>
        <w:pStyle w:val="ListParagraph"/>
        <w:numPr>
          <w:ilvl w:val="0"/>
          <w:numId w:val="2"/>
        </w:numPr>
        <w:spacing w:after="44"/>
      </w:pPr>
      <w:r>
        <w:rPr>
          <w:color w:val="333333"/>
        </w:rPr>
        <w:t xml:space="preserve">Time-based retention auto-purge for applications whose purpose is served.</w:t>
      </w:r>
    </w:p>
    <w:p>
      <w:pPr>
        <w:pStyle w:val="ListParagraph"/>
        <w:numPr>
          <w:ilvl w:val="0"/>
          <w:numId w:val="2"/>
        </w:numPr>
        <w:spacing w:after="44"/>
      </w:pPr>
      <w:r>
        <w:rPr>
          <w:color w:val="333333"/>
        </w:rPr>
        <w:t xml:space="preserve">Unifying this consent with the existing cookie-consent module.</w:t>
      </w:r>
    </w:p>
    <w:p>
      <w:pPr>
        <w:pStyle w:val="ListParagraph"/>
        <w:numPr>
          <w:ilvl w:val="0"/>
          <w:numId w:val="2"/>
        </w:numPr>
        <w:spacing w:after="44"/>
      </w:pPr>
      <w:r>
        <w:rPr>
          <w:color w:val="333333"/>
        </w:rPr>
        <w:t xml:space="preserve">Encrypted-at-rest / cloud résumé storage (tracked separately).</w:t>
      </w:r>
    </w:p>
    <w:p>
      <w:pPr>
        <w:pStyle w:val="Heading1"/>
        <w:spacing w:after="110" w:before="300"/>
      </w:pPr>
      <w:r>
        <w:rPr>
          <w:b/>
          <w:bCs/>
          <w:color w:val="1F3864"/>
        </w:rPr>
        <w:t xml:space="preserve">12. Acceptance Criteria</w:t>
      </w:r>
    </w:p>
    <w:p>
      <w:pPr>
        <w:pBdr>
          <w:bottom w:val="single" w:color="B08D57" w:sz="12"/>
        </w:pBdr>
        <w:spacing w:after="130" w:before="30"/>
      </w:pPr>
    </w:p>
    <w:p>
      <w:pPr>
        <w:pStyle w:val="ListParagraph"/>
        <w:numPr>
          <w:ilvl w:val="0"/>
          <w:numId w:val="2"/>
        </w:numPr>
        <w:spacing w:after="44"/>
      </w:pPr>
      <w:r>
        <w:rPr>
          <w:color w:val="333333"/>
        </w:rPr>
        <w:t xml:space="preserve">An application cannot be submitted without ticking the consent box (verified on both client and server).</w:t>
      </w:r>
    </w:p>
    <w:p>
      <w:pPr>
        <w:pStyle w:val="ListParagraph"/>
        <w:numPr>
          <w:ilvl w:val="0"/>
          <w:numId w:val="2"/>
        </w:numPr>
        <w:spacing w:after="44"/>
      </w:pPr>
      <w:r>
        <w:rPr>
          <w:color w:val="333333"/>
        </w:rPr>
        <w:t xml:space="preserve">Each stored application shows consent = given, with timestamp, version, IP and user agent.</w:t>
      </w:r>
    </w:p>
    <w:p>
      <w:pPr>
        <w:pStyle w:val="ListParagraph"/>
        <w:numPr>
          <w:ilvl w:val="0"/>
          <w:numId w:val="2"/>
        </w:numPr>
        <w:spacing w:after="44"/>
      </w:pPr>
      <w:r>
        <w:rPr>
          <w:color w:val="333333"/>
        </w:rPr>
        <w:t xml:space="preserve">The candidate receives an acknowledgement email with a working withdrawal link.</w:t>
      </w:r>
    </w:p>
    <w:p>
      <w:pPr>
        <w:pStyle w:val="ListParagraph"/>
        <w:numPr>
          <w:ilvl w:val="0"/>
          <w:numId w:val="2"/>
        </w:numPr>
        <w:spacing w:after="44"/>
      </w:pPr>
      <w:r>
        <w:rPr>
          <w:color w:val="333333"/>
        </w:rPr>
        <w:t xml:space="preserve">Using the link marks the application as withdrawn and removes it from the active pipeline.</w:t>
      </w:r>
    </w:p>
    <w:p>
      <w:pPr>
        <w:pStyle w:val="ListParagraph"/>
        <w:numPr>
          <w:ilvl w:val="0"/>
          <w:numId w:val="2"/>
        </w:numPr>
        <w:spacing w:after="44"/>
      </w:pPr>
      <w:r>
        <w:rPr>
          <w:color w:val="333333"/>
        </w:rPr>
        <w:t xml:space="preserve">Recruiters can see and filter consent status; every consent/withdrawal event appears in the audit trail.</w:t>
      </w:r>
    </w:p>
    <w:p>
      <w:pPr>
        <w:spacing w:before="220"/>
        <w:jc w:val="center"/>
      </w:pPr>
      <w:r>
        <w:rPr>
          <w:i/>
          <w:iCs/>
          <w:color w:val="1F3864"/>
        </w:rPr>
        <w:t xml:space="preserve">Knowledge. Integrity. Innovation.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Prepared by NavaNala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Team Eyrie — DPDP Consent Requirement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B08D57"/>
      </w:r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e118a6074a5470e844868534a2e181f9d6f4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Eyrie Careers — DPDP Consent Requirement Document</dc:title>
  <dc:creator>NavaNala</dc:creator>
  <cp:lastModifiedBy>Un-named</cp:lastModifiedBy>
  <cp:revision>1</cp:revision>
  <dcterms:created xsi:type="dcterms:W3CDTF">2026-08-15T16:30:07.413Z</dcterms:created>
  <dcterms:modified xsi:type="dcterms:W3CDTF">2026-08-15T16:30:07.421Z</dcterms:modified>
</cp:coreProperties>
</file>

<file path=docProps/custom.xml><?xml version="1.0" encoding="utf-8"?>
<Properties xmlns="http://schemas.openxmlformats.org/officeDocument/2006/custom-properties" xmlns:vt="http://schemas.openxmlformats.org/officeDocument/2006/docPropsVTypes"/>
</file>