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w:t>
      </w:r>
      <w:proofErr w:type="gramStart"/>
      <w:r>
        <w:rPr>
          <w:rFonts w:ascii="Calibri" w:hAnsi="Calibri" w:cs="Times New Roman"/>
        </w:rPr>
        <w:t>in</w:t>
      </w:r>
      <w:proofErr w:type="gramEnd"/>
      <w:r>
        <w:rPr>
          <w:rFonts w:ascii="Calibri" w:hAnsi="Calibri" w:cs="Times New Roman"/>
        </w:rPr>
        <w:t xml:space="preserve">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 xml:space="preserve">Indigenous fertiliser: 3000, 3400, 3350, 3300, </w:t>
      </w:r>
      <w:proofErr w:type="gramStart"/>
      <w:r>
        <w:rPr>
          <w:rFonts w:ascii="Calibri" w:hAnsi="Calibri" w:cs="Times New Roman"/>
        </w:rPr>
        <w:t>4800</w:t>
      </w:r>
      <w:proofErr w:type="gramEnd"/>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 xml:space="preserve">200, 1142, 1039, 1499, </w:t>
      </w:r>
      <w:proofErr w:type="gramStart"/>
      <w:r>
        <w:rPr>
          <w:rFonts w:ascii="Calibri" w:hAnsi="Calibri" w:cs="Times New Roman"/>
        </w:rPr>
        <w:t>1000</w:t>
      </w:r>
      <w:proofErr w:type="gramEnd"/>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 xml:space="preserve">SELECT author_name, </w:t>
      </w:r>
      <w:proofErr w:type="gramStart"/>
      <w:r w:rsidRPr="00D81235">
        <w:rPr>
          <w:rFonts w:ascii="Calibri" w:hAnsi="Calibri" w:cs="Times New Roman"/>
          <w:b/>
        </w:rPr>
        <w:t>SUM(</w:t>
      </w:r>
      <w:proofErr w:type="gramEnd"/>
      <w:r w:rsidRPr="00D81235">
        <w:rPr>
          <w:rFonts w:ascii="Calibri" w:hAnsi="Calibri" w:cs="Times New Roman"/>
          <w:b/>
        </w:rPr>
        <w:t>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170382">
        <w:rPr>
          <w:rFonts w:ascii="Calibri" w:hAnsi="Calibri" w:cs="Times New Roman"/>
        </w:rPr>
        <w:t>COUNT(</w:t>
      </w:r>
      <w:proofErr w:type="gramEnd"/>
      <w:r w:rsidRPr="00170382">
        <w:rPr>
          <w:rFonts w:ascii="Calibri" w:hAnsi="Calibri" w:cs="Times New Roman"/>
        </w:rPr>
        <w: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user</w:t>
      </w:r>
      <w:proofErr w:type="gramEnd"/>
      <w:r w:rsidRPr="00170382">
        <w:rPr>
          <w:rFonts w:ascii="Calibri" w:hAnsi="Calibri" w:cs="Times New Roman"/>
        </w:rPr>
        <w:t>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event</w:t>
      </w:r>
      <w:proofErr w:type="gramEnd"/>
      <w:r w:rsidRPr="00170382">
        <w:rPr>
          <w:rFonts w:ascii="Calibri" w:hAnsi="Calibri" w:cs="Times New Roman"/>
        </w:rPr>
        <w: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w:t>
      </w:r>
      <w:proofErr w:type="gramStart"/>
      <w:r w:rsidR="00A1539E">
        <w:rPr>
          <w:rFonts w:ascii="Calibri" w:hAnsi="Calibri" w:cs="Times New Roman"/>
        </w:rPr>
        <w:t>COUNT(</w:t>
      </w:r>
      <w:proofErr w:type="gramEnd"/>
      <w:r w:rsidR="00A1539E">
        <w:rPr>
          <w:rFonts w:ascii="Calibri" w:hAnsi="Calibri" w:cs="Times New Roman"/>
        </w:rPr>
        <w: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 xml:space="preserve">AND </w:t>
      </w:r>
      <w:proofErr w:type="gramStart"/>
      <w:r w:rsidR="009200EE">
        <w:rPr>
          <w:rFonts w:ascii="Calibri" w:hAnsi="Calibri" w:cs="Times New Roman"/>
        </w:rPr>
        <w:t>COUNT(</w:t>
      </w:r>
      <w:proofErr w:type="gramEnd"/>
      <w:r w:rsidR="009200EE">
        <w:rPr>
          <w:rFonts w:ascii="Calibri" w:hAnsi="Calibri" w:cs="Times New Roman"/>
        </w:rPr>
        <w: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To display the department_name that fulfill the requirements (</w:t>
      </w:r>
      <w:proofErr w:type="gramStart"/>
      <w:r w:rsidRPr="00386354">
        <w:rPr>
          <w:rFonts w:ascii="Calibri" w:hAnsi="Calibri" w:cs="Times New Roman"/>
        </w:rPr>
        <w:t>avg(</w:t>
      </w:r>
      <w:proofErr w:type="gramEnd"/>
      <w:r w:rsidRPr="00386354">
        <w:rPr>
          <w:rFonts w:ascii="Calibri" w:hAnsi="Calibri" w:cs="Times New Roman"/>
        </w:rPr>
        <w:t xml:space="preserve">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A85D25">
        <w:rPr>
          <w:rFonts w:ascii="Calibri" w:hAnsi="Calibri" w:cs="Times New Roman"/>
        </w:rPr>
        <w:t>department</w:t>
      </w:r>
      <w:proofErr w:type="gramEnd"/>
      <w:r w:rsidRPr="00A85D25">
        <w:rPr>
          <w:rFonts w:ascii="Calibri" w:hAnsi="Calibri" w:cs="Times New Roman"/>
        </w:rPr>
        <w: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department</w:t>
      </w:r>
      <w:proofErr w:type="gramEnd"/>
      <w:r w:rsidRPr="00A85D25">
        <w:rPr>
          <w:rFonts w:ascii="Calibri" w:hAnsi="Calibri" w:cs="Times New Roman"/>
        </w:rPr>
        <w: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CAST(</w:t>
      </w:r>
      <w:proofErr w:type="gramEnd"/>
      <w:r w:rsidRPr="00A85D25">
        <w:rPr>
          <w:rFonts w:ascii="Calibri" w:hAnsi="Calibri" w:cs="Times New Roman"/>
        </w:rPr>
        <w: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A85D25">
        <w:rPr>
          <w:rFonts w:ascii="Calibri" w:hAnsi="Calibri" w:cs="Times New Roman"/>
        </w:rPr>
        <w:t>employees</w:t>
      </w:r>
      <w:proofErr w:type="gramEnd"/>
      <w:r w:rsidRPr="00A85D25">
        <w:rPr>
          <w:rFonts w:ascii="Calibri" w:hAnsi="Calibri" w:cs="Times New Roman"/>
        </w:rPr>
        <w:t xml:space="preserve">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department</w:t>
      </w:r>
      <w:proofErr w:type="gramEnd"/>
      <w:r w:rsidRPr="001C6483">
        <w:rPr>
          <w:rFonts w:ascii="Calibri" w:hAnsi="Calibri" w:cs="Times New Roman"/>
        </w:rPr>
        <w: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CAST(</w:t>
      </w:r>
      <w:proofErr w:type="gramEnd"/>
      <w:r w:rsidRPr="001C6483">
        <w:rPr>
          <w:rFonts w:ascii="Calibri" w:hAnsi="Calibri" w:cs="Times New Roman"/>
        </w:rPr>
        <w: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employees</w:t>
      </w:r>
      <w:proofErr w:type="gramEnd"/>
      <w:r w:rsidRPr="001C6483">
        <w:rPr>
          <w:rFonts w:ascii="Calibri" w:hAnsi="Calibri" w:cs="Times New Roman"/>
        </w:rPr>
        <w:t xml:space="preserve">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salaries</w:t>
      </w:r>
      <w:proofErr w:type="gramEnd"/>
      <w:r w:rsidRPr="001C6483">
        <w:rPr>
          <w:rFonts w:ascii="Calibri" w:hAnsi="Calibri" w:cs="Times New Roman"/>
        </w:rPr>
        <w:t xml:space="preserve">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proofErr w:type="gramStart"/>
      <w:r w:rsidRPr="003E590E">
        <w:rPr>
          <w:rFonts w:ascii="Calibri" w:hAnsi="Calibri" w:cs="Times New Roman"/>
          <w:b/>
        </w:rPr>
        <w:t>show</w:t>
      </w:r>
      <w:proofErr w:type="gramEnd"/>
      <w:r w:rsidRPr="003E590E">
        <w:rPr>
          <w:rFonts w:ascii="Calibri" w:hAnsi="Calibri" w:cs="Times New Roman"/>
          <w:b/>
        </w:rPr>
        <w:t xml:space="preserve">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d</w:t>
      </w:r>
      <w:proofErr w:type="gramEnd"/>
      <w:r w:rsidRPr="0005266F">
        <w:rPr>
          <w:rFonts w:ascii="Calibri" w:hAnsi="Calibri" w:cs="Times New Roman"/>
        </w:rPr>
        <w:t>.deposito_id,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0CD28A33" w14:textId="77777777" w:rsidR="000F7E3E" w:rsidRPr="000F7E3E" w:rsidRDefault="000F7E3E" w:rsidP="000F7E3E">
      <w:pPr>
        <w:rPr>
          <w:rFonts w:ascii="Calibri" w:hAnsi="Calibri" w:cs="Times New Roman"/>
          <w:b/>
        </w:rPr>
      </w:pPr>
    </w:p>
    <w:p w14:paraId="1FA7B29B" w14:textId="77777777" w:rsidR="00E25D50" w:rsidRDefault="00E25D50" w:rsidP="00620BA4">
      <w:pPr>
        <w:rPr>
          <w:rFonts w:ascii="Calibri" w:hAnsi="Calibri" w:cs="Times New Roman"/>
          <w:b/>
        </w:rPr>
      </w:pPr>
    </w:p>
    <w:p w14:paraId="45043762" w14:textId="77777777" w:rsidR="00FE43FC" w:rsidRDefault="00FE43FC" w:rsidP="00FE43FC">
      <w:pPr>
        <w:jc w:val="both"/>
        <w:rPr>
          <w:rFonts w:ascii="Calibri" w:hAnsi="Calibri" w:cs="Times New Roman"/>
        </w:rPr>
      </w:pPr>
      <w:r>
        <w:rPr>
          <w:rFonts w:ascii="Calibri" w:hAnsi="Calibri" w:cs="Times New Roman"/>
        </w:rPr>
        <w:t xml:space="preserve">Based on several sources, it is stated that some KPI’s that need to be considered towards the performance of game development are Engagement KPI’s, Financial KPI’s, User Experience KPI’s, Mobile App Marketing API’s, and App Store Optimization. The factors that are included on each KPI are as follow: </w:t>
      </w:r>
    </w:p>
    <w:p w14:paraId="7AE8FC65" w14:textId="77777777" w:rsidR="00FE43FC" w:rsidRDefault="00FE43FC" w:rsidP="00FE43FC">
      <w:pPr>
        <w:jc w:val="both"/>
        <w:rPr>
          <w:rFonts w:ascii="Calibri" w:hAnsi="Calibri" w:cs="Times New Roman"/>
        </w:rPr>
      </w:pPr>
    </w:p>
    <w:p w14:paraId="236E7819" w14:textId="4DCD8A0F" w:rsidR="00FE43FC" w:rsidRPr="00FE43FC" w:rsidRDefault="00FE43FC" w:rsidP="00FE43FC">
      <w:pPr>
        <w:pStyle w:val="ListParagraph"/>
        <w:numPr>
          <w:ilvl w:val="0"/>
          <w:numId w:val="12"/>
        </w:numPr>
        <w:jc w:val="both"/>
        <w:rPr>
          <w:rFonts w:ascii="Calibri" w:hAnsi="Calibri" w:cs="Times New Roman"/>
        </w:rPr>
      </w:pPr>
      <w:r w:rsidRPr="00FE43FC">
        <w:rPr>
          <w:rFonts w:ascii="Calibri" w:hAnsi="Calibri" w:cs="Times New Roman"/>
          <w:i/>
        </w:rPr>
        <w:t xml:space="preserve">Engagement </w:t>
      </w:r>
      <w:proofErr w:type="gramStart"/>
      <w:r w:rsidRPr="00FE43FC">
        <w:rPr>
          <w:rFonts w:ascii="Calibri" w:hAnsi="Calibri" w:cs="Times New Roman"/>
          <w:i/>
        </w:rPr>
        <w:t xml:space="preserve">KPI’s </w:t>
      </w:r>
      <w:r w:rsidRPr="00FE43FC">
        <w:rPr>
          <w:rFonts w:ascii="Calibri" w:hAnsi="Calibri" w:cs="Times New Roman"/>
        </w:rPr>
        <w:t>:</w:t>
      </w:r>
      <w:proofErr w:type="gramEnd"/>
      <w:r w:rsidRPr="00FE43FC">
        <w:rPr>
          <w:rFonts w:ascii="Calibri" w:hAnsi="Calibri" w:cs="Times New Roman"/>
        </w:rPr>
        <w:t xml:space="preserve"> Retention Rate, Sessions, Session Length, Session Interval, Session Depth, Avg. Screens per Visit, DAU, MAU, Social Shares (Banner, Video?), Brand Awareness, Churn Rate</w:t>
      </w:r>
    </w:p>
    <w:p w14:paraId="60022215" w14:textId="77777777" w:rsidR="00FE43FC" w:rsidRDefault="00FE43FC" w:rsidP="00FE43FC">
      <w:pPr>
        <w:rPr>
          <w:rFonts w:ascii="Calibri" w:hAnsi="Calibri" w:cs="Times New Roman"/>
        </w:rPr>
      </w:pPr>
    </w:p>
    <w:p w14:paraId="4CE27903"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Revenue-Focused/Financial KPI’s:</w:t>
      </w:r>
      <w:r w:rsidRPr="00FE43FC">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27494BD2" w14:textId="77777777" w:rsidR="00FE43FC" w:rsidRDefault="00FE43FC" w:rsidP="00FE43FC">
      <w:pPr>
        <w:rPr>
          <w:rFonts w:ascii="Calibri" w:hAnsi="Calibri" w:cs="Times New Roman"/>
        </w:rPr>
      </w:pPr>
    </w:p>
    <w:p w14:paraId="41EE8810"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 xml:space="preserve">User Experience </w:t>
      </w:r>
      <w:proofErr w:type="gramStart"/>
      <w:r w:rsidRPr="00FE43FC">
        <w:rPr>
          <w:rFonts w:ascii="Calibri" w:hAnsi="Calibri" w:cs="Times New Roman"/>
          <w:i/>
        </w:rPr>
        <w:t xml:space="preserve">KPI’s </w:t>
      </w:r>
      <w:r w:rsidRPr="00FE43FC">
        <w:rPr>
          <w:rFonts w:ascii="Calibri" w:hAnsi="Calibri" w:cs="Times New Roman"/>
        </w:rPr>
        <w:t>:</w:t>
      </w:r>
      <w:proofErr w:type="gramEnd"/>
      <w:r w:rsidRPr="00FE43FC">
        <w:rPr>
          <w:rFonts w:ascii="Calibri" w:hAnsi="Calibri" w:cs="Times New Roman"/>
        </w:rPr>
        <w:t xml:space="preserve"> Load Time</w:t>
      </w:r>
      <w:r w:rsidRPr="00FE43FC">
        <w:rPr>
          <w:rFonts w:ascii="Calibri" w:hAnsi="Calibri" w:cs="Times New Roman"/>
          <w:b/>
        </w:rPr>
        <w:t xml:space="preserve">, </w:t>
      </w:r>
      <w:r w:rsidRPr="00FE43FC">
        <w:rPr>
          <w:rFonts w:ascii="Calibri" w:hAnsi="Calibri" w:cs="Times New Roman"/>
        </w:rPr>
        <w:t>OS, Devices, Carriers (important), Screen Dimension/Resolution, Permissions Granted, API Latency</w:t>
      </w:r>
    </w:p>
    <w:p w14:paraId="76E6A04E" w14:textId="77777777" w:rsidR="00FE43FC" w:rsidRDefault="00FE43FC" w:rsidP="00FE43FC">
      <w:pPr>
        <w:rPr>
          <w:rFonts w:ascii="Calibri" w:hAnsi="Calibri" w:cs="Times New Roman"/>
        </w:rPr>
      </w:pPr>
    </w:p>
    <w:p w14:paraId="08A0D004"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Mobile App Marketing KPI’s</w:t>
      </w:r>
      <w:r w:rsidRPr="00FE43FC">
        <w:rPr>
          <w:rFonts w:ascii="Calibri" w:hAnsi="Calibri" w:cs="Times New Roman"/>
        </w:rPr>
        <w:t>: Install Source (for marketing campaign), Channel Breakdown, Geo-metrics, Demographics, Cohort Analysis, Behavioral Metrics</w:t>
      </w:r>
    </w:p>
    <w:p w14:paraId="1C58F0B6" w14:textId="77777777" w:rsidR="00FE43FC" w:rsidRDefault="00FE43FC" w:rsidP="00FE43FC">
      <w:pPr>
        <w:rPr>
          <w:rFonts w:ascii="Calibri" w:hAnsi="Calibri" w:cs="Times New Roman"/>
        </w:rPr>
      </w:pPr>
    </w:p>
    <w:p w14:paraId="1B1745FE"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App Store Optimization (ASO):</w:t>
      </w:r>
      <w:r w:rsidRPr="00FE43FC">
        <w:rPr>
          <w:rFonts w:ascii="Calibri" w:hAnsi="Calibri" w:cs="Times New Roman"/>
        </w:rPr>
        <w:t xml:space="preserve"> Keywords, App Store Category Ranking, Views to Installs, Reviews</w:t>
      </w:r>
    </w:p>
    <w:p w14:paraId="2CA9F715" w14:textId="0F78AC16" w:rsidR="00FE43FC" w:rsidRDefault="00FE43FC" w:rsidP="00620BA4">
      <w:pPr>
        <w:rPr>
          <w:rFonts w:ascii="Calibri" w:hAnsi="Calibri" w:cs="Times New Roman"/>
        </w:rPr>
      </w:pPr>
    </w:p>
    <w:p w14:paraId="43E70B48" w14:textId="77777777" w:rsidR="000F7E3E" w:rsidRDefault="00FE43FC" w:rsidP="000F7E3E">
      <w:pPr>
        <w:jc w:val="both"/>
        <w:rPr>
          <w:rFonts w:ascii="Calibri" w:hAnsi="Calibri" w:cs="Times New Roman"/>
        </w:rPr>
      </w:pPr>
      <w:r>
        <w:rPr>
          <w:rFonts w:ascii="Calibri" w:hAnsi="Calibri" w:cs="Times New Roman"/>
        </w:rPr>
        <w:t>From data given for Game X, it seems like the team had been focusing too much on acquiring new user</w:t>
      </w:r>
      <w:r w:rsidR="00FD4E6B">
        <w:rPr>
          <w:rFonts w:ascii="Calibri" w:hAnsi="Calibri" w:cs="Times New Roman"/>
        </w:rPr>
        <w:t>; whereas it doesn’t really impact the revenue unless the number of paying users increased too</w:t>
      </w:r>
      <w:r w:rsidR="002F2812">
        <w:rPr>
          <w:rFonts w:ascii="Calibri" w:hAnsi="Calibri" w:cs="Times New Roman"/>
        </w:rPr>
        <w:t xml:space="preserve">. </w:t>
      </w:r>
      <w:r w:rsidR="00FD4E6B">
        <w:rPr>
          <w:rFonts w:ascii="Calibri" w:hAnsi="Calibri" w:cs="Times New Roman"/>
        </w:rPr>
        <w:t>Here’s the full table marked with the increase and decrease of each features:</w:t>
      </w:r>
    </w:p>
    <w:p w14:paraId="2DE1ADAD" w14:textId="11A89E6E" w:rsidR="00FE43FC" w:rsidRDefault="000F7E3E" w:rsidP="00620BA4">
      <w:pPr>
        <w:rPr>
          <w:rFonts w:ascii="Calibri" w:hAnsi="Calibri" w:cs="Times New Roman"/>
        </w:rPr>
      </w:pPr>
      <w:r>
        <w:rPr>
          <w:rFonts w:ascii="Calibri" w:hAnsi="Calibri" w:cs="Times New Roman"/>
          <w:noProof/>
        </w:rPr>
        <w:drawing>
          <wp:inline distT="0" distB="0" distL="0" distR="0" wp14:anchorId="06EBEFF9" wp14:editId="700FAEB3">
            <wp:extent cx="5268595" cy="2580005"/>
            <wp:effectExtent l="0" t="0" r="0" b="10795"/>
            <wp:docPr id="7" name="Picture 7" descr="OSX:Users:ahh:Desktop:Screen Shot 2020-03-18 at 4.4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hh:Desktop:Screen Shot 2020-03-18 at 4.46.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580005"/>
                    </a:xfrm>
                    <a:prstGeom prst="rect">
                      <a:avLst/>
                    </a:prstGeom>
                    <a:noFill/>
                    <a:ln>
                      <a:noFill/>
                    </a:ln>
                  </pic:spPr>
                </pic:pic>
              </a:graphicData>
            </a:graphic>
          </wp:inline>
        </w:drawing>
      </w:r>
    </w:p>
    <w:p w14:paraId="377F54CF" w14:textId="77777777" w:rsidR="00FD4E6B" w:rsidRDefault="00FD4E6B" w:rsidP="00620BA4">
      <w:pPr>
        <w:rPr>
          <w:rFonts w:ascii="Calibri" w:hAnsi="Calibri" w:cs="Times New Roman"/>
        </w:rPr>
      </w:pPr>
    </w:p>
    <w:p w14:paraId="5739068D" w14:textId="304A3A78" w:rsidR="000F7E3E" w:rsidRDefault="000F7E3E" w:rsidP="000F7E3E">
      <w:pPr>
        <w:jc w:val="both"/>
        <w:rPr>
          <w:rFonts w:ascii="Calibri" w:hAnsi="Calibri" w:cs="Times New Roman"/>
        </w:rPr>
      </w:pPr>
      <w:r>
        <w:rPr>
          <w:rFonts w:ascii="Calibri" w:hAnsi="Calibri" w:cs="Times New Roman"/>
        </w:rPr>
        <w:t>Where the yellow-marked row means decrease from the previous month, and green means increment. From 25 months of running, only 9 specific months give an increase in Gross Revenue. From here, I made a new table to make it easier to see the patterns of features that affect the target (Gross Revenue).</w:t>
      </w:r>
      <w:r w:rsidR="00E07444">
        <w:rPr>
          <w:rFonts w:ascii="Calibri" w:hAnsi="Calibri" w:cs="Times New Roman"/>
        </w:rPr>
        <w:t xml:space="preserve"> 1 indicating increase, 0 no effects</w:t>
      </w:r>
      <w:r w:rsidR="00FB5A6C">
        <w:rPr>
          <w:rFonts w:ascii="Calibri" w:hAnsi="Calibri" w:cs="Times New Roman"/>
        </w:rPr>
        <w:t>/decrease</w:t>
      </w:r>
      <w:r w:rsidR="00E07444">
        <w:rPr>
          <w:rFonts w:ascii="Calibri" w:hAnsi="Calibri" w:cs="Times New Roman"/>
        </w:rPr>
        <w:t xml:space="preserve">, and 0.5 means stagnant value from previous month. </w:t>
      </w:r>
    </w:p>
    <w:p w14:paraId="2AB1CB09" w14:textId="77777777" w:rsidR="00FB5A6C" w:rsidRDefault="00FB5A6C" w:rsidP="000F7E3E">
      <w:pPr>
        <w:jc w:val="both"/>
        <w:rPr>
          <w:rFonts w:ascii="Calibri" w:hAnsi="Calibri" w:cs="Times New Roman"/>
        </w:rPr>
      </w:pPr>
    </w:p>
    <w:tbl>
      <w:tblPr>
        <w:tblW w:w="5670" w:type="dxa"/>
        <w:tblInd w:w="93" w:type="dxa"/>
        <w:tblLook w:val="04A0" w:firstRow="1" w:lastRow="0" w:firstColumn="1" w:lastColumn="0" w:noHBand="0" w:noVBand="1"/>
      </w:tblPr>
      <w:tblGrid>
        <w:gridCol w:w="619"/>
        <w:gridCol w:w="622"/>
        <w:gridCol w:w="720"/>
        <w:gridCol w:w="482"/>
        <w:gridCol w:w="961"/>
        <w:gridCol w:w="1034"/>
        <w:gridCol w:w="654"/>
        <w:gridCol w:w="996"/>
        <w:gridCol w:w="604"/>
        <w:gridCol w:w="545"/>
        <w:gridCol w:w="1186"/>
      </w:tblGrid>
      <w:tr w:rsidR="00FB5A6C" w:rsidRPr="00FB5A6C" w14:paraId="40DF2D59" w14:textId="77777777" w:rsidTr="00FB5A6C">
        <w:trPr>
          <w:trHeight w:val="660"/>
        </w:trPr>
        <w:tc>
          <w:tcPr>
            <w:tcW w:w="69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86461C3"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Month</w:t>
            </w:r>
          </w:p>
        </w:tc>
        <w:tc>
          <w:tcPr>
            <w:tcW w:w="702" w:type="dxa"/>
            <w:tcBorders>
              <w:top w:val="single" w:sz="8" w:space="0" w:color="auto"/>
              <w:left w:val="nil"/>
              <w:bottom w:val="single" w:sz="8" w:space="0" w:color="auto"/>
              <w:right w:val="nil"/>
            </w:tcBorders>
            <w:shd w:val="clear" w:color="auto" w:fill="auto"/>
            <w:vAlign w:val="bottom"/>
            <w:hideMark/>
          </w:tcPr>
          <w:p w14:paraId="6E076016"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ARPPU</w:t>
            </w:r>
          </w:p>
        </w:tc>
        <w:tc>
          <w:tcPr>
            <w:tcW w:w="864" w:type="dxa"/>
            <w:tcBorders>
              <w:top w:val="single" w:sz="8" w:space="0" w:color="auto"/>
              <w:left w:val="nil"/>
              <w:bottom w:val="single" w:sz="8" w:space="0" w:color="auto"/>
              <w:right w:val="nil"/>
            </w:tcBorders>
            <w:shd w:val="clear" w:color="auto" w:fill="auto"/>
            <w:vAlign w:val="bottom"/>
            <w:hideMark/>
          </w:tcPr>
          <w:p w14:paraId="2BFE1B90"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ARPDAU</w:t>
            </w:r>
          </w:p>
        </w:tc>
        <w:tc>
          <w:tcPr>
            <w:tcW w:w="471" w:type="dxa"/>
            <w:tcBorders>
              <w:top w:val="single" w:sz="8" w:space="0" w:color="auto"/>
              <w:left w:val="nil"/>
              <w:bottom w:val="single" w:sz="8" w:space="0" w:color="auto"/>
              <w:right w:val="nil"/>
            </w:tcBorders>
            <w:shd w:val="clear" w:color="auto" w:fill="auto"/>
            <w:vAlign w:val="bottom"/>
            <w:hideMark/>
          </w:tcPr>
          <w:p w14:paraId="4E74289F"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DAU</w:t>
            </w:r>
          </w:p>
        </w:tc>
        <w:tc>
          <w:tcPr>
            <w:tcW w:w="1264" w:type="dxa"/>
            <w:tcBorders>
              <w:top w:val="single" w:sz="8" w:space="0" w:color="auto"/>
              <w:left w:val="nil"/>
              <w:bottom w:val="single" w:sz="8" w:space="0" w:color="auto"/>
              <w:right w:val="nil"/>
            </w:tcBorders>
            <w:shd w:val="clear" w:color="auto" w:fill="auto"/>
            <w:vAlign w:val="bottom"/>
            <w:hideMark/>
          </w:tcPr>
          <w:p w14:paraId="59473646"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D7Retention</w:t>
            </w:r>
          </w:p>
        </w:tc>
        <w:tc>
          <w:tcPr>
            <w:tcW w:w="1385" w:type="dxa"/>
            <w:tcBorders>
              <w:top w:val="single" w:sz="8" w:space="0" w:color="auto"/>
              <w:left w:val="nil"/>
              <w:bottom w:val="single" w:sz="8" w:space="0" w:color="auto"/>
              <w:right w:val="nil"/>
            </w:tcBorders>
            <w:shd w:val="clear" w:color="auto" w:fill="auto"/>
            <w:vAlign w:val="bottom"/>
            <w:hideMark/>
          </w:tcPr>
          <w:p w14:paraId="1BFA0575"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D30Retention</w:t>
            </w:r>
          </w:p>
        </w:tc>
        <w:tc>
          <w:tcPr>
            <w:tcW w:w="756" w:type="dxa"/>
            <w:tcBorders>
              <w:top w:val="single" w:sz="8" w:space="0" w:color="auto"/>
              <w:left w:val="nil"/>
              <w:bottom w:val="single" w:sz="8" w:space="0" w:color="auto"/>
              <w:right w:val="nil"/>
            </w:tcBorders>
            <w:shd w:val="clear" w:color="auto" w:fill="auto"/>
            <w:vAlign w:val="bottom"/>
            <w:hideMark/>
          </w:tcPr>
          <w:p w14:paraId="61B00DCD"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Avg. Session</w:t>
            </w:r>
          </w:p>
        </w:tc>
        <w:tc>
          <w:tcPr>
            <w:tcW w:w="1322" w:type="dxa"/>
            <w:tcBorders>
              <w:top w:val="single" w:sz="8" w:space="0" w:color="auto"/>
              <w:left w:val="nil"/>
              <w:bottom w:val="single" w:sz="8" w:space="0" w:color="auto"/>
              <w:right w:val="nil"/>
            </w:tcBorders>
            <w:shd w:val="clear" w:color="auto" w:fill="auto"/>
            <w:vAlign w:val="bottom"/>
            <w:hideMark/>
          </w:tcPr>
          <w:p w14:paraId="3A0E696F"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Playtime/day</w:t>
            </w:r>
          </w:p>
        </w:tc>
        <w:tc>
          <w:tcPr>
            <w:tcW w:w="672" w:type="dxa"/>
            <w:tcBorders>
              <w:top w:val="single" w:sz="8" w:space="0" w:color="auto"/>
              <w:left w:val="nil"/>
              <w:bottom w:val="single" w:sz="8" w:space="0" w:color="auto"/>
              <w:right w:val="nil"/>
            </w:tcBorders>
            <w:shd w:val="clear" w:color="auto" w:fill="auto"/>
            <w:vAlign w:val="bottom"/>
            <w:hideMark/>
          </w:tcPr>
          <w:p w14:paraId="55EF99BF"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Paying Users</w:t>
            </w:r>
          </w:p>
        </w:tc>
        <w:tc>
          <w:tcPr>
            <w:tcW w:w="575" w:type="dxa"/>
            <w:tcBorders>
              <w:top w:val="single" w:sz="8" w:space="0" w:color="auto"/>
              <w:left w:val="nil"/>
              <w:bottom w:val="single" w:sz="8" w:space="0" w:color="auto"/>
              <w:right w:val="single" w:sz="8" w:space="0" w:color="auto"/>
            </w:tcBorders>
            <w:shd w:val="clear" w:color="auto" w:fill="auto"/>
            <w:vAlign w:val="bottom"/>
            <w:hideMark/>
          </w:tcPr>
          <w:p w14:paraId="63EA06BB"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New Users</w:t>
            </w:r>
          </w:p>
        </w:tc>
        <w:tc>
          <w:tcPr>
            <w:tcW w:w="1636" w:type="dxa"/>
            <w:tcBorders>
              <w:top w:val="single" w:sz="8" w:space="0" w:color="auto"/>
              <w:left w:val="nil"/>
              <w:bottom w:val="single" w:sz="8" w:space="0" w:color="auto"/>
              <w:right w:val="single" w:sz="8" w:space="0" w:color="auto"/>
            </w:tcBorders>
            <w:shd w:val="clear" w:color="auto" w:fill="auto"/>
            <w:vAlign w:val="bottom"/>
            <w:hideMark/>
          </w:tcPr>
          <w:p w14:paraId="241125AD"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Total Features/Month</w:t>
            </w:r>
          </w:p>
        </w:tc>
      </w:tr>
      <w:tr w:rsidR="00FB5A6C" w:rsidRPr="00FB5A6C" w14:paraId="36A4FE57"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4CDB7E75"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3</w:t>
            </w:r>
          </w:p>
        </w:tc>
        <w:tc>
          <w:tcPr>
            <w:tcW w:w="702" w:type="dxa"/>
            <w:tcBorders>
              <w:top w:val="nil"/>
              <w:left w:val="nil"/>
              <w:bottom w:val="nil"/>
              <w:right w:val="nil"/>
            </w:tcBorders>
            <w:shd w:val="clear" w:color="auto" w:fill="auto"/>
            <w:noWrap/>
            <w:vAlign w:val="bottom"/>
            <w:hideMark/>
          </w:tcPr>
          <w:p w14:paraId="1B8F2127"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5CF7960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21447C77"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264" w:type="dxa"/>
            <w:tcBorders>
              <w:top w:val="nil"/>
              <w:left w:val="nil"/>
              <w:bottom w:val="nil"/>
              <w:right w:val="nil"/>
            </w:tcBorders>
            <w:shd w:val="clear" w:color="auto" w:fill="auto"/>
            <w:noWrap/>
            <w:vAlign w:val="bottom"/>
            <w:hideMark/>
          </w:tcPr>
          <w:p w14:paraId="5B67B1D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85" w:type="dxa"/>
            <w:tcBorders>
              <w:top w:val="nil"/>
              <w:left w:val="nil"/>
              <w:bottom w:val="nil"/>
              <w:right w:val="nil"/>
            </w:tcBorders>
            <w:shd w:val="clear" w:color="auto" w:fill="auto"/>
            <w:noWrap/>
            <w:vAlign w:val="bottom"/>
            <w:hideMark/>
          </w:tcPr>
          <w:p w14:paraId="341EE31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756" w:type="dxa"/>
            <w:tcBorders>
              <w:top w:val="nil"/>
              <w:left w:val="nil"/>
              <w:bottom w:val="nil"/>
              <w:right w:val="nil"/>
            </w:tcBorders>
            <w:shd w:val="clear" w:color="auto" w:fill="auto"/>
            <w:noWrap/>
            <w:vAlign w:val="bottom"/>
            <w:hideMark/>
          </w:tcPr>
          <w:p w14:paraId="1FFBD775"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1B856A0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672" w:type="dxa"/>
            <w:tcBorders>
              <w:top w:val="nil"/>
              <w:left w:val="nil"/>
              <w:bottom w:val="nil"/>
              <w:right w:val="nil"/>
            </w:tcBorders>
            <w:shd w:val="clear" w:color="auto" w:fill="auto"/>
            <w:noWrap/>
            <w:vAlign w:val="bottom"/>
            <w:hideMark/>
          </w:tcPr>
          <w:p w14:paraId="6840CC0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575" w:type="dxa"/>
            <w:tcBorders>
              <w:top w:val="nil"/>
              <w:left w:val="nil"/>
              <w:bottom w:val="nil"/>
              <w:right w:val="single" w:sz="8" w:space="0" w:color="auto"/>
            </w:tcBorders>
            <w:shd w:val="clear" w:color="auto" w:fill="auto"/>
            <w:noWrap/>
            <w:vAlign w:val="bottom"/>
            <w:hideMark/>
          </w:tcPr>
          <w:p w14:paraId="18DF372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636" w:type="dxa"/>
            <w:tcBorders>
              <w:top w:val="nil"/>
              <w:left w:val="nil"/>
              <w:bottom w:val="nil"/>
              <w:right w:val="single" w:sz="8" w:space="0" w:color="auto"/>
            </w:tcBorders>
            <w:shd w:val="clear" w:color="auto" w:fill="auto"/>
            <w:noWrap/>
            <w:vAlign w:val="bottom"/>
            <w:hideMark/>
          </w:tcPr>
          <w:p w14:paraId="46549A0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2</w:t>
            </w:r>
          </w:p>
        </w:tc>
      </w:tr>
      <w:tr w:rsidR="00FB5A6C" w:rsidRPr="00FB5A6C" w14:paraId="51092CCE"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72BE319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c>
          <w:tcPr>
            <w:tcW w:w="702" w:type="dxa"/>
            <w:tcBorders>
              <w:top w:val="nil"/>
              <w:left w:val="nil"/>
              <w:bottom w:val="nil"/>
              <w:right w:val="nil"/>
            </w:tcBorders>
            <w:shd w:val="clear" w:color="auto" w:fill="auto"/>
            <w:noWrap/>
            <w:vAlign w:val="bottom"/>
            <w:hideMark/>
          </w:tcPr>
          <w:p w14:paraId="05821DF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6BC5578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471" w:type="dxa"/>
            <w:tcBorders>
              <w:top w:val="nil"/>
              <w:left w:val="nil"/>
              <w:bottom w:val="nil"/>
              <w:right w:val="nil"/>
            </w:tcBorders>
            <w:shd w:val="clear" w:color="auto" w:fill="auto"/>
            <w:noWrap/>
            <w:vAlign w:val="bottom"/>
            <w:hideMark/>
          </w:tcPr>
          <w:p w14:paraId="0CBC20C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264" w:type="dxa"/>
            <w:tcBorders>
              <w:top w:val="nil"/>
              <w:left w:val="nil"/>
              <w:bottom w:val="nil"/>
              <w:right w:val="nil"/>
            </w:tcBorders>
            <w:shd w:val="clear" w:color="auto" w:fill="auto"/>
            <w:noWrap/>
            <w:vAlign w:val="bottom"/>
            <w:hideMark/>
          </w:tcPr>
          <w:p w14:paraId="28432008"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85" w:type="dxa"/>
            <w:tcBorders>
              <w:top w:val="nil"/>
              <w:left w:val="nil"/>
              <w:bottom w:val="nil"/>
              <w:right w:val="nil"/>
            </w:tcBorders>
            <w:shd w:val="clear" w:color="auto" w:fill="auto"/>
            <w:noWrap/>
            <w:vAlign w:val="bottom"/>
            <w:hideMark/>
          </w:tcPr>
          <w:p w14:paraId="3230984B"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756" w:type="dxa"/>
            <w:tcBorders>
              <w:top w:val="nil"/>
              <w:left w:val="nil"/>
              <w:bottom w:val="nil"/>
              <w:right w:val="nil"/>
            </w:tcBorders>
            <w:shd w:val="clear" w:color="auto" w:fill="auto"/>
            <w:noWrap/>
            <w:vAlign w:val="bottom"/>
            <w:hideMark/>
          </w:tcPr>
          <w:p w14:paraId="0D4F305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22" w:type="dxa"/>
            <w:tcBorders>
              <w:top w:val="nil"/>
              <w:left w:val="nil"/>
              <w:bottom w:val="nil"/>
              <w:right w:val="nil"/>
            </w:tcBorders>
            <w:shd w:val="clear" w:color="auto" w:fill="auto"/>
            <w:noWrap/>
            <w:vAlign w:val="bottom"/>
            <w:hideMark/>
          </w:tcPr>
          <w:p w14:paraId="31FF45B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672" w:type="dxa"/>
            <w:tcBorders>
              <w:top w:val="nil"/>
              <w:left w:val="nil"/>
              <w:bottom w:val="nil"/>
              <w:right w:val="nil"/>
            </w:tcBorders>
            <w:shd w:val="clear" w:color="auto" w:fill="auto"/>
            <w:noWrap/>
            <w:vAlign w:val="bottom"/>
            <w:hideMark/>
          </w:tcPr>
          <w:p w14:paraId="29214BF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575" w:type="dxa"/>
            <w:tcBorders>
              <w:top w:val="nil"/>
              <w:left w:val="nil"/>
              <w:bottom w:val="nil"/>
              <w:right w:val="single" w:sz="8" w:space="0" w:color="auto"/>
            </w:tcBorders>
            <w:shd w:val="clear" w:color="auto" w:fill="auto"/>
            <w:noWrap/>
            <w:vAlign w:val="bottom"/>
            <w:hideMark/>
          </w:tcPr>
          <w:p w14:paraId="7D6C83E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636" w:type="dxa"/>
            <w:tcBorders>
              <w:top w:val="nil"/>
              <w:left w:val="nil"/>
              <w:bottom w:val="nil"/>
              <w:right w:val="single" w:sz="8" w:space="0" w:color="auto"/>
            </w:tcBorders>
            <w:shd w:val="clear" w:color="auto" w:fill="auto"/>
            <w:noWrap/>
            <w:vAlign w:val="bottom"/>
            <w:hideMark/>
          </w:tcPr>
          <w:p w14:paraId="470CCC5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6</w:t>
            </w:r>
          </w:p>
        </w:tc>
      </w:tr>
      <w:tr w:rsidR="00FB5A6C" w:rsidRPr="00FB5A6C" w14:paraId="66567082"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6808C1E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11</w:t>
            </w:r>
          </w:p>
        </w:tc>
        <w:tc>
          <w:tcPr>
            <w:tcW w:w="702" w:type="dxa"/>
            <w:tcBorders>
              <w:top w:val="nil"/>
              <w:left w:val="nil"/>
              <w:bottom w:val="nil"/>
              <w:right w:val="nil"/>
            </w:tcBorders>
            <w:shd w:val="clear" w:color="auto" w:fill="auto"/>
            <w:noWrap/>
            <w:vAlign w:val="bottom"/>
            <w:hideMark/>
          </w:tcPr>
          <w:p w14:paraId="3304EBA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5ED0585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79DA5ED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264" w:type="dxa"/>
            <w:tcBorders>
              <w:top w:val="nil"/>
              <w:left w:val="nil"/>
              <w:bottom w:val="nil"/>
              <w:right w:val="nil"/>
            </w:tcBorders>
            <w:shd w:val="clear" w:color="auto" w:fill="auto"/>
            <w:noWrap/>
            <w:vAlign w:val="bottom"/>
            <w:hideMark/>
          </w:tcPr>
          <w:p w14:paraId="4976534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85" w:type="dxa"/>
            <w:tcBorders>
              <w:top w:val="nil"/>
              <w:left w:val="nil"/>
              <w:bottom w:val="nil"/>
              <w:right w:val="nil"/>
            </w:tcBorders>
            <w:shd w:val="clear" w:color="auto" w:fill="auto"/>
            <w:noWrap/>
            <w:vAlign w:val="bottom"/>
            <w:hideMark/>
          </w:tcPr>
          <w:p w14:paraId="5B64879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0.5</w:t>
            </w:r>
          </w:p>
        </w:tc>
        <w:tc>
          <w:tcPr>
            <w:tcW w:w="756" w:type="dxa"/>
            <w:tcBorders>
              <w:top w:val="nil"/>
              <w:left w:val="nil"/>
              <w:bottom w:val="nil"/>
              <w:right w:val="nil"/>
            </w:tcBorders>
            <w:shd w:val="clear" w:color="auto" w:fill="auto"/>
            <w:noWrap/>
            <w:vAlign w:val="bottom"/>
            <w:hideMark/>
          </w:tcPr>
          <w:p w14:paraId="3AB3187B"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03BEF1F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0.5</w:t>
            </w:r>
          </w:p>
        </w:tc>
        <w:tc>
          <w:tcPr>
            <w:tcW w:w="672" w:type="dxa"/>
            <w:tcBorders>
              <w:top w:val="nil"/>
              <w:left w:val="nil"/>
              <w:bottom w:val="nil"/>
              <w:right w:val="nil"/>
            </w:tcBorders>
            <w:shd w:val="clear" w:color="auto" w:fill="auto"/>
            <w:noWrap/>
            <w:vAlign w:val="bottom"/>
            <w:hideMark/>
          </w:tcPr>
          <w:p w14:paraId="4F563F7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575" w:type="dxa"/>
            <w:tcBorders>
              <w:top w:val="nil"/>
              <w:left w:val="nil"/>
              <w:bottom w:val="nil"/>
              <w:right w:val="single" w:sz="8" w:space="0" w:color="auto"/>
            </w:tcBorders>
            <w:shd w:val="clear" w:color="auto" w:fill="auto"/>
            <w:noWrap/>
            <w:vAlign w:val="bottom"/>
            <w:hideMark/>
          </w:tcPr>
          <w:p w14:paraId="3ACCA54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636" w:type="dxa"/>
            <w:tcBorders>
              <w:top w:val="nil"/>
              <w:left w:val="nil"/>
              <w:bottom w:val="nil"/>
              <w:right w:val="single" w:sz="8" w:space="0" w:color="auto"/>
            </w:tcBorders>
            <w:shd w:val="clear" w:color="auto" w:fill="auto"/>
            <w:noWrap/>
            <w:vAlign w:val="bottom"/>
            <w:hideMark/>
          </w:tcPr>
          <w:p w14:paraId="57EE26E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3</w:t>
            </w:r>
          </w:p>
        </w:tc>
      </w:tr>
      <w:tr w:rsidR="00FB5A6C" w:rsidRPr="00FB5A6C" w14:paraId="2AE52C20"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1D27253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17</w:t>
            </w:r>
          </w:p>
        </w:tc>
        <w:tc>
          <w:tcPr>
            <w:tcW w:w="702" w:type="dxa"/>
            <w:tcBorders>
              <w:top w:val="nil"/>
              <w:left w:val="nil"/>
              <w:bottom w:val="nil"/>
              <w:right w:val="nil"/>
            </w:tcBorders>
            <w:shd w:val="clear" w:color="auto" w:fill="auto"/>
            <w:noWrap/>
            <w:vAlign w:val="bottom"/>
            <w:hideMark/>
          </w:tcPr>
          <w:p w14:paraId="01CB575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70E3875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63CB03EB"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264" w:type="dxa"/>
            <w:tcBorders>
              <w:top w:val="nil"/>
              <w:left w:val="nil"/>
              <w:bottom w:val="nil"/>
              <w:right w:val="nil"/>
            </w:tcBorders>
            <w:shd w:val="clear" w:color="auto" w:fill="auto"/>
            <w:noWrap/>
            <w:vAlign w:val="bottom"/>
            <w:hideMark/>
          </w:tcPr>
          <w:p w14:paraId="7E6248E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85" w:type="dxa"/>
            <w:tcBorders>
              <w:top w:val="nil"/>
              <w:left w:val="nil"/>
              <w:bottom w:val="nil"/>
              <w:right w:val="nil"/>
            </w:tcBorders>
            <w:shd w:val="clear" w:color="auto" w:fill="auto"/>
            <w:noWrap/>
            <w:vAlign w:val="bottom"/>
            <w:hideMark/>
          </w:tcPr>
          <w:p w14:paraId="1B92B8E8"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756" w:type="dxa"/>
            <w:tcBorders>
              <w:top w:val="nil"/>
              <w:left w:val="nil"/>
              <w:bottom w:val="nil"/>
              <w:right w:val="nil"/>
            </w:tcBorders>
            <w:shd w:val="clear" w:color="auto" w:fill="auto"/>
            <w:noWrap/>
            <w:vAlign w:val="bottom"/>
            <w:hideMark/>
          </w:tcPr>
          <w:p w14:paraId="66CC55C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48028CC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672" w:type="dxa"/>
            <w:tcBorders>
              <w:top w:val="nil"/>
              <w:left w:val="nil"/>
              <w:bottom w:val="nil"/>
              <w:right w:val="nil"/>
            </w:tcBorders>
            <w:shd w:val="clear" w:color="auto" w:fill="auto"/>
            <w:noWrap/>
            <w:vAlign w:val="bottom"/>
            <w:hideMark/>
          </w:tcPr>
          <w:p w14:paraId="24E07D73"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575" w:type="dxa"/>
            <w:tcBorders>
              <w:top w:val="nil"/>
              <w:left w:val="nil"/>
              <w:bottom w:val="nil"/>
              <w:right w:val="single" w:sz="8" w:space="0" w:color="auto"/>
            </w:tcBorders>
            <w:shd w:val="clear" w:color="auto" w:fill="auto"/>
            <w:noWrap/>
            <w:vAlign w:val="bottom"/>
            <w:hideMark/>
          </w:tcPr>
          <w:p w14:paraId="53396A9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636" w:type="dxa"/>
            <w:tcBorders>
              <w:top w:val="nil"/>
              <w:left w:val="nil"/>
              <w:bottom w:val="nil"/>
              <w:right w:val="single" w:sz="8" w:space="0" w:color="auto"/>
            </w:tcBorders>
            <w:shd w:val="clear" w:color="auto" w:fill="auto"/>
            <w:noWrap/>
            <w:vAlign w:val="bottom"/>
            <w:hideMark/>
          </w:tcPr>
          <w:p w14:paraId="5CBBC79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r>
      <w:tr w:rsidR="00FB5A6C" w:rsidRPr="00FB5A6C" w14:paraId="566408B4"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34DA7E8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18</w:t>
            </w:r>
          </w:p>
        </w:tc>
        <w:tc>
          <w:tcPr>
            <w:tcW w:w="702" w:type="dxa"/>
            <w:tcBorders>
              <w:top w:val="nil"/>
              <w:left w:val="nil"/>
              <w:bottom w:val="nil"/>
              <w:right w:val="nil"/>
            </w:tcBorders>
            <w:shd w:val="clear" w:color="auto" w:fill="auto"/>
            <w:noWrap/>
            <w:vAlign w:val="bottom"/>
            <w:hideMark/>
          </w:tcPr>
          <w:p w14:paraId="3D35A02B"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4D4E6D42"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54C25C6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264" w:type="dxa"/>
            <w:tcBorders>
              <w:top w:val="nil"/>
              <w:left w:val="nil"/>
              <w:bottom w:val="nil"/>
              <w:right w:val="nil"/>
            </w:tcBorders>
            <w:shd w:val="clear" w:color="auto" w:fill="auto"/>
            <w:noWrap/>
            <w:vAlign w:val="bottom"/>
            <w:hideMark/>
          </w:tcPr>
          <w:p w14:paraId="3F60F7E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85" w:type="dxa"/>
            <w:tcBorders>
              <w:top w:val="nil"/>
              <w:left w:val="nil"/>
              <w:bottom w:val="nil"/>
              <w:right w:val="nil"/>
            </w:tcBorders>
            <w:shd w:val="clear" w:color="auto" w:fill="auto"/>
            <w:noWrap/>
            <w:vAlign w:val="bottom"/>
            <w:hideMark/>
          </w:tcPr>
          <w:p w14:paraId="061309C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756" w:type="dxa"/>
            <w:tcBorders>
              <w:top w:val="nil"/>
              <w:left w:val="nil"/>
              <w:bottom w:val="nil"/>
              <w:right w:val="nil"/>
            </w:tcBorders>
            <w:shd w:val="clear" w:color="auto" w:fill="auto"/>
            <w:noWrap/>
            <w:vAlign w:val="bottom"/>
            <w:hideMark/>
          </w:tcPr>
          <w:p w14:paraId="236AB4E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22" w:type="dxa"/>
            <w:tcBorders>
              <w:top w:val="nil"/>
              <w:left w:val="nil"/>
              <w:bottom w:val="nil"/>
              <w:right w:val="nil"/>
            </w:tcBorders>
            <w:shd w:val="clear" w:color="auto" w:fill="auto"/>
            <w:noWrap/>
            <w:vAlign w:val="bottom"/>
            <w:hideMark/>
          </w:tcPr>
          <w:p w14:paraId="4FAA5F0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672" w:type="dxa"/>
            <w:tcBorders>
              <w:top w:val="nil"/>
              <w:left w:val="nil"/>
              <w:bottom w:val="nil"/>
              <w:right w:val="nil"/>
            </w:tcBorders>
            <w:shd w:val="clear" w:color="auto" w:fill="auto"/>
            <w:noWrap/>
            <w:vAlign w:val="bottom"/>
            <w:hideMark/>
          </w:tcPr>
          <w:p w14:paraId="560B6A7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575" w:type="dxa"/>
            <w:tcBorders>
              <w:top w:val="nil"/>
              <w:left w:val="nil"/>
              <w:bottom w:val="nil"/>
              <w:right w:val="single" w:sz="8" w:space="0" w:color="auto"/>
            </w:tcBorders>
            <w:shd w:val="clear" w:color="auto" w:fill="auto"/>
            <w:noWrap/>
            <w:vAlign w:val="bottom"/>
            <w:hideMark/>
          </w:tcPr>
          <w:p w14:paraId="0F009E3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636" w:type="dxa"/>
            <w:tcBorders>
              <w:top w:val="nil"/>
              <w:left w:val="nil"/>
              <w:bottom w:val="nil"/>
              <w:right w:val="single" w:sz="8" w:space="0" w:color="auto"/>
            </w:tcBorders>
            <w:shd w:val="clear" w:color="auto" w:fill="auto"/>
            <w:noWrap/>
            <w:vAlign w:val="bottom"/>
            <w:hideMark/>
          </w:tcPr>
          <w:p w14:paraId="25C374C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8</w:t>
            </w:r>
          </w:p>
        </w:tc>
      </w:tr>
      <w:tr w:rsidR="00FB5A6C" w:rsidRPr="00FB5A6C" w14:paraId="01B3B924"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56AEB862"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21</w:t>
            </w:r>
          </w:p>
        </w:tc>
        <w:tc>
          <w:tcPr>
            <w:tcW w:w="702" w:type="dxa"/>
            <w:tcBorders>
              <w:top w:val="nil"/>
              <w:left w:val="nil"/>
              <w:bottom w:val="nil"/>
              <w:right w:val="nil"/>
            </w:tcBorders>
            <w:shd w:val="clear" w:color="auto" w:fill="auto"/>
            <w:noWrap/>
            <w:vAlign w:val="bottom"/>
            <w:hideMark/>
          </w:tcPr>
          <w:p w14:paraId="07E45D0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5ED1655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222A140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264" w:type="dxa"/>
            <w:tcBorders>
              <w:top w:val="nil"/>
              <w:left w:val="nil"/>
              <w:bottom w:val="nil"/>
              <w:right w:val="nil"/>
            </w:tcBorders>
            <w:shd w:val="clear" w:color="auto" w:fill="auto"/>
            <w:noWrap/>
            <w:vAlign w:val="bottom"/>
            <w:hideMark/>
          </w:tcPr>
          <w:p w14:paraId="434FEED8"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85" w:type="dxa"/>
            <w:tcBorders>
              <w:top w:val="nil"/>
              <w:left w:val="nil"/>
              <w:bottom w:val="nil"/>
              <w:right w:val="nil"/>
            </w:tcBorders>
            <w:shd w:val="clear" w:color="auto" w:fill="auto"/>
            <w:noWrap/>
            <w:vAlign w:val="bottom"/>
            <w:hideMark/>
          </w:tcPr>
          <w:p w14:paraId="6C8AB02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756" w:type="dxa"/>
            <w:tcBorders>
              <w:top w:val="nil"/>
              <w:left w:val="nil"/>
              <w:bottom w:val="nil"/>
              <w:right w:val="nil"/>
            </w:tcBorders>
            <w:shd w:val="clear" w:color="auto" w:fill="auto"/>
            <w:noWrap/>
            <w:vAlign w:val="bottom"/>
            <w:hideMark/>
          </w:tcPr>
          <w:p w14:paraId="1F95BB2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4E39133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672" w:type="dxa"/>
            <w:tcBorders>
              <w:top w:val="nil"/>
              <w:left w:val="nil"/>
              <w:bottom w:val="nil"/>
              <w:right w:val="nil"/>
            </w:tcBorders>
            <w:shd w:val="clear" w:color="auto" w:fill="auto"/>
            <w:noWrap/>
            <w:vAlign w:val="bottom"/>
            <w:hideMark/>
          </w:tcPr>
          <w:p w14:paraId="7EA4101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575" w:type="dxa"/>
            <w:tcBorders>
              <w:top w:val="nil"/>
              <w:left w:val="nil"/>
              <w:bottom w:val="nil"/>
              <w:right w:val="single" w:sz="8" w:space="0" w:color="auto"/>
            </w:tcBorders>
            <w:shd w:val="clear" w:color="auto" w:fill="auto"/>
            <w:noWrap/>
            <w:vAlign w:val="bottom"/>
            <w:hideMark/>
          </w:tcPr>
          <w:p w14:paraId="7709D84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636" w:type="dxa"/>
            <w:tcBorders>
              <w:top w:val="nil"/>
              <w:left w:val="nil"/>
              <w:bottom w:val="nil"/>
              <w:right w:val="single" w:sz="8" w:space="0" w:color="auto"/>
            </w:tcBorders>
            <w:shd w:val="clear" w:color="auto" w:fill="auto"/>
            <w:noWrap/>
            <w:vAlign w:val="bottom"/>
            <w:hideMark/>
          </w:tcPr>
          <w:p w14:paraId="4FBC311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r>
      <w:tr w:rsidR="00FB5A6C" w:rsidRPr="00FB5A6C" w14:paraId="2E59C587"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66D24AA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22</w:t>
            </w:r>
          </w:p>
        </w:tc>
        <w:tc>
          <w:tcPr>
            <w:tcW w:w="702" w:type="dxa"/>
            <w:tcBorders>
              <w:top w:val="nil"/>
              <w:left w:val="nil"/>
              <w:bottom w:val="nil"/>
              <w:right w:val="nil"/>
            </w:tcBorders>
            <w:shd w:val="clear" w:color="auto" w:fill="auto"/>
            <w:noWrap/>
            <w:vAlign w:val="bottom"/>
            <w:hideMark/>
          </w:tcPr>
          <w:p w14:paraId="2C85F74E"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2A6D3CA3"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3BBBEFC3"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264" w:type="dxa"/>
            <w:tcBorders>
              <w:top w:val="nil"/>
              <w:left w:val="nil"/>
              <w:bottom w:val="nil"/>
              <w:right w:val="nil"/>
            </w:tcBorders>
            <w:shd w:val="clear" w:color="auto" w:fill="auto"/>
            <w:noWrap/>
            <w:vAlign w:val="bottom"/>
            <w:hideMark/>
          </w:tcPr>
          <w:p w14:paraId="33E9EEAC"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 xml:space="preserve"> </w:t>
            </w:r>
          </w:p>
        </w:tc>
        <w:tc>
          <w:tcPr>
            <w:tcW w:w="1385" w:type="dxa"/>
            <w:tcBorders>
              <w:top w:val="nil"/>
              <w:left w:val="nil"/>
              <w:bottom w:val="nil"/>
              <w:right w:val="nil"/>
            </w:tcBorders>
            <w:shd w:val="clear" w:color="auto" w:fill="auto"/>
            <w:noWrap/>
            <w:vAlign w:val="bottom"/>
            <w:hideMark/>
          </w:tcPr>
          <w:p w14:paraId="3076065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756" w:type="dxa"/>
            <w:tcBorders>
              <w:top w:val="nil"/>
              <w:left w:val="nil"/>
              <w:bottom w:val="nil"/>
              <w:right w:val="nil"/>
            </w:tcBorders>
            <w:shd w:val="clear" w:color="auto" w:fill="auto"/>
            <w:noWrap/>
            <w:vAlign w:val="bottom"/>
            <w:hideMark/>
          </w:tcPr>
          <w:p w14:paraId="3ADEFB5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175E4055"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672" w:type="dxa"/>
            <w:tcBorders>
              <w:top w:val="nil"/>
              <w:left w:val="nil"/>
              <w:bottom w:val="nil"/>
              <w:right w:val="nil"/>
            </w:tcBorders>
            <w:shd w:val="clear" w:color="auto" w:fill="auto"/>
            <w:noWrap/>
            <w:vAlign w:val="bottom"/>
            <w:hideMark/>
          </w:tcPr>
          <w:p w14:paraId="15D6C80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575" w:type="dxa"/>
            <w:tcBorders>
              <w:top w:val="nil"/>
              <w:left w:val="nil"/>
              <w:bottom w:val="nil"/>
              <w:right w:val="single" w:sz="8" w:space="0" w:color="auto"/>
            </w:tcBorders>
            <w:shd w:val="clear" w:color="auto" w:fill="auto"/>
            <w:noWrap/>
            <w:vAlign w:val="bottom"/>
            <w:hideMark/>
          </w:tcPr>
          <w:p w14:paraId="6BC4BBD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636" w:type="dxa"/>
            <w:tcBorders>
              <w:top w:val="nil"/>
              <w:left w:val="nil"/>
              <w:bottom w:val="nil"/>
              <w:right w:val="single" w:sz="8" w:space="0" w:color="auto"/>
            </w:tcBorders>
            <w:shd w:val="clear" w:color="auto" w:fill="auto"/>
            <w:noWrap/>
            <w:vAlign w:val="bottom"/>
            <w:hideMark/>
          </w:tcPr>
          <w:p w14:paraId="7567E8C5"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6</w:t>
            </w:r>
          </w:p>
        </w:tc>
      </w:tr>
      <w:tr w:rsidR="00FB5A6C" w:rsidRPr="00FB5A6C" w14:paraId="47BEA94B" w14:textId="77777777" w:rsidTr="00FB5A6C">
        <w:trPr>
          <w:trHeight w:val="300"/>
        </w:trPr>
        <w:tc>
          <w:tcPr>
            <w:tcW w:w="695" w:type="dxa"/>
            <w:tcBorders>
              <w:top w:val="nil"/>
              <w:left w:val="single" w:sz="8" w:space="0" w:color="auto"/>
              <w:bottom w:val="nil"/>
              <w:right w:val="single" w:sz="8" w:space="0" w:color="auto"/>
            </w:tcBorders>
            <w:shd w:val="clear" w:color="auto" w:fill="auto"/>
            <w:noWrap/>
            <w:vAlign w:val="bottom"/>
            <w:hideMark/>
          </w:tcPr>
          <w:p w14:paraId="44FB9E8A"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23</w:t>
            </w:r>
          </w:p>
        </w:tc>
        <w:tc>
          <w:tcPr>
            <w:tcW w:w="702" w:type="dxa"/>
            <w:tcBorders>
              <w:top w:val="nil"/>
              <w:left w:val="nil"/>
              <w:bottom w:val="nil"/>
              <w:right w:val="nil"/>
            </w:tcBorders>
            <w:shd w:val="clear" w:color="auto" w:fill="auto"/>
            <w:noWrap/>
            <w:vAlign w:val="bottom"/>
            <w:hideMark/>
          </w:tcPr>
          <w:p w14:paraId="03FDED7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nil"/>
              <w:right w:val="nil"/>
            </w:tcBorders>
            <w:shd w:val="clear" w:color="auto" w:fill="auto"/>
            <w:noWrap/>
            <w:vAlign w:val="bottom"/>
            <w:hideMark/>
          </w:tcPr>
          <w:p w14:paraId="3F8B1C0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nil"/>
              <w:right w:val="nil"/>
            </w:tcBorders>
            <w:shd w:val="clear" w:color="auto" w:fill="auto"/>
            <w:noWrap/>
            <w:vAlign w:val="bottom"/>
            <w:hideMark/>
          </w:tcPr>
          <w:p w14:paraId="56BF552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264" w:type="dxa"/>
            <w:tcBorders>
              <w:top w:val="nil"/>
              <w:left w:val="nil"/>
              <w:bottom w:val="nil"/>
              <w:right w:val="nil"/>
            </w:tcBorders>
            <w:shd w:val="clear" w:color="auto" w:fill="auto"/>
            <w:noWrap/>
            <w:vAlign w:val="bottom"/>
            <w:hideMark/>
          </w:tcPr>
          <w:p w14:paraId="0532380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85" w:type="dxa"/>
            <w:tcBorders>
              <w:top w:val="nil"/>
              <w:left w:val="nil"/>
              <w:bottom w:val="nil"/>
              <w:right w:val="nil"/>
            </w:tcBorders>
            <w:shd w:val="clear" w:color="auto" w:fill="auto"/>
            <w:noWrap/>
            <w:vAlign w:val="bottom"/>
            <w:hideMark/>
          </w:tcPr>
          <w:p w14:paraId="729CE26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756" w:type="dxa"/>
            <w:tcBorders>
              <w:top w:val="nil"/>
              <w:left w:val="nil"/>
              <w:bottom w:val="nil"/>
              <w:right w:val="nil"/>
            </w:tcBorders>
            <w:shd w:val="clear" w:color="auto" w:fill="auto"/>
            <w:noWrap/>
            <w:vAlign w:val="bottom"/>
            <w:hideMark/>
          </w:tcPr>
          <w:p w14:paraId="07A64C2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22" w:type="dxa"/>
            <w:tcBorders>
              <w:top w:val="nil"/>
              <w:left w:val="nil"/>
              <w:bottom w:val="nil"/>
              <w:right w:val="nil"/>
            </w:tcBorders>
            <w:shd w:val="clear" w:color="auto" w:fill="auto"/>
            <w:noWrap/>
            <w:vAlign w:val="bottom"/>
            <w:hideMark/>
          </w:tcPr>
          <w:p w14:paraId="11C5548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672" w:type="dxa"/>
            <w:tcBorders>
              <w:top w:val="nil"/>
              <w:left w:val="nil"/>
              <w:bottom w:val="nil"/>
              <w:right w:val="nil"/>
            </w:tcBorders>
            <w:shd w:val="clear" w:color="auto" w:fill="auto"/>
            <w:noWrap/>
            <w:vAlign w:val="bottom"/>
            <w:hideMark/>
          </w:tcPr>
          <w:p w14:paraId="5A49AF3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575" w:type="dxa"/>
            <w:tcBorders>
              <w:top w:val="nil"/>
              <w:left w:val="nil"/>
              <w:bottom w:val="nil"/>
              <w:right w:val="single" w:sz="8" w:space="0" w:color="auto"/>
            </w:tcBorders>
            <w:shd w:val="clear" w:color="auto" w:fill="auto"/>
            <w:noWrap/>
            <w:vAlign w:val="bottom"/>
            <w:hideMark/>
          </w:tcPr>
          <w:p w14:paraId="57D4A75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636" w:type="dxa"/>
            <w:tcBorders>
              <w:top w:val="nil"/>
              <w:left w:val="nil"/>
              <w:bottom w:val="nil"/>
              <w:right w:val="single" w:sz="8" w:space="0" w:color="auto"/>
            </w:tcBorders>
            <w:shd w:val="clear" w:color="auto" w:fill="auto"/>
            <w:noWrap/>
            <w:vAlign w:val="bottom"/>
            <w:hideMark/>
          </w:tcPr>
          <w:p w14:paraId="14241823"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6</w:t>
            </w:r>
          </w:p>
        </w:tc>
      </w:tr>
      <w:tr w:rsidR="00FB5A6C" w:rsidRPr="00FB5A6C" w14:paraId="12533E0D" w14:textId="77777777" w:rsidTr="00FB5A6C">
        <w:trPr>
          <w:trHeight w:val="320"/>
        </w:trPr>
        <w:tc>
          <w:tcPr>
            <w:tcW w:w="695" w:type="dxa"/>
            <w:tcBorders>
              <w:top w:val="nil"/>
              <w:left w:val="single" w:sz="8" w:space="0" w:color="auto"/>
              <w:bottom w:val="single" w:sz="8" w:space="0" w:color="auto"/>
              <w:right w:val="single" w:sz="8" w:space="0" w:color="auto"/>
            </w:tcBorders>
            <w:shd w:val="clear" w:color="auto" w:fill="auto"/>
            <w:noWrap/>
            <w:vAlign w:val="bottom"/>
            <w:hideMark/>
          </w:tcPr>
          <w:p w14:paraId="78716D05"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24</w:t>
            </w:r>
          </w:p>
        </w:tc>
        <w:tc>
          <w:tcPr>
            <w:tcW w:w="702" w:type="dxa"/>
            <w:tcBorders>
              <w:top w:val="nil"/>
              <w:left w:val="nil"/>
              <w:bottom w:val="single" w:sz="8" w:space="0" w:color="auto"/>
              <w:right w:val="nil"/>
            </w:tcBorders>
            <w:shd w:val="clear" w:color="auto" w:fill="auto"/>
            <w:noWrap/>
            <w:vAlign w:val="bottom"/>
            <w:hideMark/>
          </w:tcPr>
          <w:p w14:paraId="327063A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864" w:type="dxa"/>
            <w:tcBorders>
              <w:top w:val="nil"/>
              <w:left w:val="nil"/>
              <w:bottom w:val="single" w:sz="8" w:space="0" w:color="auto"/>
              <w:right w:val="nil"/>
            </w:tcBorders>
            <w:shd w:val="clear" w:color="auto" w:fill="auto"/>
            <w:noWrap/>
            <w:vAlign w:val="bottom"/>
            <w:hideMark/>
          </w:tcPr>
          <w:p w14:paraId="1CAC143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471" w:type="dxa"/>
            <w:tcBorders>
              <w:top w:val="nil"/>
              <w:left w:val="nil"/>
              <w:bottom w:val="single" w:sz="8" w:space="0" w:color="auto"/>
              <w:right w:val="nil"/>
            </w:tcBorders>
            <w:shd w:val="clear" w:color="auto" w:fill="auto"/>
            <w:noWrap/>
            <w:vAlign w:val="bottom"/>
            <w:hideMark/>
          </w:tcPr>
          <w:p w14:paraId="108FBF2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264" w:type="dxa"/>
            <w:tcBorders>
              <w:top w:val="nil"/>
              <w:left w:val="nil"/>
              <w:bottom w:val="single" w:sz="8" w:space="0" w:color="auto"/>
              <w:right w:val="nil"/>
            </w:tcBorders>
            <w:shd w:val="clear" w:color="auto" w:fill="auto"/>
            <w:noWrap/>
            <w:vAlign w:val="bottom"/>
            <w:hideMark/>
          </w:tcPr>
          <w:p w14:paraId="75A4C76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1385" w:type="dxa"/>
            <w:tcBorders>
              <w:top w:val="nil"/>
              <w:left w:val="nil"/>
              <w:bottom w:val="single" w:sz="8" w:space="0" w:color="auto"/>
              <w:right w:val="nil"/>
            </w:tcBorders>
            <w:shd w:val="clear" w:color="auto" w:fill="auto"/>
            <w:noWrap/>
            <w:vAlign w:val="bottom"/>
            <w:hideMark/>
          </w:tcPr>
          <w:p w14:paraId="4D81C56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756" w:type="dxa"/>
            <w:tcBorders>
              <w:top w:val="nil"/>
              <w:left w:val="nil"/>
              <w:bottom w:val="single" w:sz="8" w:space="0" w:color="auto"/>
              <w:right w:val="nil"/>
            </w:tcBorders>
            <w:shd w:val="clear" w:color="auto" w:fill="auto"/>
            <w:noWrap/>
            <w:vAlign w:val="bottom"/>
            <w:hideMark/>
          </w:tcPr>
          <w:p w14:paraId="067DFEDF"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322" w:type="dxa"/>
            <w:tcBorders>
              <w:top w:val="nil"/>
              <w:left w:val="nil"/>
              <w:bottom w:val="single" w:sz="8" w:space="0" w:color="auto"/>
              <w:right w:val="nil"/>
            </w:tcBorders>
            <w:shd w:val="clear" w:color="auto" w:fill="auto"/>
            <w:noWrap/>
            <w:vAlign w:val="bottom"/>
            <w:hideMark/>
          </w:tcPr>
          <w:p w14:paraId="2AA7625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672" w:type="dxa"/>
            <w:tcBorders>
              <w:top w:val="nil"/>
              <w:left w:val="nil"/>
              <w:bottom w:val="single" w:sz="8" w:space="0" w:color="auto"/>
              <w:right w:val="nil"/>
            </w:tcBorders>
            <w:shd w:val="clear" w:color="auto" w:fill="auto"/>
            <w:noWrap/>
            <w:vAlign w:val="bottom"/>
            <w:hideMark/>
          </w:tcPr>
          <w:p w14:paraId="727384D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0</w:t>
            </w:r>
          </w:p>
        </w:tc>
        <w:tc>
          <w:tcPr>
            <w:tcW w:w="575" w:type="dxa"/>
            <w:tcBorders>
              <w:top w:val="nil"/>
              <w:left w:val="nil"/>
              <w:bottom w:val="single" w:sz="8" w:space="0" w:color="auto"/>
              <w:right w:val="single" w:sz="8" w:space="0" w:color="auto"/>
            </w:tcBorders>
            <w:shd w:val="clear" w:color="auto" w:fill="auto"/>
            <w:noWrap/>
            <w:vAlign w:val="bottom"/>
            <w:hideMark/>
          </w:tcPr>
          <w:p w14:paraId="54BBBD30"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1</w:t>
            </w:r>
          </w:p>
        </w:tc>
        <w:tc>
          <w:tcPr>
            <w:tcW w:w="1636" w:type="dxa"/>
            <w:tcBorders>
              <w:top w:val="nil"/>
              <w:left w:val="nil"/>
              <w:bottom w:val="single" w:sz="8" w:space="0" w:color="auto"/>
              <w:right w:val="single" w:sz="8" w:space="0" w:color="auto"/>
            </w:tcBorders>
            <w:shd w:val="clear" w:color="auto" w:fill="auto"/>
            <w:noWrap/>
            <w:vAlign w:val="bottom"/>
            <w:hideMark/>
          </w:tcPr>
          <w:p w14:paraId="4155C42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r>
      <w:tr w:rsidR="00FB5A6C" w:rsidRPr="00FB5A6C" w14:paraId="4B76AA83" w14:textId="77777777" w:rsidTr="00FB5A6C">
        <w:trPr>
          <w:trHeight w:val="320"/>
        </w:trPr>
        <w:tc>
          <w:tcPr>
            <w:tcW w:w="695" w:type="dxa"/>
            <w:tcBorders>
              <w:top w:val="nil"/>
              <w:left w:val="single" w:sz="8" w:space="0" w:color="auto"/>
              <w:bottom w:val="single" w:sz="8" w:space="0" w:color="auto"/>
              <w:right w:val="single" w:sz="8" w:space="0" w:color="auto"/>
            </w:tcBorders>
            <w:shd w:val="clear" w:color="auto" w:fill="auto"/>
            <w:noWrap/>
            <w:vAlign w:val="bottom"/>
            <w:hideMark/>
          </w:tcPr>
          <w:p w14:paraId="1E803471"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Total</w:t>
            </w:r>
          </w:p>
        </w:tc>
        <w:tc>
          <w:tcPr>
            <w:tcW w:w="702" w:type="dxa"/>
            <w:tcBorders>
              <w:top w:val="nil"/>
              <w:left w:val="nil"/>
              <w:bottom w:val="single" w:sz="8" w:space="0" w:color="auto"/>
              <w:right w:val="nil"/>
            </w:tcBorders>
            <w:shd w:val="clear" w:color="auto" w:fill="auto"/>
            <w:noWrap/>
            <w:vAlign w:val="bottom"/>
            <w:hideMark/>
          </w:tcPr>
          <w:p w14:paraId="3768A3F9"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9</w:t>
            </w:r>
          </w:p>
        </w:tc>
        <w:tc>
          <w:tcPr>
            <w:tcW w:w="864" w:type="dxa"/>
            <w:tcBorders>
              <w:top w:val="nil"/>
              <w:left w:val="nil"/>
              <w:bottom w:val="single" w:sz="8" w:space="0" w:color="auto"/>
              <w:right w:val="nil"/>
            </w:tcBorders>
            <w:shd w:val="clear" w:color="auto" w:fill="auto"/>
            <w:noWrap/>
            <w:vAlign w:val="bottom"/>
            <w:hideMark/>
          </w:tcPr>
          <w:p w14:paraId="446767E4"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8</w:t>
            </w:r>
          </w:p>
        </w:tc>
        <w:tc>
          <w:tcPr>
            <w:tcW w:w="471" w:type="dxa"/>
            <w:tcBorders>
              <w:top w:val="nil"/>
              <w:left w:val="nil"/>
              <w:bottom w:val="single" w:sz="8" w:space="0" w:color="auto"/>
              <w:right w:val="nil"/>
            </w:tcBorders>
            <w:shd w:val="clear" w:color="auto" w:fill="auto"/>
            <w:noWrap/>
            <w:vAlign w:val="bottom"/>
            <w:hideMark/>
          </w:tcPr>
          <w:p w14:paraId="4E0966E6"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c>
          <w:tcPr>
            <w:tcW w:w="1264" w:type="dxa"/>
            <w:tcBorders>
              <w:top w:val="nil"/>
              <w:left w:val="nil"/>
              <w:bottom w:val="single" w:sz="8" w:space="0" w:color="auto"/>
              <w:right w:val="nil"/>
            </w:tcBorders>
            <w:shd w:val="clear" w:color="auto" w:fill="auto"/>
            <w:noWrap/>
            <w:vAlign w:val="bottom"/>
            <w:hideMark/>
          </w:tcPr>
          <w:p w14:paraId="59BD73EC"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3</w:t>
            </w:r>
          </w:p>
        </w:tc>
        <w:tc>
          <w:tcPr>
            <w:tcW w:w="1385" w:type="dxa"/>
            <w:tcBorders>
              <w:top w:val="nil"/>
              <w:left w:val="nil"/>
              <w:bottom w:val="single" w:sz="8" w:space="0" w:color="auto"/>
              <w:right w:val="nil"/>
            </w:tcBorders>
            <w:shd w:val="clear" w:color="auto" w:fill="auto"/>
            <w:noWrap/>
            <w:vAlign w:val="bottom"/>
            <w:hideMark/>
          </w:tcPr>
          <w:p w14:paraId="541513ED"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4.5</w:t>
            </w:r>
          </w:p>
        </w:tc>
        <w:tc>
          <w:tcPr>
            <w:tcW w:w="756" w:type="dxa"/>
            <w:tcBorders>
              <w:top w:val="nil"/>
              <w:left w:val="nil"/>
              <w:bottom w:val="single" w:sz="8" w:space="0" w:color="auto"/>
              <w:right w:val="nil"/>
            </w:tcBorders>
            <w:shd w:val="clear" w:color="auto" w:fill="auto"/>
            <w:noWrap/>
            <w:vAlign w:val="bottom"/>
            <w:hideMark/>
          </w:tcPr>
          <w:p w14:paraId="47AA5A37"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3</w:t>
            </w:r>
          </w:p>
        </w:tc>
        <w:tc>
          <w:tcPr>
            <w:tcW w:w="1322" w:type="dxa"/>
            <w:tcBorders>
              <w:top w:val="nil"/>
              <w:left w:val="nil"/>
              <w:bottom w:val="single" w:sz="8" w:space="0" w:color="auto"/>
              <w:right w:val="nil"/>
            </w:tcBorders>
            <w:shd w:val="clear" w:color="auto" w:fill="auto"/>
            <w:noWrap/>
            <w:vAlign w:val="bottom"/>
            <w:hideMark/>
          </w:tcPr>
          <w:p w14:paraId="6D53D821"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3.5</w:t>
            </w:r>
          </w:p>
        </w:tc>
        <w:tc>
          <w:tcPr>
            <w:tcW w:w="672" w:type="dxa"/>
            <w:tcBorders>
              <w:top w:val="nil"/>
              <w:left w:val="nil"/>
              <w:bottom w:val="single" w:sz="8" w:space="0" w:color="auto"/>
              <w:right w:val="nil"/>
            </w:tcBorders>
            <w:shd w:val="clear" w:color="auto" w:fill="auto"/>
            <w:noWrap/>
            <w:vAlign w:val="bottom"/>
            <w:hideMark/>
          </w:tcPr>
          <w:p w14:paraId="44975642"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c>
          <w:tcPr>
            <w:tcW w:w="575" w:type="dxa"/>
            <w:tcBorders>
              <w:top w:val="nil"/>
              <w:left w:val="nil"/>
              <w:bottom w:val="single" w:sz="8" w:space="0" w:color="auto"/>
              <w:right w:val="single" w:sz="8" w:space="0" w:color="auto"/>
            </w:tcBorders>
            <w:shd w:val="clear" w:color="auto" w:fill="auto"/>
            <w:noWrap/>
            <w:vAlign w:val="bottom"/>
            <w:hideMark/>
          </w:tcPr>
          <w:p w14:paraId="7CD50DF2" w14:textId="77777777" w:rsidR="00FB5A6C" w:rsidRPr="00FB5A6C" w:rsidRDefault="00FB5A6C" w:rsidP="00FB5A6C">
            <w:pPr>
              <w:jc w:val="right"/>
              <w:rPr>
                <w:rFonts w:ascii="Calibri" w:eastAsia="Times New Roman" w:hAnsi="Calibri" w:cs="Times New Roman"/>
                <w:color w:val="000000"/>
              </w:rPr>
            </w:pPr>
            <w:r w:rsidRPr="00FB5A6C">
              <w:rPr>
                <w:rFonts w:ascii="Calibri" w:eastAsia="Times New Roman" w:hAnsi="Calibri" w:cs="Times New Roman"/>
                <w:color w:val="000000"/>
              </w:rPr>
              <w:t>5</w:t>
            </w:r>
          </w:p>
        </w:tc>
        <w:tc>
          <w:tcPr>
            <w:tcW w:w="1636" w:type="dxa"/>
            <w:tcBorders>
              <w:top w:val="nil"/>
              <w:left w:val="nil"/>
              <w:bottom w:val="single" w:sz="8" w:space="0" w:color="auto"/>
              <w:right w:val="single" w:sz="8" w:space="0" w:color="auto"/>
            </w:tcBorders>
            <w:shd w:val="clear" w:color="auto" w:fill="auto"/>
            <w:noWrap/>
            <w:vAlign w:val="bottom"/>
            <w:hideMark/>
          </w:tcPr>
          <w:p w14:paraId="1484F34E" w14:textId="77777777" w:rsidR="00FB5A6C" w:rsidRPr="00FB5A6C" w:rsidRDefault="00FB5A6C" w:rsidP="00FB5A6C">
            <w:pPr>
              <w:rPr>
                <w:rFonts w:ascii="Calibri" w:eastAsia="Times New Roman" w:hAnsi="Calibri" w:cs="Times New Roman"/>
                <w:color w:val="000000"/>
              </w:rPr>
            </w:pPr>
            <w:r w:rsidRPr="00FB5A6C">
              <w:rPr>
                <w:rFonts w:ascii="Calibri" w:eastAsia="Times New Roman" w:hAnsi="Calibri" w:cs="Times New Roman"/>
                <w:color w:val="000000"/>
              </w:rPr>
              <w:t> </w:t>
            </w:r>
          </w:p>
        </w:tc>
      </w:tr>
    </w:tbl>
    <w:p w14:paraId="01C6F004" w14:textId="77777777" w:rsidR="00FB5A6C" w:rsidRDefault="00FB5A6C" w:rsidP="000F7E3E">
      <w:pPr>
        <w:jc w:val="both"/>
        <w:rPr>
          <w:rFonts w:ascii="Calibri" w:hAnsi="Calibri" w:cs="Times New Roman"/>
        </w:rPr>
      </w:pPr>
    </w:p>
    <w:p w14:paraId="4FCC96E9" w14:textId="753E81C3" w:rsidR="007F29D8" w:rsidRDefault="002F226B" w:rsidP="000F7E3E">
      <w:pPr>
        <w:jc w:val="both"/>
        <w:rPr>
          <w:rFonts w:ascii="Calibri" w:hAnsi="Calibri" w:cs="Times New Roman"/>
        </w:rPr>
      </w:pPr>
      <w:r>
        <w:rPr>
          <w:rFonts w:ascii="Calibri" w:hAnsi="Calibri" w:cs="Times New Roman"/>
        </w:rPr>
        <w:t xml:space="preserve">From here we can see that most features that affects the Gross Revenue are ARPPU and ARPDAU. However, ARPPU and ARPDAU will be high if the Gross Revenue is small, most of the time if revenue increased ARPPU and ARPDAU will increase too. Increase in ARPDAU doesn’t necessarily </w:t>
      </w:r>
      <w:r w:rsidR="007F29D8">
        <w:rPr>
          <w:rFonts w:ascii="Calibri" w:hAnsi="Calibri" w:cs="Times New Roman"/>
        </w:rPr>
        <w:t>affect</w:t>
      </w:r>
      <w:r>
        <w:rPr>
          <w:rFonts w:ascii="Calibri" w:hAnsi="Calibri" w:cs="Times New Roman"/>
        </w:rPr>
        <w:t xml:space="preserve"> by increase in DAU </w:t>
      </w:r>
      <w:r w:rsidR="007F29D8">
        <w:rPr>
          <w:rFonts w:ascii="Calibri" w:hAnsi="Calibri" w:cs="Times New Roman"/>
        </w:rPr>
        <w:t xml:space="preserve">and slight increase in PU will increase the ARPPU, </w:t>
      </w:r>
      <w:r>
        <w:rPr>
          <w:rFonts w:ascii="Calibri" w:hAnsi="Calibri" w:cs="Times New Roman"/>
        </w:rPr>
        <w:t xml:space="preserve">so we will neglect this. </w:t>
      </w:r>
    </w:p>
    <w:p w14:paraId="7A05052E" w14:textId="77777777" w:rsidR="007F29D8" w:rsidRDefault="007F29D8" w:rsidP="000F7E3E">
      <w:pPr>
        <w:jc w:val="both"/>
        <w:rPr>
          <w:rFonts w:ascii="Calibri" w:hAnsi="Calibri" w:cs="Times New Roman"/>
        </w:rPr>
      </w:pPr>
    </w:p>
    <w:p w14:paraId="02C2F27E" w14:textId="489EF0B1" w:rsidR="00130171" w:rsidRDefault="002F226B" w:rsidP="000F7E3E">
      <w:pPr>
        <w:jc w:val="both"/>
        <w:rPr>
          <w:rFonts w:ascii="Calibri" w:hAnsi="Calibri" w:cs="Times New Roman"/>
        </w:rPr>
      </w:pPr>
      <w:r>
        <w:rPr>
          <w:rFonts w:ascii="Calibri" w:hAnsi="Calibri" w:cs="Times New Roman"/>
        </w:rPr>
        <w:t>Looking at the three top features are Paying Users, New Users, and DAU.</w:t>
      </w:r>
      <w:r w:rsidR="007F29D8">
        <w:rPr>
          <w:rFonts w:ascii="Calibri" w:hAnsi="Calibri" w:cs="Times New Roman"/>
        </w:rPr>
        <w:t xml:space="preserve"> New Users will not influence the revenue significantly, since we can see from the first table that when ARPDAU increase (which is affected by increase in DAU), Gross Revenue not always increased. So from these 3 the most influential feature towards Gross Revenue will be Paying Users. If Paying Users (PU) increased in number, Gross Revenue most likely increases too. Daily Active Users don’t really give high revenue, probably since the revenue obtained from there are only from advertising. Not all DAU will purchase in-app-purchases. However, when PU purchased items or characters, the revenue will straight go to the revenue.</w:t>
      </w:r>
    </w:p>
    <w:p w14:paraId="51371149" w14:textId="77777777" w:rsidR="007F29D8" w:rsidRDefault="007F29D8" w:rsidP="000F7E3E">
      <w:pPr>
        <w:jc w:val="both"/>
        <w:rPr>
          <w:rFonts w:ascii="Calibri" w:hAnsi="Calibri" w:cs="Times New Roman"/>
        </w:rPr>
      </w:pPr>
    </w:p>
    <w:p w14:paraId="1484819B" w14:textId="14CCF1AD" w:rsidR="007F29D8" w:rsidRDefault="007F29D8" w:rsidP="000F7E3E">
      <w:pPr>
        <w:jc w:val="both"/>
        <w:rPr>
          <w:rFonts w:ascii="Calibri" w:hAnsi="Calibri" w:cs="Times New Roman"/>
        </w:rPr>
      </w:pPr>
      <w:r>
        <w:rPr>
          <w:rFonts w:ascii="Calibri" w:hAnsi="Calibri" w:cs="Times New Roman"/>
        </w:rPr>
        <w:t>Second will be Retention, especially Retention after 30 days. It is stated in the case study that the higher the retention, which is affected by playtime as well as average session, the higher chance a user will spend money in purchasing items. It will be much more help if there is data for Retention in the middle of 7 and 30 days, so we can examine what makes users quit/uninstall the game. The higher R30 the more opportunity a user will become paying users.</w:t>
      </w:r>
    </w:p>
    <w:p w14:paraId="272942A8" w14:textId="77777777" w:rsidR="007F29D8" w:rsidRDefault="007F29D8" w:rsidP="000F7E3E">
      <w:pPr>
        <w:jc w:val="both"/>
        <w:rPr>
          <w:rFonts w:ascii="Calibri" w:hAnsi="Calibri" w:cs="Times New Roman"/>
        </w:rPr>
      </w:pPr>
    </w:p>
    <w:p w14:paraId="74EEE239" w14:textId="7E471582" w:rsidR="007F29D8" w:rsidRDefault="007F29D8" w:rsidP="000F7E3E">
      <w:pPr>
        <w:jc w:val="both"/>
        <w:rPr>
          <w:rFonts w:ascii="Calibri" w:hAnsi="Calibri" w:cs="Times New Roman"/>
        </w:rPr>
      </w:pPr>
      <w:r>
        <w:rPr>
          <w:rFonts w:ascii="Calibri" w:hAnsi="Calibri" w:cs="Times New Roman"/>
        </w:rPr>
        <w:t>In conclusion 2 KPIs Tim needs to pay attention to are:</w:t>
      </w:r>
    </w:p>
    <w:p w14:paraId="0B7C11BB" w14:textId="6DFAF208" w:rsidR="007F29D8" w:rsidRPr="007F29D8" w:rsidRDefault="007F29D8" w:rsidP="007F29D8">
      <w:pPr>
        <w:pStyle w:val="ListParagraph"/>
        <w:numPr>
          <w:ilvl w:val="0"/>
          <w:numId w:val="13"/>
        </w:numPr>
        <w:jc w:val="both"/>
        <w:rPr>
          <w:rFonts w:ascii="Calibri" w:hAnsi="Calibri" w:cs="Times New Roman"/>
        </w:rPr>
      </w:pPr>
      <w:r w:rsidRPr="007F29D8">
        <w:rPr>
          <w:rFonts w:ascii="Calibri" w:hAnsi="Calibri" w:cs="Times New Roman"/>
        </w:rPr>
        <w:t xml:space="preserve">Paying Users </w:t>
      </w:r>
    </w:p>
    <w:p w14:paraId="0811280C" w14:textId="5D7BE46A" w:rsidR="007F29D8" w:rsidRDefault="007F29D8" w:rsidP="007F29D8">
      <w:pPr>
        <w:pStyle w:val="ListParagraph"/>
        <w:numPr>
          <w:ilvl w:val="0"/>
          <w:numId w:val="13"/>
        </w:numPr>
        <w:jc w:val="both"/>
        <w:rPr>
          <w:rFonts w:ascii="Calibri" w:hAnsi="Calibri" w:cs="Times New Roman"/>
        </w:rPr>
      </w:pPr>
      <w:r>
        <w:rPr>
          <w:rFonts w:ascii="Calibri" w:hAnsi="Calibri" w:cs="Times New Roman"/>
        </w:rPr>
        <w:t>Retention after 30 Days</w:t>
      </w:r>
    </w:p>
    <w:p w14:paraId="3CD1F39F" w14:textId="77777777" w:rsidR="007F29D8" w:rsidRDefault="007F29D8" w:rsidP="007F29D8">
      <w:pPr>
        <w:jc w:val="both"/>
        <w:rPr>
          <w:rFonts w:ascii="Calibri" w:hAnsi="Calibri" w:cs="Times New Roman"/>
        </w:rPr>
      </w:pPr>
    </w:p>
    <w:p w14:paraId="79773A1F" w14:textId="2F6FC8E6" w:rsidR="007F29D8" w:rsidRPr="007F29D8" w:rsidRDefault="007F29D8" w:rsidP="007F29D8">
      <w:pPr>
        <w:jc w:val="both"/>
        <w:rPr>
          <w:rFonts w:ascii="Calibri" w:hAnsi="Calibri" w:cs="Times New Roman"/>
        </w:rPr>
      </w:pPr>
      <w:r>
        <w:rPr>
          <w:rFonts w:ascii="Calibri" w:hAnsi="Calibri" w:cs="Times New Roman"/>
        </w:rPr>
        <w:t xml:space="preserve">There will be much help too if Tim could get Cost Per Acquisition to check the efficiency of Marketing Campaign, </w:t>
      </w:r>
      <w:r w:rsidR="00410A1D">
        <w:rPr>
          <w:rFonts w:ascii="Calibri" w:hAnsi="Calibri" w:cs="Times New Roman"/>
        </w:rPr>
        <w:t>since the higher number of New Users, the more probability of converting them into Paying Users. Other aspect to be considered is Stickiness, which can be calculated by dividing Daily Active Users with Monthly Active Users. The higher the stickiness, the more Tim could know the addictivity of Game X, which will also influence the performance.</w:t>
      </w: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147EA3A5" w:rsidR="0091753D" w:rsidRDefault="007B0244" w:rsidP="007B0244">
      <w:pPr>
        <w:jc w:val="both"/>
        <w:rPr>
          <w:rFonts w:ascii="Calibri" w:hAnsi="Calibri" w:cs="Times New Roman"/>
        </w:rPr>
      </w:pPr>
      <w:r>
        <w:rPr>
          <w:rFonts w:ascii="Calibri" w:hAnsi="Calibri" w:cs="Times New Roman"/>
        </w:rPr>
        <w:tab/>
        <w:t xml:space="preserve">To explain the problem of Game X, I think there are two major problems. First, the problem of Game X is between the management. The resignation of the previous PM shouldn’t have stopped the campaign. Although not explained in specific detail, we can see that overall the paid users in 2018 dropped very low comparing to the paid users from 2017. From the User Acquisition Media, none of the campaigns seem to reach more than 10,000 users. Which in 2017 considered the lowest. The changes in acquisition media affect a lot towards the new user results. Although, the new users acquisition doesn’t influence heavily upon the revenue as much as the loyal users, there are certain aspects that are impacted by the new users, such as </w:t>
      </w:r>
      <w:r w:rsidR="00A94C74">
        <w:rPr>
          <w:rFonts w:ascii="Calibri" w:hAnsi="Calibri" w:cs="Times New Roman"/>
        </w:rPr>
        <w:t xml:space="preserve">the Engagement KPI’s. By having more new users, mean there’ll be more chances to increase the brand awareness towards the public. Also, it seems like the new campaign (2018) didn’t go in sync with the events implemented in the game, thus making the revenue very low. There must be a balance between the campaign as well as the events &amp; IAP, to get a better retention. There needs to be a more detailed data on the Cost per Acquisition for each </w:t>
      </w:r>
      <w:r w:rsidR="007C764C">
        <w:rPr>
          <w:rFonts w:ascii="Calibri" w:hAnsi="Calibri" w:cs="Times New Roman"/>
        </w:rPr>
        <w:t>campaign</w:t>
      </w:r>
      <w:r w:rsidR="00A94C74">
        <w:rPr>
          <w:rFonts w:ascii="Calibri" w:hAnsi="Calibri" w:cs="Times New Roman"/>
        </w:rPr>
        <w:t>.</w:t>
      </w:r>
    </w:p>
    <w:p w14:paraId="3B9EF7FD" w14:textId="77777777" w:rsidR="00A94C74" w:rsidRDefault="00A94C74" w:rsidP="007B0244">
      <w:pPr>
        <w:jc w:val="both"/>
        <w:rPr>
          <w:rFonts w:ascii="Calibri" w:hAnsi="Calibri" w:cs="Times New Roman"/>
        </w:rPr>
      </w:pPr>
    </w:p>
    <w:p w14:paraId="7AA33E53" w14:textId="5958A491" w:rsidR="00A94C74" w:rsidRDefault="00A94C74" w:rsidP="007B0244">
      <w:pPr>
        <w:jc w:val="both"/>
        <w:rPr>
          <w:rFonts w:ascii="Calibri" w:hAnsi="Calibri" w:cs="Times New Roman"/>
        </w:rPr>
      </w:pPr>
      <w:r>
        <w:rPr>
          <w:rFonts w:ascii="Calibri" w:hAnsi="Calibri" w:cs="Times New Roman"/>
        </w:rPr>
        <w:tab/>
        <w:t xml:space="preserve">Second important aspect is the user experience. New users tend to have less patience than active loyal users or paying users. They wanted to know how the game </w:t>
      </w:r>
      <w:proofErr w:type="gramStart"/>
      <w:r>
        <w:rPr>
          <w:rFonts w:ascii="Calibri" w:hAnsi="Calibri" w:cs="Times New Roman"/>
        </w:rPr>
        <w:t>will</w:t>
      </w:r>
      <w:proofErr w:type="gramEnd"/>
      <w:r>
        <w:rPr>
          <w:rFonts w:ascii="Calibri" w:hAnsi="Calibri" w:cs="Times New Roman"/>
        </w:rPr>
        <w:t xml:space="preserve"> be, thus the increase in size affect the loading screen before playing. In 2018, size is increased and registration is added more, making new users churn rate high. Splash screen to download data create a 33.33% churn rate, followed by downloading data to registration another 20%. Once the user gets into the Tutorial 1, there was only 46.6% users left since when they enter the game. This means about half the users left before even trying the tutorials.</w:t>
      </w:r>
      <w:r w:rsidR="007C764C">
        <w:rPr>
          <w:rFonts w:ascii="Calibri" w:hAnsi="Calibri" w:cs="Times New Roman"/>
        </w:rPr>
        <w:t xml:space="preserve"> Making Tutorial 2 (Funnel 2018) harder seems to work, with users wanted to leave after Tutorial 2 only less than 1%. However, from Tutorial 1 to Tutorial 2 there were already 16.67% users left. Perhaps there should be an option whether a user could choose if they want to go for another Tutorial or straight to Home Screen.</w:t>
      </w:r>
    </w:p>
    <w:p w14:paraId="6CC44E91" w14:textId="77777777" w:rsidR="0091753D" w:rsidRDefault="0091753D"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Default="00620BA4" w:rsidP="00E94370">
      <w:pPr>
        <w:jc w:val="both"/>
        <w:rPr>
          <w:rFonts w:ascii="Calibri" w:hAnsi="Calibri" w:cs="Times New Roman"/>
          <w:b/>
        </w:rPr>
      </w:pPr>
    </w:p>
    <w:p w14:paraId="00C27765" w14:textId="0B8F5880" w:rsidR="006E57E1" w:rsidRPr="006E57E1" w:rsidRDefault="006E57E1" w:rsidP="00E94370">
      <w:pPr>
        <w:pStyle w:val="ListParagraph"/>
        <w:numPr>
          <w:ilvl w:val="0"/>
          <w:numId w:val="11"/>
        </w:numPr>
        <w:jc w:val="both"/>
        <w:rPr>
          <w:rFonts w:ascii="Calibri" w:hAnsi="Calibri" w:cs="Times New Roman"/>
        </w:rPr>
      </w:pPr>
      <w:r w:rsidRPr="006E57E1">
        <w:rPr>
          <w:rFonts w:ascii="Calibri" w:hAnsi="Calibri" w:cs="Times New Roman"/>
        </w:rPr>
        <w:t>Increase the addictivity/stickiness of the game play.</w:t>
      </w:r>
    </w:p>
    <w:p w14:paraId="1595AC63" w14:textId="5903B2BE" w:rsidR="006E57E1" w:rsidRDefault="006E57E1" w:rsidP="00E94370">
      <w:pPr>
        <w:pStyle w:val="ListParagraph"/>
        <w:numPr>
          <w:ilvl w:val="0"/>
          <w:numId w:val="11"/>
        </w:numPr>
        <w:jc w:val="both"/>
        <w:rPr>
          <w:rFonts w:ascii="Calibri" w:hAnsi="Calibri" w:cs="Times New Roman"/>
        </w:rPr>
      </w:pPr>
      <w:r>
        <w:rPr>
          <w:rFonts w:ascii="Calibri" w:hAnsi="Calibri" w:cs="Times New Roman"/>
        </w:rPr>
        <w:t>Add more interesting In-App-Purchases.</w:t>
      </w:r>
    </w:p>
    <w:p w14:paraId="1101DD9C" w14:textId="16304091" w:rsidR="00706B95" w:rsidRDefault="006E57E1" w:rsidP="00E94370">
      <w:pPr>
        <w:pStyle w:val="ListParagraph"/>
        <w:numPr>
          <w:ilvl w:val="0"/>
          <w:numId w:val="11"/>
        </w:numPr>
        <w:jc w:val="both"/>
        <w:rPr>
          <w:rFonts w:ascii="Calibri" w:hAnsi="Calibri" w:cs="Times New Roman"/>
        </w:rPr>
      </w:pPr>
      <w:r>
        <w:rPr>
          <w:rFonts w:ascii="Calibri" w:hAnsi="Calibri" w:cs="Times New Roman"/>
        </w:rPr>
        <w:t>Better User Experience.</w:t>
      </w:r>
    </w:p>
    <w:p w14:paraId="0DA6126F" w14:textId="13427E19" w:rsidR="00E94370" w:rsidRDefault="006C7FA6" w:rsidP="00E94370">
      <w:pPr>
        <w:pStyle w:val="ListParagraph"/>
        <w:numPr>
          <w:ilvl w:val="0"/>
          <w:numId w:val="11"/>
        </w:numPr>
        <w:jc w:val="both"/>
        <w:rPr>
          <w:rFonts w:ascii="Calibri" w:hAnsi="Calibri" w:cs="Times New Roman"/>
        </w:rPr>
      </w:pPr>
      <w:r>
        <w:rPr>
          <w:rFonts w:ascii="Calibri" w:hAnsi="Calibri" w:cs="Times New Roman"/>
        </w:rPr>
        <w:t>Make simultaneously effectivity between the events implemented as well as marketing campaigns, to ensure that there are high number of new users along with high number of paying users. Also the bonus is getting the brand awareness to the public.</w:t>
      </w:r>
    </w:p>
    <w:p w14:paraId="78EC30D6" w14:textId="77777777" w:rsidR="00E94370" w:rsidRPr="00E94370" w:rsidRDefault="00E94370" w:rsidP="00E94370">
      <w:pPr>
        <w:jc w:val="both"/>
        <w:rPr>
          <w:rFonts w:ascii="Calibri" w:hAnsi="Calibri" w:cs="Times New Roman"/>
        </w:rPr>
      </w:pPr>
    </w:p>
    <w:p w14:paraId="58F6ADD2" w14:textId="24512261" w:rsidR="00E94370" w:rsidRDefault="00E94370" w:rsidP="00E94370">
      <w:pPr>
        <w:jc w:val="both"/>
        <w:rPr>
          <w:rFonts w:ascii="Calibri" w:hAnsi="Calibri" w:cs="Times New Roman"/>
        </w:rPr>
      </w:pPr>
      <w:r>
        <w:rPr>
          <w:rFonts w:ascii="Calibri" w:hAnsi="Calibri" w:cs="Times New Roman"/>
        </w:rPr>
        <w:t xml:space="preserve">Mostly, the problem that makes Game X didn’t function well is the </w:t>
      </w:r>
      <w:r>
        <w:rPr>
          <w:rFonts w:ascii="Calibri" w:hAnsi="Calibri" w:cs="Times New Roman"/>
          <w:b/>
        </w:rPr>
        <w:t>marketing campaigns that were stopped</w:t>
      </w:r>
      <w:r>
        <w:rPr>
          <w:rFonts w:ascii="Calibri" w:hAnsi="Calibri" w:cs="Times New Roman"/>
        </w:rPr>
        <w:t xml:space="preserve"> </w:t>
      </w:r>
      <w:r>
        <w:rPr>
          <w:rFonts w:ascii="Calibri" w:hAnsi="Calibri" w:cs="Times New Roman"/>
          <w:b/>
        </w:rPr>
        <w:t xml:space="preserve">and not synchronized with the events/In-App-Purchase in the game, the game play or the funnel section; </w:t>
      </w:r>
      <w:r>
        <w:rPr>
          <w:rFonts w:ascii="Calibri" w:hAnsi="Calibri" w:cs="Times New Roman"/>
        </w:rPr>
        <w:t>which include the experience of new users as well as paying users.</w:t>
      </w:r>
    </w:p>
    <w:p w14:paraId="5CD2F6C1" w14:textId="77777777" w:rsidR="00E94370" w:rsidRDefault="00E94370" w:rsidP="00E94370">
      <w:pPr>
        <w:jc w:val="both"/>
        <w:rPr>
          <w:rFonts w:ascii="Calibri" w:hAnsi="Calibri" w:cs="Times New Roman"/>
        </w:rPr>
      </w:pPr>
    </w:p>
    <w:p w14:paraId="57A0BC07" w14:textId="7C89FCD4" w:rsidR="00E94370" w:rsidRDefault="00E94370" w:rsidP="00E94370">
      <w:pPr>
        <w:jc w:val="both"/>
        <w:rPr>
          <w:rFonts w:ascii="Calibri" w:hAnsi="Calibri" w:cs="Times New Roman"/>
        </w:rPr>
      </w:pPr>
      <w:r>
        <w:rPr>
          <w:rFonts w:ascii="Calibri" w:hAnsi="Calibri" w:cs="Times New Roman"/>
        </w:rPr>
        <w:t xml:space="preserve">To increase performance, perhaps there must be a faster splash screen and least download data and easier registration, then followed by a very interesting Tutorial 1. After the Tutorial 1 is done, give users option to go straight to Home Screen with the option of opening Tutorial 2 and 3 later on if they feel like they need to after experiencing the real game, or go to Tutorial 2. This will increase the %Churn of users, and also adds higher retention after days. </w:t>
      </w:r>
    </w:p>
    <w:p w14:paraId="479D671F" w14:textId="77777777" w:rsidR="00E94370" w:rsidRDefault="00E94370" w:rsidP="00E94370">
      <w:pPr>
        <w:jc w:val="both"/>
        <w:rPr>
          <w:rFonts w:ascii="Calibri" w:hAnsi="Calibri" w:cs="Times New Roman"/>
        </w:rPr>
      </w:pPr>
    </w:p>
    <w:p w14:paraId="54B558C9" w14:textId="409FC76F" w:rsidR="00E94370" w:rsidRDefault="00E94370" w:rsidP="00E94370">
      <w:pPr>
        <w:jc w:val="both"/>
        <w:rPr>
          <w:rFonts w:ascii="Calibri" w:hAnsi="Calibri" w:cs="Times New Roman"/>
        </w:rPr>
      </w:pPr>
      <w:r>
        <w:rPr>
          <w:rFonts w:ascii="Calibri" w:hAnsi="Calibri" w:cs="Times New Roman"/>
        </w:rPr>
        <w:t>In order to increase the Revenue, having the above steps will add a better performance in Retention, which is 1 of the KPI’s I believed, is very influential. After that, interesting events and in-app-purchase will make the Active Users become Paying Users.</w:t>
      </w:r>
      <w:r w:rsidR="00A618F2">
        <w:rPr>
          <w:rFonts w:ascii="Calibri" w:hAnsi="Calibri" w:cs="Times New Roman"/>
        </w:rPr>
        <w:t xml:space="preserve"> </w:t>
      </w:r>
      <w:r w:rsidR="00F0359E">
        <w:rPr>
          <w:rFonts w:ascii="Calibri" w:hAnsi="Calibri" w:cs="Times New Roman"/>
        </w:rPr>
        <w:t xml:space="preserve">Adding extra dungeons seems to be an effective way to keep users engaged too, based on Development Log. It is proved to increase </w:t>
      </w:r>
      <w:r w:rsidR="00AB6634">
        <w:rPr>
          <w:rFonts w:ascii="Calibri" w:hAnsi="Calibri" w:cs="Times New Roman"/>
        </w:rPr>
        <w:t>the Average Session, perhaps due to the unability of users to save mode (if that’s the case), and interesting new enemies to battle with. Also the same</w:t>
      </w:r>
      <w:r w:rsidR="00E003B7">
        <w:rPr>
          <w:rFonts w:ascii="Calibri" w:hAnsi="Calibri" w:cs="Times New Roman"/>
        </w:rPr>
        <w:t xml:space="preserve"> </w:t>
      </w:r>
      <w:proofErr w:type="gramStart"/>
      <w:r w:rsidR="00E003B7">
        <w:rPr>
          <w:rFonts w:ascii="Calibri" w:hAnsi="Calibri" w:cs="Times New Roman"/>
        </w:rPr>
        <w:t>effects</w:t>
      </w:r>
      <w:proofErr w:type="gramEnd"/>
      <w:r w:rsidR="00AB6634">
        <w:rPr>
          <w:rFonts w:ascii="Calibri" w:hAnsi="Calibri" w:cs="Times New Roman"/>
        </w:rPr>
        <w:t xml:space="preserve"> with adding new playable/gacha character</w:t>
      </w:r>
      <w:r w:rsidR="00E003B7">
        <w:rPr>
          <w:rFonts w:ascii="Calibri" w:hAnsi="Calibri" w:cs="Times New Roman"/>
        </w:rPr>
        <w:t>s</w:t>
      </w:r>
      <w:r w:rsidR="00AB6634">
        <w:rPr>
          <w:rFonts w:ascii="Calibri" w:hAnsi="Calibri" w:cs="Times New Roman"/>
        </w:rPr>
        <w:t xml:space="preserve">. </w:t>
      </w:r>
      <w:r w:rsidR="00DF43B5">
        <w:rPr>
          <w:rFonts w:ascii="Calibri" w:hAnsi="Calibri" w:cs="Times New Roman"/>
        </w:rPr>
        <w:t xml:space="preserve">There must also be a better coordination in implementing marketing campaigns and new characters/programs/events in the game. For example, if there will be events in March, Game X should bring new characters in the beginning of February and Marketing Division should start the marketing campaign in February. This has </w:t>
      </w:r>
      <w:r w:rsidR="005B404F">
        <w:rPr>
          <w:rFonts w:ascii="Calibri" w:hAnsi="Calibri" w:cs="Times New Roman"/>
        </w:rPr>
        <w:t xml:space="preserve">to be planned with annual budget, to make sure both the amount of New Users and Paying Users increased. </w:t>
      </w:r>
      <w:r w:rsidR="00D166E9">
        <w:rPr>
          <w:rFonts w:ascii="Calibri" w:hAnsi="Calibri" w:cs="Times New Roman"/>
        </w:rPr>
        <w:t>The most effective way of User Acquisition seems to be Banner and Video altogether, so perhaps only implement that in the months where Revenue starts to decrease, such as in Q3 or Q4.</w:t>
      </w:r>
      <w:r w:rsidR="00F30089">
        <w:rPr>
          <w:rFonts w:ascii="Calibri" w:hAnsi="Calibri" w:cs="Times New Roman"/>
        </w:rPr>
        <w:t xml:space="preserve"> In the more stable months, use cheaper user acquisitions.</w:t>
      </w:r>
    </w:p>
    <w:p w14:paraId="380480A8" w14:textId="77777777" w:rsidR="00E003B7" w:rsidRPr="00E94370" w:rsidRDefault="00E003B7" w:rsidP="00E94370">
      <w:pPr>
        <w:jc w:val="both"/>
        <w:rPr>
          <w:rFonts w:ascii="Calibri" w:hAnsi="Calibri" w:cs="Times New Roman"/>
        </w:rPr>
      </w:pPr>
    </w:p>
    <w:p w14:paraId="173E21FD" w14:textId="77777777" w:rsidR="00620BA4" w:rsidRDefault="00620BA4" w:rsidP="00620BA4">
      <w:pPr>
        <w:rPr>
          <w:rFonts w:ascii="Calibri" w:hAnsi="Calibri" w:cs="Times New Roman"/>
          <w:b/>
        </w:rPr>
      </w:pPr>
    </w:p>
    <w:p w14:paraId="419F7FF8" w14:textId="77777777" w:rsidR="00E94370" w:rsidRDefault="00E94370" w:rsidP="00620BA4">
      <w:pPr>
        <w:rPr>
          <w:rFonts w:ascii="Calibri" w:hAnsi="Calibri" w:cs="Times New Roman"/>
          <w:b/>
        </w:rPr>
      </w:pPr>
    </w:p>
    <w:p w14:paraId="1EFD3399" w14:textId="77777777" w:rsidR="00E94370" w:rsidRDefault="00E94370" w:rsidP="00620BA4">
      <w:pPr>
        <w:rPr>
          <w:rFonts w:ascii="Calibri" w:hAnsi="Calibri" w:cs="Times New Roman"/>
          <w:b/>
        </w:rPr>
      </w:pPr>
    </w:p>
    <w:p w14:paraId="406B45AC" w14:textId="003768F0" w:rsidR="00E94370" w:rsidRDefault="00E94370" w:rsidP="00620BA4">
      <w:pPr>
        <w:rPr>
          <w:rFonts w:ascii="Calibri" w:hAnsi="Calibri" w:cs="Times New Roman"/>
          <w:b/>
        </w:rPr>
      </w:pPr>
      <w:r>
        <w:rPr>
          <w:noProof/>
        </w:rPr>
        <w:drawing>
          <wp:inline distT="0" distB="0" distL="0" distR="0" wp14:anchorId="68C17821" wp14:editId="20992F7E">
            <wp:extent cx="5270500" cy="2835334"/>
            <wp:effectExtent l="0" t="0" r="12700" b="349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BA72AC" w14:textId="77777777" w:rsidR="00E909E6" w:rsidRDefault="00E909E6" w:rsidP="00620BA4">
      <w:pPr>
        <w:rPr>
          <w:rFonts w:ascii="Calibri" w:hAnsi="Calibri" w:cs="Times New Roman"/>
          <w:b/>
        </w:rPr>
      </w:pPr>
    </w:p>
    <w:p w14:paraId="0BCDCF0F" w14:textId="77777777" w:rsidR="00E909E6" w:rsidRDefault="00E909E6" w:rsidP="00620BA4">
      <w:pPr>
        <w:rPr>
          <w:rFonts w:ascii="Calibri" w:hAnsi="Calibri" w:cs="Times New Roman"/>
          <w:b/>
        </w:rPr>
      </w:pPr>
    </w:p>
    <w:p w14:paraId="718D2A1F" w14:textId="292E8362" w:rsidR="00E909E6" w:rsidRDefault="00E909E6" w:rsidP="00620BA4">
      <w:pPr>
        <w:rPr>
          <w:rFonts w:ascii="Calibri" w:hAnsi="Calibri" w:cs="Times New Roman"/>
          <w:b/>
        </w:rPr>
      </w:pPr>
      <w:r>
        <w:rPr>
          <w:noProof/>
        </w:rPr>
        <w:drawing>
          <wp:inline distT="0" distB="0" distL="0" distR="0" wp14:anchorId="787306F6" wp14:editId="619BDA3A">
            <wp:extent cx="5270500" cy="2826184"/>
            <wp:effectExtent l="0" t="0" r="127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5CB07" w14:textId="77777777" w:rsidR="00E909E6" w:rsidRDefault="00E909E6" w:rsidP="00620BA4">
      <w:pPr>
        <w:rPr>
          <w:rFonts w:ascii="Calibri" w:hAnsi="Calibri" w:cs="Times New Roman"/>
          <w:b/>
        </w:rPr>
      </w:pPr>
    </w:p>
    <w:p w14:paraId="38CDBA4A" w14:textId="4A7DC650" w:rsidR="00F32DF7" w:rsidRPr="00F32DF7" w:rsidRDefault="00F32DF7" w:rsidP="009B74CF">
      <w:pPr>
        <w:jc w:val="both"/>
        <w:rPr>
          <w:rFonts w:ascii="Calibri" w:hAnsi="Calibri" w:cs="Times New Roman"/>
          <w:u w:val="single"/>
        </w:rPr>
      </w:pPr>
      <w:r w:rsidRPr="00F32DF7">
        <w:rPr>
          <w:rFonts w:ascii="Calibri" w:hAnsi="Calibri" w:cs="Times New Roman"/>
          <w:u w:val="single"/>
        </w:rPr>
        <w:t>New Users Behaviour</w:t>
      </w:r>
      <w:r w:rsidR="007C2493">
        <w:rPr>
          <w:rFonts w:ascii="Calibri" w:hAnsi="Calibri" w:cs="Times New Roman"/>
          <w:u w:val="single"/>
        </w:rPr>
        <w:t xml:space="preserve"> Towards Conversion Rate</w:t>
      </w:r>
    </w:p>
    <w:p w14:paraId="477071F0" w14:textId="77777777" w:rsidR="00F32DF7" w:rsidRDefault="00F32DF7" w:rsidP="009B74CF">
      <w:pPr>
        <w:jc w:val="both"/>
        <w:rPr>
          <w:rFonts w:ascii="Calibri" w:hAnsi="Calibri" w:cs="Times New Roman"/>
        </w:rPr>
      </w:pPr>
    </w:p>
    <w:p w14:paraId="611D9B3F" w14:textId="51B3D70F" w:rsidR="00177E19" w:rsidRDefault="00177E19" w:rsidP="009B74CF">
      <w:pPr>
        <w:jc w:val="both"/>
        <w:rPr>
          <w:rFonts w:ascii="Calibri" w:hAnsi="Calibri" w:cs="Times New Roman"/>
        </w:rPr>
      </w:pPr>
      <w:r>
        <w:rPr>
          <w:rFonts w:ascii="Calibri" w:hAnsi="Calibri" w:cs="Times New Roman"/>
        </w:rPr>
        <w:t>a. New User</w:t>
      </w:r>
      <w:r w:rsidR="007C2493">
        <w:rPr>
          <w:rFonts w:ascii="Calibri" w:hAnsi="Calibri" w:cs="Times New Roman"/>
        </w:rPr>
        <w:t>s</w:t>
      </w:r>
    </w:p>
    <w:p w14:paraId="42D4452C" w14:textId="164EC179" w:rsidR="00703BCD" w:rsidRDefault="001D2D28" w:rsidP="00703BCD">
      <w:pPr>
        <w:jc w:val="both"/>
        <w:rPr>
          <w:rFonts w:ascii="Calibri" w:hAnsi="Calibri" w:cs="Times New Roman"/>
        </w:rPr>
      </w:pPr>
      <w:r>
        <w:rPr>
          <w:rFonts w:ascii="Calibri" w:hAnsi="Calibri" w:cs="Times New Roman"/>
        </w:rPr>
        <w:tab/>
      </w:r>
      <w:r w:rsidR="009B74CF">
        <w:rPr>
          <w:rFonts w:ascii="Calibri" w:hAnsi="Calibri" w:cs="Times New Roman"/>
        </w:rPr>
        <w:t xml:space="preserve">In 2017, New User (NU) reached peak on April ’17 at 191,966 users. Based on the User Acquisition data from </w:t>
      </w:r>
      <w:proofErr w:type="gramStart"/>
      <w:r w:rsidR="00F32DF7">
        <w:rPr>
          <w:rFonts w:ascii="Calibri" w:hAnsi="Calibri" w:cs="Times New Roman"/>
        </w:rPr>
        <w:t>Marketing</w:t>
      </w:r>
      <w:proofErr w:type="gramEnd"/>
      <w:r w:rsidR="009B74CF">
        <w:rPr>
          <w:rFonts w:ascii="Calibri" w:hAnsi="Calibri" w:cs="Times New Roman"/>
        </w:rPr>
        <w:t xml:space="preserve"> division this is probably due to using Video for the marketing campaign. After that, new user seems to steadily decrease until the end of the year. </w:t>
      </w:r>
      <w:r w:rsidR="00703BCD">
        <w:rPr>
          <w:rFonts w:ascii="Calibri" w:hAnsi="Calibri" w:cs="Times New Roman"/>
        </w:rPr>
        <w:t>This means that the Marketing Campaig</w:t>
      </w:r>
      <w:r>
        <w:rPr>
          <w:rFonts w:ascii="Calibri" w:hAnsi="Calibri" w:cs="Times New Roman"/>
        </w:rPr>
        <w:t>ns implemented in June, October and</w:t>
      </w:r>
      <w:r w:rsidR="00703BCD">
        <w:rPr>
          <w:rFonts w:ascii="Calibri" w:hAnsi="Calibri" w:cs="Times New Roman"/>
        </w:rPr>
        <w:t xml:space="preserve"> November 2017, which </w:t>
      </w:r>
      <w:proofErr w:type="gramStart"/>
      <w:r w:rsidR="00703BCD">
        <w:rPr>
          <w:rFonts w:ascii="Calibri" w:hAnsi="Calibri" w:cs="Times New Roman"/>
        </w:rPr>
        <w:t>is</w:t>
      </w:r>
      <w:proofErr w:type="gramEnd"/>
      <w:r w:rsidR="00703BCD">
        <w:rPr>
          <w:rFonts w:ascii="Calibri" w:hAnsi="Calibri" w:cs="Times New Roman"/>
        </w:rPr>
        <w:t xml:space="preserve"> the combination between Banner, Video, and Carrousel, weren’t very effective. Perhaps the most effective way to acquiere new users are by Video campaign that were implemented in March.</w:t>
      </w:r>
    </w:p>
    <w:p w14:paraId="0371F31E" w14:textId="77777777" w:rsidR="001D2D28" w:rsidRDefault="001D2D28" w:rsidP="00703BCD">
      <w:pPr>
        <w:jc w:val="both"/>
        <w:rPr>
          <w:rFonts w:ascii="Calibri" w:hAnsi="Calibri" w:cs="Times New Roman"/>
        </w:rPr>
      </w:pPr>
    </w:p>
    <w:p w14:paraId="40D8DE15" w14:textId="42224268" w:rsidR="001D2D28" w:rsidRDefault="001D2D28" w:rsidP="00703BCD">
      <w:pPr>
        <w:jc w:val="both"/>
        <w:rPr>
          <w:rFonts w:ascii="Calibri" w:hAnsi="Calibri" w:cs="Times New Roman"/>
        </w:rPr>
      </w:pPr>
      <w:r>
        <w:rPr>
          <w:rFonts w:ascii="Calibri" w:hAnsi="Calibri" w:cs="Times New Roman"/>
        </w:rPr>
        <w:tab/>
        <w:t>By the end of 2017, the New Users acquired reach the lowest point for the 2 years of game run. In January 2018, it rised to almost 32,000 users, so perhaps the Banner and Carrousel implemented by Marketing Division in December ’17 combined with the New Year event as well as the easier Tutorial 2 worked well. It only increased until the end of January ’17, before steadily decrease again until April ’17. Based on the Marketing data, Banner was used in Feb ’18</w:t>
      </w:r>
      <w:r w:rsidR="00DC07E5">
        <w:rPr>
          <w:rFonts w:ascii="Calibri" w:hAnsi="Calibri" w:cs="Times New Roman"/>
        </w:rPr>
        <w:t>,</w:t>
      </w:r>
      <w:r>
        <w:rPr>
          <w:rFonts w:ascii="Calibri" w:hAnsi="Calibri" w:cs="Times New Roman"/>
        </w:rPr>
        <w:t xml:space="preserve"> which seems like it wasn’t a very effective campaign. </w:t>
      </w:r>
      <w:r w:rsidR="00DC07E5">
        <w:rPr>
          <w:rFonts w:ascii="Calibri" w:hAnsi="Calibri" w:cs="Times New Roman"/>
        </w:rPr>
        <w:t>After April ’18, it steadily increased until June ’18, which I think is due to the addition of more gacha character, dungeons, as well as events. NU dropped in July (also marketing campaign was Banner), but stayed on consistent number until September, before rising steadily until the end of the year. Overall, although so far from NU in 2017, there were a certain increase by the Q4 of 2018, and there weren’t any significant decrease as happened in 2017.</w:t>
      </w:r>
    </w:p>
    <w:p w14:paraId="458873FB" w14:textId="77777777" w:rsidR="001D2D28" w:rsidRDefault="001D2D28" w:rsidP="00703BCD">
      <w:pPr>
        <w:jc w:val="both"/>
        <w:rPr>
          <w:rFonts w:ascii="Calibri" w:hAnsi="Calibri" w:cs="Times New Roman"/>
        </w:rPr>
      </w:pPr>
    </w:p>
    <w:p w14:paraId="65D0CB76" w14:textId="57756ED3" w:rsidR="00DC07E5" w:rsidRDefault="0037656D" w:rsidP="00703BCD">
      <w:pPr>
        <w:jc w:val="both"/>
        <w:rPr>
          <w:rFonts w:ascii="Calibri" w:hAnsi="Calibri" w:cs="Times New Roman"/>
        </w:rPr>
      </w:pPr>
      <w:r>
        <w:rPr>
          <w:rFonts w:ascii="Calibri" w:hAnsi="Calibri" w:cs="Times New Roman"/>
        </w:rPr>
        <w:tab/>
      </w:r>
      <w:r w:rsidR="00DC07E5">
        <w:rPr>
          <w:rFonts w:ascii="Calibri" w:hAnsi="Calibri" w:cs="Times New Roman"/>
        </w:rPr>
        <w:t xml:space="preserve">From here, we can conclude that new users are more likely to be attracted by using Video campaign. Banner and Carrousel only executed well when implemented along with some events in the game. </w:t>
      </w:r>
    </w:p>
    <w:p w14:paraId="4E09D313" w14:textId="77777777" w:rsidR="00703BCD" w:rsidRDefault="00703BCD" w:rsidP="009B74CF">
      <w:pPr>
        <w:jc w:val="both"/>
        <w:rPr>
          <w:rFonts w:ascii="Calibri" w:hAnsi="Calibri" w:cs="Times New Roman"/>
        </w:rPr>
      </w:pPr>
    </w:p>
    <w:p w14:paraId="0338B73F" w14:textId="48709F24" w:rsidR="00177E19" w:rsidRDefault="007C2493" w:rsidP="009B74CF">
      <w:pPr>
        <w:jc w:val="both"/>
        <w:rPr>
          <w:rFonts w:ascii="Calibri" w:hAnsi="Calibri" w:cs="Times New Roman"/>
        </w:rPr>
      </w:pPr>
      <w:r>
        <w:rPr>
          <w:rFonts w:ascii="Calibri" w:hAnsi="Calibri" w:cs="Times New Roman"/>
        </w:rPr>
        <w:t>b. Conversion Rate</w:t>
      </w:r>
    </w:p>
    <w:p w14:paraId="417B6C05" w14:textId="710CDDE3" w:rsidR="009B74CF" w:rsidRDefault="00177E19" w:rsidP="009B74CF">
      <w:pPr>
        <w:jc w:val="both"/>
        <w:rPr>
          <w:rFonts w:ascii="Calibri" w:hAnsi="Calibri" w:cs="Times New Roman"/>
        </w:rPr>
      </w:pPr>
      <w:r>
        <w:rPr>
          <w:rFonts w:ascii="Calibri" w:hAnsi="Calibri" w:cs="Times New Roman"/>
        </w:rPr>
        <w:tab/>
      </w:r>
      <w:r w:rsidR="00703BCD">
        <w:rPr>
          <w:rFonts w:ascii="Calibri" w:hAnsi="Calibri" w:cs="Times New Roman"/>
        </w:rPr>
        <w:t>On the other hand, i</w:t>
      </w:r>
      <w:r w:rsidR="009B74CF">
        <w:rPr>
          <w:rFonts w:ascii="Calibri" w:hAnsi="Calibri" w:cs="Times New Roman"/>
        </w:rPr>
        <w:t>n certain months we can see some significant increase in Conversion Rate (CR).</w:t>
      </w:r>
      <w:r w:rsidR="007C2493">
        <w:rPr>
          <w:rFonts w:ascii="Calibri" w:hAnsi="Calibri" w:cs="Times New Roman"/>
        </w:rPr>
        <w:t xml:space="preserve"> At the beginning it elevated very good from January to February 2017. Perhaps the “Season of Love” event worked really </w:t>
      </w:r>
      <w:proofErr w:type="gramStart"/>
      <w:r w:rsidR="007C2493">
        <w:rPr>
          <w:rFonts w:ascii="Calibri" w:hAnsi="Calibri" w:cs="Times New Roman"/>
        </w:rPr>
        <w:t>good</w:t>
      </w:r>
      <w:proofErr w:type="gramEnd"/>
      <w:r w:rsidR="007C2493">
        <w:rPr>
          <w:rFonts w:ascii="Calibri" w:hAnsi="Calibri" w:cs="Times New Roman"/>
        </w:rPr>
        <w:t xml:space="preserve">. However, after that, we can see that there weren’t any activities in Development Log from March to May, which consequently affected the </w:t>
      </w:r>
      <w:proofErr w:type="gramStart"/>
      <w:r w:rsidR="007C2493">
        <w:rPr>
          <w:rFonts w:ascii="Calibri" w:hAnsi="Calibri" w:cs="Times New Roman"/>
        </w:rPr>
        <w:t>steady</w:t>
      </w:r>
      <w:proofErr w:type="gramEnd"/>
      <w:r w:rsidR="007C2493">
        <w:rPr>
          <w:rFonts w:ascii="Calibri" w:hAnsi="Calibri" w:cs="Times New Roman"/>
        </w:rPr>
        <w:t xml:space="preserve"> decrease CR until May ‘17.</w:t>
      </w:r>
    </w:p>
    <w:p w14:paraId="63B19539" w14:textId="77777777" w:rsidR="007C2493" w:rsidRDefault="007C2493" w:rsidP="009B74CF">
      <w:pPr>
        <w:jc w:val="both"/>
        <w:rPr>
          <w:rFonts w:ascii="Calibri" w:hAnsi="Calibri" w:cs="Times New Roman"/>
        </w:rPr>
      </w:pPr>
    </w:p>
    <w:p w14:paraId="7F58D23A" w14:textId="7166577E" w:rsidR="009B74CF" w:rsidRDefault="00177E19" w:rsidP="009B74CF">
      <w:pPr>
        <w:jc w:val="both"/>
        <w:rPr>
          <w:rFonts w:ascii="Calibri" w:hAnsi="Calibri" w:cs="Times New Roman"/>
        </w:rPr>
      </w:pPr>
      <w:r>
        <w:rPr>
          <w:rFonts w:ascii="Calibri" w:hAnsi="Calibri" w:cs="Times New Roman"/>
        </w:rPr>
        <w:tab/>
        <w:t>In</w:t>
      </w:r>
      <w:r w:rsidR="009B74CF">
        <w:rPr>
          <w:rFonts w:ascii="Calibri" w:hAnsi="Calibri" w:cs="Times New Roman"/>
        </w:rPr>
        <w:t xml:space="preserve"> June 2017, CR reached </w:t>
      </w:r>
      <w:r w:rsidR="007C2493">
        <w:rPr>
          <w:rFonts w:ascii="Calibri" w:hAnsi="Calibri" w:cs="Times New Roman"/>
        </w:rPr>
        <w:t>the highest</w:t>
      </w:r>
      <w:r w:rsidR="009B74CF">
        <w:rPr>
          <w:rFonts w:ascii="Calibri" w:hAnsi="Calibri" w:cs="Times New Roman"/>
        </w:rPr>
        <w:t xml:space="preserve"> </w:t>
      </w:r>
      <w:r w:rsidR="007C2493">
        <w:rPr>
          <w:rFonts w:ascii="Calibri" w:hAnsi="Calibri" w:cs="Times New Roman"/>
        </w:rPr>
        <w:t>number</w:t>
      </w:r>
      <w:r w:rsidR="009B74CF">
        <w:rPr>
          <w:rFonts w:ascii="Calibri" w:hAnsi="Calibri" w:cs="Times New Roman"/>
        </w:rPr>
        <w:t>, which is 0.94. That means only 6% of the NU decided to play free. Based on Development Log (DL), at the beginning of May ’17 Game X added more in-app-purchase and new Water Dungeon. This means the IAP and event worked efficiently. On July</w:t>
      </w:r>
      <w:r w:rsidR="00BA53CD">
        <w:rPr>
          <w:rFonts w:ascii="Calibri" w:hAnsi="Calibri" w:cs="Times New Roman"/>
        </w:rPr>
        <w:t xml:space="preserve"> ‘17</w:t>
      </w:r>
      <w:r w:rsidR="009B74CF">
        <w:rPr>
          <w:rFonts w:ascii="Calibri" w:hAnsi="Calibri" w:cs="Times New Roman"/>
        </w:rPr>
        <w:t xml:space="preserve">, it dropped </w:t>
      </w:r>
      <w:r w:rsidR="00BA53CD">
        <w:rPr>
          <w:rFonts w:ascii="Calibri" w:hAnsi="Calibri" w:cs="Times New Roman"/>
        </w:rPr>
        <w:t>very steep to 0.36 before increasing gradually from August until October. It is stated in DL that there were a lot of events during this time</w:t>
      </w:r>
      <w:r w:rsidR="00F32DF7">
        <w:rPr>
          <w:rFonts w:ascii="Calibri" w:hAnsi="Calibri" w:cs="Times New Roman"/>
        </w:rPr>
        <w:t>. In August ‘17, there were daily event in game, special holiday event, and special secret dungeon implementation. October ’17 had Halloween Event, which from the graph above it seems like it the events in October weren’t as effective as August. Since it declined half in November before rising double in December. The rise in Dec ’17 most probably due to the Christmas and NY event, and making Tutorial 2 become easier. The funnel section shows that only less than 1% of first experience user quitted the game.</w:t>
      </w:r>
    </w:p>
    <w:p w14:paraId="0641716F" w14:textId="77777777" w:rsidR="00177E19" w:rsidRDefault="00177E19" w:rsidP="009B74CF">
      <w:pPr>
        <w:jc w:val="both"/>
        <w:rPr>
          <w:rFonts w:ascii="Calibri" w:hAnsi="Calibri" w:cs="Times New Roman"/>
        </w:rPr>
      </w:pPr>
    </w:p>
    <w:p w14:paraId="43762C84" w14:textId="54FE4EBF" w:rsidR="0037656D" w:rsidRDefault="00D108B0" w:rsidP="009B74CF">
      <w:pPr>
        <w:jc w:val="both"/>
        <w:rPr>
          <w:rFonts w:ascii="Calibri" w:hAnsi="Calibri" w:cs="Times New Roman"/>
        </w:rPr>
      </w:pPr>
      <w:r>
        <w:rPr>
          <w:rFonts w:ascii="Calibri" w:hAnsi="Calibri" w:cs="Times New Roman"/>
        </w:rPr>
        <w:tab/>
        <w:t>Starting in January ’18 to March ’18, CR steadily increased. However, after March it started to decrease carefully. Although not significant, perhaps this is due to the addition of registration process in March 2018.</w:t>
      </w:r>
      <w:r w:rsidR="00E050EA">
        <w:rPr>
          <w:rFonts w:ascii="Calibri" w:hAnsi="Calibri" w:cs="Times New Roman"/>
        </w:rPr>
        <w:t xml:space="preserve"> The 100% increase in size by the middle of January seems to have effects in conversion rate, most probably new users started to question if the size of the game would be worth the data waste. After April, it steadily decreased by maintain the value in average. The significant decrease in conversion rate started to </w:t>
      </w:r>
      <w:r w:rsidR="00CD5462">
        <w:rPr>
          <w:rFonts w:ascii="Calibri" w:hAnsi="Calibri" w:cs="Times New Roman"/>
        </w:rPr>
        <w:t>appear</w:t>
      </w:r>
      <w:r w:rsidR="00E050EA">
        <w:rPr>
          <w:rFonts w:ascii="Calibri" w:hAnsi="Calibri" w:cs="Times New Roman"/>
        </w:rPr>
        <w:t xml:space="preserve"> in Oct ’18. By the end of Q4, CR reached the lowest point, which is 0.12.</w:t>
      </w:r>
      <w:r w:rsidR="00E81099">
        <w:rPr>
          <w:rFonts w:ascii="Calibri" w:hAnsi="Calibri" w:cs="Times New Roman"/>
        </w:rPr>
        <w:t xml:space="preserve"> From the funnel report, it is shown that 1/3 of the users deleted the app due to the Splash Screen and 1/5 from Registration.</w:t>
      </w:r>
      <w:r w:rsidR="00CD5462">
        <w:rPr>
          <w:rFonts w:ascii="Calibri" w:hAnsi="Calibri" w:cs="Times New Roman"/>
        </w:rPr>
        <w:t xml:space="preserve"> So we can conclude that the Registration and Size of apps influence the new users.</w:t>
      </w:r>
    </w:p>
    <w:p w14:paraId="05855074" w14:textId="055D5EC8" w:rsidR="00BA53CD" w:rsidRDefault="00E050EA" w:rsidP="009B74CF">
      <w:pPr>
        <w:jc w:val="both"/>
        <w:rPr>
          <w:rFonts w:ascii="Calibri" w:hAnsi="Calibri" w:cs="Times New Roman"/>
        </w:rPr>
      </w:pPr>
      <w:r>
        <w:rPr>
          <w:rFonts w:ascii="Calibri" w:hAnsi="Calibri" w:cs="Times New Roman"/>
        </w:rPr>
        <w:t xml:space="preserve"> </w:t>
      </w:r>
    </w:p>
    <w:p w14:paraId="6A09C192" w14:textId="164239BC" w:rsidR="00A20668" w:rsidRDefault="00A20668" w:rsidP="009B74CF">
      <w:pPr>
        <w:jc w:val="both"/>
        <w:rPr>
          <w:rFonts w:ascii="Calibri" w:hAnsi="Calibri" w:cs="Times New Roman"/>
          <w:u w:val="single"/>
        </w:rPr>
      </w:pPr>
      <w:r>
        <w:rPr>
          <w:rFonts w:ascii="Calibri" w:hAnsi="Calibri" w:cs="Times New Roman"/>
          <w:u w:val="single"/>
        </w:rPr>
        <w:t xml:space="preserve">Conclusion: </w:t>
      </w:r>
    </w:p>
    <w:p w14:paraId="4B11800F" w14:textId="77777777" w:rsidR="00A20668" w:rsidRDefault="00A20668" w:rsidP="009B74CF">
      <w:pPr>
        <w:jc w:val="both"/>
        <w:rPr>
          <w:rFonts w:ascii="Calibri" w:hAnsi="Calibri" w:cs="Times New Roman"/>
          <w:u w:val="single"/>
        </w:rPr>
      </w:pPr>
    </w:p>
    <w:p w14:paraId="1353F09C" w14:textId="53127C50" w:rsidR="00A20668" w:rsidRPr="00A20668" w:rsidRDefault="00A20668" w:rsidP="00A20668">
      <w:pPr>
        <w:pStyle w:val="ListParagraph"/>
        <w:numPr>
          <w:ilvl w:val="0"/>
          <w:numId w:val="10"/>
        </w:numPr>
        <w:jc w:val="both"/>
        <w:rPr>
          <w:rFonts w:ascii="Calibri" w:hAnsi="Calibri" w:cs="Times New Roman"/>
        </w:rPr>
      </w:pPr>
      <w:r w:rsidRPr="00A20668">
        <w:rPr>
          <w:rFonts w:ascii="Calibri" w:hAnsi="Calibri" w:cs="Times New Roman"/>
        </w:rPr>
        <w:t>Most effective marketing campaign to acquire new users is by using Video. However, since it seems like it’s more costly, a better implementation on marketing budgeting should be planned very well. And there needs to be a very good communication in terms of timeline between the Developers and Marketers.</w:t>
      </w:r>
      <w:r w:rsidR="007E0DD0">
        <w:rPr>
          <w:rFonts w:ascii="Calibri" w:hAnsi="Calibri" w:cs="Times New Roman"/>
        </w:rPr>
        <w:t xml:space="preserve"> Banners and Carrousels should be used only if Events are to be available in the game.</w:t>
      </w:r>
    </w:p>
    <w:p w14:paraId="796AA460" w14:textId="56410498" w:rsidR="00A20668" w:rsidRPr="00A20668" w:rsidRDefault="007E0DD0" w:rsidP="00A20668">
      <w:pPr>
        <w:pStyle w:val="ListParagraph"/>
        <w:numPr>
          <w:ilvl w:val="0"/>
          <w:numId w:val="10"/>
        </w:numPr>
        <w:jc w:val="both"/>
        <w:rPr>
          <w:rFonts w:ascii="Calibri" w:hAnsi="Calibri" w:cs="Times New Roman"/>
        </w:rPr>
      </w:pPr>
      <w:r>
        <w:rPr>
          <w:rFonts w:ascii="Calibri" w:hAnsi="Calibri" w:cs="Times New Roman"/>
        </w:rPr>
        <w:t>The aspects that influence the churn rate a lot seems to be the user experience. Increase in loading time, rise in data waste, seems to be affecting the decrease in Conversion Rate. However, interesting events and in-app-purchase, as well as special characters are very influential towards CR. The more interesting the gameplay and/or user experience, the more user</w:t>
      </w:r>
      <w:r w:rsidR="00783756">
        <w:rPr>
          <w:rFonts w:ascii="Calibri" w:hAnsi="Calibri" w:cs="Times New Roman"/>
        </w:rPr>
        <w:t>s tend</w:t>
      </w:r>
      <w:r>
        <w:rPr>
          <w:rFonts w:ascii="Calibri" w:hAnsi="Calibri" w:cs="Times New Roman"/>
        </w:rPr>
        <w:t xml:space="preserve"> to convert.</w:t>
      </w:r>
    </w:p>
    <w:p w14:paraId="6ED519F8" w14:textId="4CFE5ED2" w:rsidR="00BA53CD" w:rsidRPr="009B74CF" w:rsidRDefault="00BA53CD" w:rsidP="009B74CF">
      <w:pPr>
        <w:jc w:val="both"/>
        <w:rPr>
          <w:rFonts w:ascii="Calibri" w:hAnsi="Calibri" w:cs="Times New Roman"/>
        </w:rPr>
      </w:pPr>
      <w:bookmarkStart w:id="0" w:name="_GoBack"/>
      <w:bookmarkEnd w:id="0"/>
    </w:p>
    <w:sectPr w:rsidR="00BA53CD" w:rsidRPr="009B74CF"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52513D1"/>
    <w:multiLevelType w:val="hybridMultilevel"/>
    <w:tmpl w:val="57B426C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F233777"/>
    <w:multiLevelType w:val="hybridMultilevel"/>
    <w:tmpl w:val="18200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62525"/>
    <w:multiLevelType w:val="hybridMultilevel"/>
    <w:tmpl w:val="7B50312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4775F"/>
    <w:multiLevelType w:val="hybridMultilevel"/>
    <w:tmpl w:val="80C43E30"/>
    <w:lvl w:ilvl="0" w:tplc="60E22A8A">
      <w:start w:val="1"/>
      <w:numFmt w:val="bullet"/>
      <w:lvlText w:val="-"/>
      <w:lvlJc w:val="left"/>
      <w:pPr>
        <w:ind w:left="4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12"/>
  </w:num>
  <w:num w:numId="5">
    <w:abstractNumId w:val="9"/>
  </w:num>
  <w:num w:numId="6">
    <w:abstractNumId w:val="3"/>
  </w:num>
  <w:num w:numId="7">
    <w:abstractNumId w:val="6"/>
  </w:num>
  <w:num w:numId="8">
    <w:abstractNumId w:val="1"/>
  </w:num>
  <w:num w:numId="9">
    <w:abstractNumId w:val="2"/>
  </w:num>
  <w:num w:numId="10">
    <w:abstractNumId w:val="4"/>
  </w:num>
  <w:num w:numId="11">
    <w:abstractNumId w:val="1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0F7E3E"/>
    <w:rsid w:val="0010380B"/>
    <w:rsid w:val="00130171"/>
    <w:rsid w:val="00170382"/>
    <w:rsid w:val="00177E19"/>
    <w:rsid w:val="001B0095"/>
    <w:rsid w:val="001C6483"/>
    <w:rsid w:val="001D2D28"/>
    <w:rsid w:val="001E22FA"/>
    <w:rsid w:val="00215484"/>
    <w:rsid w:val="002413FB"/>
    <w:rsid w:val="002F226B"/>
    <w:rsid w:val="002F2812"/>
    <w:rsid w:val="003547DF"/>
    <w:rsid w:val="0037500C"/>
    <w:rsid w:val="0037656D"/>
    <w:rsid w:val="00386354"/>
    <w:rsid w:val="003B00AF"/>
    <w:rsid w:val="003E590E"/>
    <w:rsid w:val="00410A1D"/>
    <w:rsid w:val="00487BA8"/>
    <w:rsid w:val="00497819"/>
    <w:rsid w:val="004C27C9"/>
    <w:rsid w:val="004D1D73"/>
    <w:rsid w:val="00550BE8"/>
    <w:rsid w:val="00571173"/>
    <w:rsid w:val="0057733B"/>
    <w:rsid w:val="005B404F"/>
    <w:rsid w:val="00620BA4"/>
    <w:rsid w:val="006C7FA6"/>
    <w:rsid w:val="006E57E1"/>
    <w:rsid w:val="006E6ED2"/>
    <w:rsid w:val="00703BCD"/>
    <w:rsid w:val="00706B95"/>
    <w:rsid w:val="00713483"/>
    <w:rsid w:val="007412BE"/>
    <w:rsid w:val="00783756"/>
    <w:rsid w:val="007B0244"/>
    <w:rsid w:val="007B0F1F"/>
    <w:rsid w:val="007C2493"/>
    <w:rsid w:val="007C764C"/>
    <w:rsid w:val="007E0DD0"/>
    <w:rsid w:val="007F29D8"/>
    <w:rsid w:val="00815D3B"/>
    <w:rsid w:val="0084055E"/>
    <w:rsid w:val="0087221F"/>
    <w:rsid w:val="00895ABB"/>
    <w:rsid w:val="008A58EF"/>
    <w:rsid w:val="008A67FB"/>
    <w:rsid w:val="008F3CAA"/>
    <w:rsid w:val="00900655"/>
    <w:rsid w:val="00914DBA"/>
    <w:rsid w:val="00916E4F"/>
    <w:rsid w:val="0091753D"/>
    <w:rsid w:val="0091755C"/>
    <w:rsid w:val="009200EE"/>
    <w:rsid w:val="00927EAC"/>
    <w:rsid w:val="00953A31"/>
    <w:rsid w:val="0099126A"/>
    <w:rsid w:val="009B74CF"/>
    <w:rsid w:val="00A1539E"/>
    <w:rsid w:val="00A17B0A"/>
    <w:rsid w:val="00A20668"/>
    <w:rsid w:val="00A50A7B"/>
    <w:rsid w:val="00A618F2"/>
    <w:rsid w:val="00A66755"/>
    <w:rsid w:val="00A85D25"/>
    <w:rsid w:val="00A94C74"/>
    <w:rsid w:val="00AB6634"/>
    <w:rsid w:val="00AE2C35"/>
    <w:rsid w:val="00B02C46"/>
    <w:rsid w:val="00BA53CD"/>
    <w:rsid w:val="00BC4508"/>
    <w:rsid w:val="00C2006B"/>
    <w:rsid w:val="00CB056D"/>
    <w:rsid w:val="00CD5462"/>
    <w:rsid w:val="00D108B0"/>
    <w:rsid w:val="00D166E9"/>
    <w:rsid w:val="00D271CE"/>
    <w:rsid w:val="00D54B35"/>
    <w:rsid w:val="00D57A71"/>
    <w:rsid w:val="00D739B7"/>
    <w:rsid w:val="00D81235"/>
    <w:rsid w:val="00DC07E5"/>
    <w:rsid w:val="00DC72A5"/>
    <w:rsid w:val="00DD5341"/>
    <w:rsid w:val="00DE40B3"/>
    <w:rsid w:val="00DF43B5"/>
    <w:rsid w:val="00E003B7"/>
    <w:rsid w:val="00E050EA"/>
    <w:rsid w:val="00E07444"/>
    <w:rsid w:val="00E25D50"/>
    <w:rsid w:val="00E26F59"/>
    <w:rsid w:val="00E328C8"/>
    <w:rsid w:val="00E81099"/>
    <w:rsid w:val="00E909E6"/>
    <w:rsid w:val="00E94370"/>
    <w:rsid w:val="00E95D61"/>
    <w:rsid w:val="00E965C8"/>
    <w:rsid w:val="00ED7931"/>
    <w:rsid w:val="00F0359E"/>
    <w:rsid w:val="00F30089"/>
    <w:rsid w:val="00F32DF7"/>
    <w:rsid w:val="00FB5A6C"/>
    <w:rsid w:val="00FC51FB"/>
    <w:rsid w:val="00FD4E6B"/>
    <w:rsid w:val="00FE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341756">
      <w:bodyDiv w:val="1"/>
      <w:marLeft w:val="0"/>
      <w:marRight w:val="0"/>
      <w:marTop w:val="0"/>
      <w:marBottom w:val="0"/>
      <w:divBdr>
        <w:top w:val="none" w:sz="0" w:space="0" w:color="auto"/>
        <w:left w:val="none" w:sz="0" w:space="0" w:color="auto"/>
        <w:bottom w:val="none" w:sz="0" w:space="0" w:color="auto"/>
        <w:right w:val="none" w:sz="0" w:space="0" w:color="auto"/>
      </w:divBdr>
    </w:div>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 w:id="1258517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Retention vs Gross Rev</a:t>
            </a:r>
          </a:p>
        </c:rich>
      </c:tx>
      <c:layout>
        <c:manualLayout>
          <c:xMode val="edge"/>
          <c:yMode val="edge"/>
          <c:x val="0.344271315097965"/>
          <c:y val="0.02452648846692"/>
        </c:manualLayout>
      </c:layout>
      <c:overlay val="1"/>
    </c:title>
    <c:autoTitleDeleted val="0"/>
    <c:plotArea>
      <c:layout>
        <c:manualLayout>
          <c:layoutTarget val="inner"/>
          <c:xMode val="edge"/>
          <c:yMode val="edge"/>
          <c:x val="0.13601560609071"/>
          <c:y val="0.139070381633687"/>
          <c:w val="0.772552196140933"/>
          <c:h val="0.694659474561207"/>
        </c:manualLayout>
      </c:layout>
      <c:lineChart>
        <c:grouping val="standard"/>
        <c:varyColors val="0"/>
        <c:ser>
          <c:idx val="4"/>
          <c:order val="2"/>
          <c:tx>
            <c:v>D7R17</c:v>
          </c:tx>
          <c:spPr>
            <a:ln w="25400" cap="flat" cmpd="sng" algn="ctr">
              <a:solidFill>
                <a:schemeClr val="accent1"/>
              </a:solidFill>
              <a:prstDash val="solid"/>
            </a:ln>
            <a:effectLst/>
          </c:spPr>
          <c:marker>
            <c:spPr>
              <a:solidFill>
                <a:schemeClr val="lt1"/>
              </a:solidFill>
              <a:ln w="25400" cap="flat" cmpd="sng" algn="ctr">
                <a:solidFill>
                  <a:schemeClr val="accent1"/>
                </a:solidFill>
                <a:prstDash val="solid"/>
              </a:ln>
              <a:effectLst/>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Sheet1!$F$2:$F$13</c:f>
              <c:numCache>
                <c:formatCode>General</c:formatCode>
                <c:ptCount val="12"/>
                <c:pt idx="0">
                  <c:v>7.95</c:v>
                </c:pt>
                <c:pt idx="1">
                  <c:v>8.26</c:v>
                </c:pt>
                <c:pt idx="2">
                  <c:v>7.71</c:v>
                </c:pt>
                <c:pt idx="3">
                  <c:v>8.48</c:v>
                </c:pt>
                <c:pt idx="4">
                  <c:v>7.87</c:v>
                </c:pt>
                <c:pt idx="5">
                  <c:v>7.11</c:v>
                </c:pt>
                <c:pt idx="6">
                  <c:v>6.73</c:v>
                </c:pt>
                <c:pt idx="7">
                  <c:v>6.66</c:v>
                </c:pt>
                <c:pt idx="8">
                  <c:v>5.68</c:v>
                </c:pt>
                <c:pt idx="9">
                  <c:v>5.81</c:v>
                </c:pt>
                <c:pt idx="10">
                  <c:v>5.81</c:v>
                </c:pt>
                <c:pt idx="11">
                  <c:v>5.19</c:v>
                </c:pt>
              </c:numCache>
            </c:numRef>
          </c:val>
          <c:smooth val="0"/>
        </c:ser>
        <c:ser>
          <c:idx val="5"/>
          <c:order val="3"/>
          <c:tx>
            <c:v>D7R18</c:v>
          </c:tx>
          <c:spPr>
            <a:ln w="25400" cap="flat" cmpd="sng" algn="ctr">
              <a:solidFill>
                <a:schemeClr val="accent2"/>
              </a:solidFill>
              <a:prstDash val="solid"/>
            </a:ln>
            <a:effectLst/>
          </c:spPr>
          <c:marker>
            <c:spPr>
              <a:solidFill>
                <a:schemeClr val="lt1"/>
              </a:solidFill>
              <a:ln w="25400" cap="flat" cmpd="sng" algn="ctr">
                <a:solidFill>
                  <a:schemeClr val="accent2"/>
                </a:solidFill>
                <a:prstDash val="solid"/>
              </a:ln>
              <a:effectLst/>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Sheet1!$F$14:$F$25</c:f>
              <c:numCache>
                <c:formatCode>General</c:formatCode>
                <c:ptCount val="12"/>
                <c:pt idx="0">
                  <c:v>5.79</c:v>
                </c:pt>
                <c:pt idx="1">
                  <c:v>5.08</c:v>
                </c:pt>
                <c:pt idx="2">
                  <c:v>5.82</c:v>
                </c:pt>
                <c:pt idx="3">
                  <c:v>5.43</c:v>
                </c:pt>
                <c:pt idx="4">
                  <c:v>5.24</c:v>
                </c:pt>
                <c:pt idx="5">
                  <c:v>5.49</c:v>
                </c:pt>
                <c:pt idx="6">
                  <c:v>5.41</c:v>
                </c:pt>
                <c:pt idx="7">
                  <c:v>5.2</c:v>
                </c:pt>
                <c:pt idx="8">
                  <c:v>5.43</c:v>
                </c:pt>
                <c:pt idx="9">
                  <c:v>5.35</c:v>
                </c:pt>
                <c:pt idx="10">
                  <c:v>5.71</c:v>
                </c:pt>
                <c:pt idx="11">
                  <c:v>5.04</c:v>
                </c:pt>
              </c:numCache>
            </c:numRef>
          </c:val>
          <c:smooth val="0"/>
        </c:ser>
        <c:ser>
          <c:idx val="6"/>
          <c:order val="4"/>
          <c:tx>
            <c:v>D30R17</c:v>
          </c:tx>
          <c:spPr>
            <a:ln w="25400" cap="flat" cmpd="sng" algn="ctr">
              <a:solidFill>
                <a:schemeClr val="accent1"/>
              </a:solidFill>
              <a:prstDash val="solid"/>
            </a:ln>
            <a:effectLst/>
          </c:spPr>
          <c:marker>
            <c:spPr>
              <a:solidFill>
                <a:schemeClr val="lt1"/>
              </a:solidFill>
              <a:ln w="25400" cap="flat" cmpd="sng" algn="ctr">
                <a:solidFill>
                  <a:schemeClr val="accent1"/>
                </a:solidFill>
                <a:prstDash val="solid"/>
              </a:ln>
              <a:effectLst/>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Sheet1!$G$2:$G$13</c:f>
              <c:numCache>
                <c:formatCode>General</c:formatCode>
                <c:ptCount val="12"/>
                <c:pt idx="0">
                  <c:v>2.24</c:v>
                </c:pt>
                <c:pt idx="1">
                  <c:v>2.36</c:v>
                </c:pt>
                <c:pt idx="2">
                  <c:v>1.61</c:v>
                </c:pt>
                <c:pt idx="3">
                  <c:v>1.9</c:v>
                </c:pt>
                <c:pt idx="4">
                  <c:v>2.05</c:v>
                </c:pt>
                <c:pt idx="5">
                  <c:v>1.7</c:v>
                </c:pt>
                <c:pt idx="6">
                  <c:v>1.4</c:v>
                </c:pt>
                <c:pt idx="7">
                  <c:v>1.35</c:v>
                </c:pt>
                <c:pt idx="8">
                  <c:v>1.34</c:v>
                </c:pt>
                <c:pt idx="9">
                  <c:v>1.51</c:v>
                </c:pt>
                <c:pt idx="10">
                  <c:v>1.49</c:v>
                </c:pt>
                <c:pt idx="11">
                  <c:v>0.11</c:v>
                </c:pt>
              </c:numCache>
            </c:numRef>
          </c:val>
          <c:smooth val="0"/>
        </c:ser>
        <c:ser>
          <c:idx val="7"/>
          <c:order val="5"/>
          <c:tx>
            <c:v>D30R18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Sheet1!$G$14:$G$25</c:f>
              <c:numCache>
                <c:formatCode>General</c:formatCode>
                <c:ptCount val="12"/>
                <c:pt idx="0">
                  <c:v>1.31</c:v>
                </c:pt>
                <c:pt idx="1">
                  <c:v>1.3</c:v>
                </c:pt>
                <c:pt idx="2">
                  <c:v>1.17</c:v>
                </c:pt>
                <c:pt idx="3">
                  <c:v>1.52</c:v>
                </c:pt>
                <c:pt idx="4">
                  <c:v>1.27</c:v>
                </c:pt>
                <c:pt idx="5">
                  <c:v>0.83</c:v>
                </c:pt>
                <c:pt idx="6">
                  <c:v>1.36</c:v>
                </c:pt>
                <c:pt idx="7">
                  <c:v>0.82</c:v>
                </c:pt>
                <c:pt idx="8">
                  <c:v>1.19</c:v>
                </c:pt>
                <c:pt idx="9">
                  <c:v>1.19</c:v>
                </c:pt>
                <c:pt idx="10">
                  <c:v>1.25</c:v>
                </c:pt>
                <c:pt idx="11">
                  <c:v>1.05</c:v>
                </c:pt>
              </c:numCache>
            </c:numRef>
          </c:val>
          <c:smooth val="0"/>
        </c:ser>
        <c:dLbls>
          <c:showLegendKey val="0"/>
          <c:showVal val="0"/>
          <c:showCatName val="0"/>
          <c:showSerName val="0"/>
          <c:showPercent val="0"/>
          <c:showBubbleSize val="0"/>
        </c:dLbls>
        <c:marker val="1"/>
        <c:smooth val="0"/>
        <c:axId val="-2129056296"/>
        <c:axId val="2143381464"/>
      </c:lineChart>
      <c:lineChart>
        <c:grouping val="standard"/>
        <c:varyColors val="0"/>
        <c:ser>
          <c:idx val="2"/>
          <c:order val="0"/>
          <c:tx>
            <c:v>GrossRev17</c:v>
          </c:tx>
          <c:spPr>
            <a:ln w="25400" cap="flat" cmpd="sng" algn="ctr">
              <a:solidFill>
                <a:schemeClr val="accent1">
                  <a:shade val="50000"/>
                </a:schemeClr>
              </a:solidFill>
              <a:prstDash val="solid"/>
            </a:ln>
            <a:effectLst/>
          </c:spPr>
          <c:marker>
            <c:spPr>
              <a:solidFill>
                <a:schemeClr val="accent1"/>
              </a:solidFill>
              <a:ln w="25400" cap="flat" cmpd="sng" algn="ctr">
                <a:solidFill>
                  <a:schemeClr val="accent1">
                    <a:shade val="50000"/>
                  </a:schemeClr>
                </a:solidFill>
                <a:prstDash val="solid"/>
              </a:ln>
              <a:effectLst/>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Sheet1!$K$2:$K$13</c:f>
              <c:numCache>
                <c:formatCode>General</c:formatCode>
                <c:ptCount val="12"/>
                <c:pt idx="0">
                  <c:v>1955.34</c:v>
                </c:pt>
                <c:pt idx="1">
                  <c:v>1216.28</c:v>
                </c:pt>
                <c:pt idx="2">
                  <c:v>1294.07</c:v>
                </c:pt>
                <c:pt idx="3">
                  <c:v>1190.11</c:v>
                </c:pt>
                <c:pt idx="4">
                  <c:v>1255.6</c:v>
                </c:pt>
                <c:pt idx="5">
                  <c:v>1145.08</c:v>
                </c:pt>
                <c:pt idx="6">
                  <c:v>772.78</c:v>
                </c:pt>
                <c:pt idx="7">
                  <c:v>472.34</c:v>
                </c:pt>
                <c:pt idx="8">
                  <c:v>415.48</c:v>
                </c:pt>
                <c:pt idx="9">
                  <c:v>368.48</c:v>
                </c:pt>
                <c:pt idx="10">
                  <c:v>445.96</c:v>
                </c:pt>
                <c:pt idx="11">
                  <c:v>374.79</c:v>
                </c:pt>
              </c:numCache>
            </c:numRef>
          </c:val>
          <c:smooth val="0"/>
        </c:ser>
        <c:ser>
          <c:idx val="3"/>
          <c:order val="1"/>
          <c:tx>
            <c:v>GrossRev18</c:v>
          </c:tx>
          <c:spPr>
            <a:ln w="25400" cap="flat" cmpd="sng" algn="ctr">
              <a:solidFill>
                <a:schemeClr val="accent2">
                  <a:shade val="50000"/>
                </a:schemeClr>
              </a:solidFill>
              <a:prstDash val="solid"/>
            </a:ln>
            <a:effectLst/>
          </c:spPr>
          <c:marker>
            <c:spPr>
              <a:solidFill>
                <a:schemeClr val="accent2"/>
              </a:solidFill>
              <a:ln w="25400" cap="flat" cmpd="sng" algn="ctr">
                <a:solidFill>
                  <a:schemeClr val="accent2">
                    <a:shade val="50000"/>
                  </a:schemeClr>
                </a:solidFill>
                <a:prstDash val="solid"/>
              </a:ln>
              <a:effectLst/>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Sheet1!$K$14:$K$25</c:f>
              <c:numCache>
                <c:formatCode>General</c:formatCode>
                <c:ptCount val="12"/>
                <c:pt idx="0">
                  <c:v>270.06</c:v>
                </c:pt>
                <c:pt idx="1">
                  <c:v>248.78</c:v>
                </c:pt>
                <c:pt idx="2">
                  <c:v>210.54</c:v>
                </c:pt>
                <c:pt idx="3">
                  <c:v>142.65</c:v>
                </c:pt>
                <c:pt idx="4">
                  <c:v>181.94</c:v>
                </c:pt>
                <c:pt idx="5">
                  <c:v>204.36</c:v>
                </c:pt>
                <c:pt idx="6">
                  <c:v>159.3</c:v>
                </c:pt>
                <c:pt idx="7">
                  <c:v>138.51</c:v>
                </c:pt>
                <c:pt idx="8">
                  <c:v>151.43</c:v>
                </c:pt>
                <c:pt idx="9">
                  <c:v>152.96</c:v>
                </c:pt>
                <c:pt idx="10">
                  <c:v>183.02</c:v>
                </c:pt>
                <c:pt idx="11">
                  <c:v>260.37</c:v>
                </c:pt>
              </c:numCache>
            </c:numRef>
          </c:val>
          <c:smooth val="0"/>
        </c:ser>
        <c:dLbls>
          <c:showLegendKey val="0"/>
          <c:showVal val="0"/>
          <c:showCatName val="0"/>
          <c:showSerName val="0"/>
          <c:showPercent val="0"/>
          <c:showBubbleSize val="0"/>
        </c:dLbls>
        <c:marker val="1"/>
        <c:smooth val="0"/>
        <c:axId val="-2129052728"/>
        <c:axId val="2146343768"/>
      </c:lineChart>
      <c:catAx>
        <c:axId val="-2129056296"/>
        <c:scaling>
          <c:orientation val="minMax"/>
        </c:scaling>
        <c:delete val="0"/>
        <c:axPos val="b"/>
        <c:majorGridlines/>
        <c:title>
          <c:tx>
            <c:rich>
              <a:bodyPr/>
              <a:lstStyle/>
              <a:p>
                <a:pPr>
                  <a:defRPr/>
                </a:pPr>
                <a:r>
                  <a:rPr lang="en-US"/>
                  <a:t>Month</a:t>
                </a:r>
              </a:p>
            </c:rich>
          </c:tx>
          <c:layout>
            <c:manualLayout>
              <c:xMode val="edge"/>
              <c:yMode val="edge"/>
              <c:x val="0.496309954301609"/>
              <c:y val="0.884704437425336"/>
            </c:manualLayout>
          </c:layout>
          <c:overlay val="0"/>
        </c:title>
        <c:numFmt formatCode="General" sourceLinked="1"/>
        <c:majorTickMark val="out"/>
        <c:minorTickMark val="none"/>
        <c:tickLblPos val="nextTo"/>
        <c:crossAx val="2143381464"/>
        <c:crosses val="autoZero"/>
        <c:auto val="1"/>
        <c:lblAlgn val="ctr"/>
        <c:lblOffset val="100"/>
        <c:noMultiLvlLbl val="0"/>
      </c:catAx>
      <c:valAx>
        <c:axId val="2143381464"/>
        <c:scaling>
          <c:orientation val="minMax"/>
        </c:scaling>
        <c:delete val="0"/>
        <c:axPos val="l"/>
        <c:title>
          <c:tx>
            <c:rich>
              <a:bodyPr rot="-5400000" vert="horz"/>
              <a:lstStyle/>
              <a:p>
                <a:pPr>
                  <a:defRPr/>
                </a:pPr>
                <a:r>
                  <a:rPr lang="en-US"/>
                  <a:t>Retention</a:t>
                </a:r>
                <a:r>
                  <a:rPr lang="en-US" baseline="0"/>
                  <a:t> (%)</a:t>
                </a:r>
                <a:endParaRPr lang="en-US"/>
              </a:p>
            </c:rich>
          </c:tx>
          <c:layout/>
          <c:overlay val="0"/>
        </c:title>
        <c:numFmt formatCode="General" sourceLinked="1"/>
        <c:majorTickMark val="out"/>
        <c:minorTickMark val="none"/>
        <c:tickLblPos val="nextTo"/>
        <c:crossAx val="-2129056296"/>
        <c:crosses val="autoZero"/>
        <c:crossBetween val="between"/>
      </c:valAx>
      <c:valAx>
        <c:axId val="2146343768"/>
        <c:scaling>
          <c:orientation val="minMax"/>
        </c:scaling>
        <c:delete val="0"/>
        <c:axPos val="r"/>
        <c:majorGridlines/>
        <c:numFmt formatCode="General" sourceLinked="1"/>
        <c:majorTickMark val="out"/>
        <c:minorTickMark val="none"/>
        <c:tickLblPos val="nextTo"/>
        <c:crossAx val="-2129052728"/>
        <c:crosses val="max"/>
        <c:crossBetween val="between"/>
      </c:valAx>
      <c:catAx>
        <c:axId val="-2129052728"/>
        <c:scaling>
          <c:orientation val="minMax"/>
        </c:scaling>
        <c:delete val="1"/>
        <c:axPos val="b"/>
        <c:numFmt formatCode="General" sourceLinked="1"/>
        <c:majorTickMark val="out"/>
        <c:minorTickMark val="none"/>
        <c:tickLblPos val="nextTo"/>
        <c:crossAx val="2146343768"/>
        <c:crosses val="autoZero"/>
        <c:auto val="1"/>
        <c:lblAlgn val="ctr"/>
        <c:lblOffset val="100"/>
        <c:noMultiLvlLbl val="0"/>
      </c:catAx>
    </c:plotArea>
    <c:legend>
      <c:legendPos val="b"/>
      <c:layout>
        <c:manualLayout>
          <c:xMode val="edge"/>
          <c:yMode val="edge"/>
          <c:x val="0.0744352726550223"/>
          <c:y val="0.928396892319486"/>
          <c:w val="0.791939364542783"/>
          <c:h val="0.068974292267993"/>
        </c:manualLayout>
      </c:layout>
      <c:overlay val="0"/>
      <c:txPr>
        <a:bodyPr/>
        <a:lstStyle/>
        <a:p>
          <a:pPr>
            <a:defRPr sz="10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New User and Conversion Rate vs Month</a:t>
            </a:r>
          </a:p>
        </c:rich>
      </c:tx>
      <c:layout>
        <c:manualLayout>
          <c:xMode val="edge"/>
          <c:yMode val="edge"/>
          <c:x val="0.293232978635361"/>
          <c:y val="0.00682862883821365"/>
        </c:manualLayout>
      </c:layout>
      <c:overlay val="1"/>
    </c:title>
    <c:autoTitleDeleted val="0"/>
    <c:plotArea>
      <c:layout>
        <c:manualLayout>
          <c:layoutTarget val="inner"/>
          <c:xMode val="edge"/>
          <c:yMode val="edge"/>
          <c:x val="0.132345329201262"/>
          <c:y val="0.0751149172203502"/>
          <c:w val="0.772552196140933"/>
          <c:h val="0.694659474561207"/>
        </c:manualLayout>
      </c:layout>
      <c:lineChart>
        <c:grouping val="standard"/>
        <c:varyColors val="0"/>
        <c:ser>
          <c:idx val="0"/>
          <c:order val="0"/>
          <c:tx>
            <c:v>NU_2017</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#,##0</c:formatCode>
                <c:ptCount val="12"/>
                <c:pt idx="0">
                  <c:v>160402.0</c:v>
                </c:pt>
                <c:pt idx="1">
                  <c:v>110829.0</c:v>
                </c:pt>
                <c:pt idx="2">
                  <c:v>116097.0</c:v>
                </c:pt>
                <c:pt idx="3">
                  <c:v>191966.0</c:v>
                </c:pt>
                <c:pt idx="4">
                  <c:v>119965.0</c:v>
                </c:pt>
                <c:pt idx="5">
                  <c:v>94217.0</c:v>
                </c:pt>
                <c:pt idx="6">
                  <c:v>69633.0</c:v>
                </c:pt>
                <c:pt idx="7">
                  <c:v>47090.0</c:v>
                </c:pt>
                <c:pt idx="8">
                  <c:v>35242.0</c:v>
                </c:pt>
                <c:pt idx="9">
                  <c:v>33472.0</c:v>
                </c:pt>
                <c:pt idx="10">
                  <c:v>31808.0</c:v>
                </c:pt>
                <c:pt idx="11">
                  <c:v>17433.0</c:v>
                </c:pt>
              </c:numCache>
            </c:numRef>
          </c:val>
          <c:smooth val="0"/>
        </c:ser>
        <c:ser>
          <c:idx val="1"/>
          <c:order val="1"/>
          <c:tx>
            <c:v>NU_2018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Sheet1!$C$14:$C$25</c:f>
              <c:numCache>
                <c:formatCode>#,##0</c:formatCode>
                <c:ptCount val="12"/>
                <c:pt idx="0">
                  <c:v>31856.0</c:v>
                </c:pt>
                <c:pt idx="1">
                  <c:v>22337.0</c:v>
                </c:pt>
                <c:pt idx="2">
                  <c:v>18563.0</c:v>
                </c:pt>
                <c:pt idx="3">
                  <c:v>18151.0</c:v>
                </c:pt>
                <c:pt idx="4">
                  <c:v>20228.0</c:v>
                </c:pt>
                <c:pt idx="5">
                  <c:v>25579.0</c:v>
                </c:pt>
                <c:pt idx="6">
                  <c:v>20261.0</c:v>
                </c:pt>
                <c:pt idx="7">
                  <c:v>18517.0</c:v>
                </c:pt>
                <c:pt idx="8">
                  <c:v>19095.0</c:v>
                </c:pt>
                <c:pt idx="9">
                  <c:v>19537.0</c:v>
                </c:pt>
                <c:pt idx="10">
                  <c:v>24746.0</c:v>
                </c:pt>
                <c:pt idx="11">
                  <c:v>36494.0</c:v>
                </c:pt>
              </c:numCache>
            </c:numRef>
          </c:val>
          <c:smooth val="0"/>
        </c:ser>
        <c:dLbls>
          <c:showLegendKey val="0"/>
          <c:showVal val="0"/>
          <c:showCatName val="0"/>
          <c:showSerName val="0"/>
          <c:showPercent val="0"/>
          <c:showBubbleSize val="0"/>
        </c:dLbls>
        <c:marker val="1"/>
        <c:smooth val="0"/>
        <c:axId val="2137836888"/>
        <c:axId val="2135008824"/>
      </c:lineChart>
      <c:lineChart>
        <c:grouping val="standard"/>
        <c:varyColors val="0"/>
        <c:ser>
          <c:idx val="2"/>
          <c:order val="2"/>
          <c:tx>
            <c:v>ConvRate17</c:v>
          </c:tx>
          <c:marker>
            <c:spPr>
              <a:solidFill>
                <a:schemeClr val="tx2">
                  <a:lumMod val="40000"/>
                  <a:lumOff val="6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Sheet1!$N$2:$N$13</c:f>
              <c:numCache>
                <c:formatCode>General</c:formatCode>
                <c:ptCount val="12"/>
                <c:pt idx="0">
                  <c:v>0.44</c:v>
                </c:pt>
                <c:pt idx="1">
                  <c:v>0.7</c:v>
                </c:pt>
                <c:pt idx="2">
                  <c:v>0.58</c:v>
                </c:pt>
                <c:pt idx="3">
                  <c:v>0.56</c:v>
                </c:pt>
                <c:pt idx="4">
                  <c:v>0.48</c:v>
                </c:pt>
                <c:pt idx="5">
                  <c:v>0.94</c:v>
                </c:pt>
                <c:pt idx="6">
                  <c:v>0.36</c:v>
                </c:pt>
                <c:pt idx="7">
                  <c:v>0.47</c:v>
                </c:pt>
                <c:pt idx="8">
                  <c:v>0.6</c:v>
                </c:pt>
                <c:pt idx="9">
                  <c:v>0.63</c:v>
                </c:pt>
                <c:pt idx="10">
                  <c:v>0.32</c:v>
                </c:pt>
                <c:pt idx="11">
                  <c:v>0.59</c:v>
                </c:pt>
              </c:numCache>
            </c:numRef>
          </c:val>
          <c:smooth val="0"/>
        </c:ser>
        <c:ser>
          <c:idx val="3"/>
          <c:order val="3"/>
          <c:tx>
            <c:v>ConvRate18</c:v>
          </c:tx>
          <c:marker>
            <c:spPr>
              <a:solidFill>
                <a:schemeClr val="accent2">
                  <a:lumMod val="60000"/>
                  <a:lumOff val="4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Sheet1!$N$14:$N$25</c:f>
              <c:numCache>
                <c:formatCode>General</c:formatCode>
                <c:ptCount val="12"/>
                <c:pt idx="0">
                  <c:v>0.31</c:v>
                </c:pt>
                <c:pt idx="1">
                  <c:v>0.38</c:v>
                </c:pt>
                <c:pt idx="2">
                  <c:v>0.43</c:v>
                </c:pt>
                <c:pt idx="3">
                  <c:v>0.39</c:v>
                </c:pt>
                <c:pt idx="4">
                  <c:v>0.37</c:v>
                </c:pt>
                <c:pt idx="5">
                  <c:v>0.3</c:v>
                </c:pt>
                <c:pt idx="6">
                  <c:v>0.3</c:v>
                </c:pt>
                <c:pt idx="7">
                  <c:v>0.29</c:v>
                </c:pt>
                <c:pt idx="8">
                  <c:v>0.29</c:v>
                </c:pt>
                <c:pt idx="9">
                  <c:v>0.28</c:v>
                </c:pt>
                <c:pt idx="10">
                  <c:v>0.22</c:v>
                </c:pt>
                <c:pt idx="11">
                  <c:v>0.12</c:v>
                </c:pt>
              </c:numCache>
            </c:numRef>
          </c:val>
          <c:smooth val="0"/>
        </c:ser>
        <c:dLbls>
          <c:showLegendKey val="0"/>
          <c:showVal val="0"/>
          <c:showCatName val="0"/>
          <c:showSerName val="0"/>
          <c:showPercent val="0"/>
          <c:showBubbleSize val="0"/>
        </c:dLbls>
        <c:marker val="1"/>
        <c:smooth val="0"/>
        <c:axId val="2143353144"/>
        <c:axId val="2145776584"/>
      </c:lineChart>
      <c:catAx>
        <c:axId val="2137836888"/>
        <c:scaling>
          <c:orientation val="minMax"/>
        </c:scaling>
        <c:delete val="0"/>
        <c:axPos val="b"/>
        <c:majorGridlines/>
        <c:title>
          <c:tx>
            <c:rich>
              <a:bodyPr/>
              <a:lstStyle/>
              <a:p>
                <a:pPr>
                  <a:defRPr/>
                </a:pPr>
                <a:r>
                  <a:rPr lang="en-US"/>
                  <a:t>Month</a:t>
                </a:r>
              </a:p>
            </c:rich>
          </c:tx>
          <c:layout>
            <c:manualLayout>
              <c:xMode val="edge"/>
              <c:yMode val="edge"/>
              <c:x val="0.475061379375771"/>
              <c:y val="0.847676546049721"/>
            </c:manualLayout>
          </c:layout>
          <c:overlay val="0"/>
        </c:title>
        <c:numFmt formatCode="General" sourceLinked="1"/>
        <c:majorTickMark val="out"/>
        <c:minorTickMark val="none"/>
        <c:tickLblPos val="nextTo"/>
        <c:crossAx val="2135008824"/>
        <c:crosses val="autoZero"/>
        <c:auto val="1"/>
        <c:lblAlgn val="ctr"/>
        <c:lblOffset val="100"/>
        <c:noMultiLvlLbl val="0"/>
      </c:catAx>
      <c:valAx>
        <c:axId val="2135008824"/>
        <c:scaling>
          <c:orientation val="minMax"/>
        </c:scaling>
        <c:delete val="0"/>
        <c:axPos val="l"/>
        <c:title>
          <c:tx>
            <c:rich>
              <a:bodyPr rot="-5400000" vert="horz"/>
              <a:lstStyle/>
              <a:p>
                <a:pPr>
                  <a:defRPr/>
                </a:pPr>
                <a:r>
                  <a:rPr lang="en-US"/>
                  <a:t>New User</a:t>
                </a:r>
              </a:p>
            </c:rich>
          </c:tx>
          <c:layout/>
          <c:overlay val="0"/>
        </c:title>
        <c:numFmt formatCode="#,##0" sourceLinked="1"/>
        <c:majorTickMark val="out"/>
        <c:minorTickMark val="none"/>
        <c:tickLblPos val="nextTo"/>
        <c:crossAx val="2137836888"/>
        <c:crosses val="autoZero"/>
        <c:crossBetween val="between"/>
      </c:valAx>
      <c:valAx>
        <c:axId val="2145776584"/>
        <c:scaling>
          <c:orientation val="minMax"/>
        </c:scaling>
        <c:delete val="0"/>
        <c:axPos val="r"/>
        <c:minorGridlines/>
        <c:title>
          <c:tx>
            <c:rich>
              <a:bodyPr rot="-5400000" vert="horz"/>
              <a:lstStyle/>
              <a:p>
                <a:pPr>
                  <a:defRPr/>
                </a:pPr>
                <a:r>
                  <a:rPr lang="en-US"/>
                  <a:t>Conversion</a:t>
                </a:r>
                <a:r>
                  <a:rPr lang="en-US" baseline="0"/>
                  <a:t> Rate</a:t>
                </a:r>
                <a:endParaRPr lang="en-US"/>
              </a:p>
            </c:rich>
          </c:tx>
          <c:layout/>
          <c:overlay val="0"/>
        </c:title>
        <c:numFmt formatCode="General" sourceLinked="1"/>
        <c:majorTickMark val="out"/>
        <c:minorTickMark val="none"/>
        <c:tickLblPos val="nextTo"/>
        <c:crossAx val="2143353144"/>
        <c:crosses val="max"/>
        <c:crossBetween val="between"/>
      </c:valAx>
      <c:catAx>
        <c:axId val="2143353144"/>
        <c:scaling>
          <c:orientation val="minMax"/>
        </c:scaling>
        <c:delete val="1"/>
        <c:axPos val="b"/>
        <c:numFmt formatCode="General" sourceLinked="1"/>
        <c:majorTickMark val="out"/>
        <c:minorTickMark val="none"/>
        <c:tickLblPos val="nextTo"/>
        <c:crossAx val="2145776584"/>
        <c:crosses val="autoZero"/>
        <c:auto val="1"/>
        <c:lblAlgn val="ctr"/>
        <c:lblOffset val="100"/>
        <c:noMultiLvlLbl val="0"/>
      </c:catAx>
    </c:plotArea>
    <c:legend>
      <c:legendPos val="b"/>
      <c:layout>
        <c:manualLayout>
          <c:xMode val="edge"/>
          <c:yMode val="edge"/>
          <c:x val="0.0"/>
          <c:y val="0.885066265593205"/>
          <c:w val="0.509627626243824"/>
          <c:h val="0.114933888656787"/>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13</Pages>
  <Words>2722</Words>
  <Characters>15520</Characters>
  <Application>Microsoft Macintosh Word</Application>
  <DocSecurity>0</DocSecurity>
  <Lines>129</Lines>
  <Paragraphs>36</Paragraphs>
  <ScaleCrop>false</ScaleCrop>
  <Company/>
  <LinksUpToDate>false</LinksUpToDate>
  <CharactersWithSpaces>18206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107</cp:revision>
  <dcterms:created xsi:type="dcterms:W3CDTF">2020-03-16T14:22:00Z</dcterms:created>
  <dcterms:modified xsi:type="dcterms:W3CDTF">2020-03-18T10:59:00Z</dcterms:modified>
</cp:coreProperties>
</file>