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(in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Indigenous fertiliser: 3000, 3400, 3350, 3300, 4800</w:t>
      </w:r>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200, 1142, 1039, 1499, 1000</w:t>
      </w:r>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SELECT author_name, SUM(sold_copies)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COUNT(user_id)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Pr="00170382">
        <w:rPr>
          <w:rFonts w:ascii="Calibri" w:hAnsi="Calibri" w:cs="Times New Roman"/>
        </w:rPr>
        <w:t>user_id,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Pr="00170382">
        <w:rPr>
          <w:rFonts w:ascii="Calibri" w:hAnsi="Calibri" w:cs="Times New Roman"/>
        </w:rPr>
        <w:t>event_log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(COUNT(event_date_time)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AND COUNT(event_date_time)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 xml:space="preserve">To display the department_name that fulfill the requirements (avg(salary)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department_name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department_name,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CAST(AVG(salary)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employees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r w:rsidRPr="001C6483">
        <w:rPr>
          <w:rFonts w:ascii="Calibri" w:hAnsi="Calibri" w:cs="Times New Roman"/>
        </w:rPr>
        <w:t>department_name,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r w:rsidRPr="001C6483">
        <w:rPr>
          <w:rFonts w:ascii="Calibri" w:hAnsi="Calibri" w:cs="Times New Roman"/>
        </w:rPr>
        <w:t>CAST(AVG(salary)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r w:rsidRPr="001C6483">
        <w:rPr>
          <w:rFonts w:ascii="Calibri" w:hAnsi="Calibri" w:cs="Times New Roman"/>
        </w:rPr>
        <w:t>employees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r w:rsidRPr="001C6483">
        <w:rPr>
          <w:rFonts w:ascii="Calibri" w:hAnsi="Calibri" w:cs="Times New Roman"/>
        </w:rPr>
        <w:t>salaries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r w:rsidRPr="003E590E">
        <w:rPr>
          <w:rFonts w:ascii="Calibri" w:hAnsi="Calibri" w:cs="Times New Roman"/>
          <w:b/>
        </w:rPr>
        <w:t>show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r w:rsidRPr="0005266F">
        <w:rPr>
          <w:rFonts w:ascii="Calibri" w:hAnsi="Calibri" w:cs="Times New Roman"/>
        </w:rPr>
        <w:t>d.deposito_id,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r w:rsidRPr="0005266F">
        <w:rPr>
          <w:rFonts w:ascii="Calibri" w:hAnsi="Calibri" w:cs="Times New Roman"/>
        </w:rPr>
        <w:t>agate_person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r w:rsidRPr="0005266F">
        <w:rPr>
          <w:rFonts w:ascii="Calibri" w:hAnsi="Calibri" w:cs="Times New Roman"/>
        </w:rPr>
        <w:t>agate_deposito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Pr="00620BA4"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1FA7B29B" w14:textId="77777777" w:rsidR="00E25D50" w:rsidRDefault="00E25D50" w:rsidP="00620BA4">
      <w:pPr>
        <w:rPr>
          <w:rFonts w:ascii="Calibri" w:hAnsi="Calibri" w:cs="Times New Roman"/>
          <w:b/>
        </w:rPr>
      </w:pPr>
    </w:p>
    <w:p w14:paraId="45043762" w14:textId="77777777" w:rsidR="00FE43FC" w:rsidRDefault="00FE43FC" w:rsidP="00FE43FC">
      <w:pPr>
        <w:jc w:val="both"/>
        <w:rPr>
          <w:rFonts w:ascii="Calibri" w:hAnsi="Calibri" w:cs="Times New Roman"/>
        </w:rPr>
      </w:pPr>
      <w:r>
        <w:rPr>
          <w:rFonts w:ascii="Calibri" w:hAnsi="Calibri" w:cs="Times New Roman"/>
        </w:rPr>
        <w:t xml:space="preserve">Based on several sources, it is stated that some KPI’s that need to be considered towards the performance of game development are Engagement KPI’s, Financial KPI’s, User Experience KPI’s, Mobile App Marketing API’s, and App Store Optimization. The factors that are included on each KPI are as follow: </w:t>
      </w:r>
    </w:p>
    <w:p w14:paraId="7AE8FC65" w14:textId="77777777" w:rsidR="00FE43FC" w:rsidRDefault="00FE43FC" w:rsidP="00FE43FC">
      <w:pPr>
        <w:jc w:val="both"/>
        <w:rPr>
          <w:rFonts w:ascii="Calibri" w:hAnsi="Calibri" w:cs="Times New Roman"/>
        </w:rPr>
      </w:pPr>
    </w:p>
    <w:p w14:paraId="236E7819" w14:textId="4DCD8A0F" w:rsidR="00FE43FC" w:rsidRPr="00FE43FC" w:rsidRDefault="00FE43FC" w:rsidP="00FE43FC">
      <w:pPr>
        <w:pStyle w:val="ListParagraph"/>
        <w:numPr>
          <w:ilvl w:val="0"/>
          <w:numId w:val="12"/>
        </w:numPr>
        <w:jc w:val="both"/>
        <w:rPr>
          <w:rFonts w:ascii="Calibri" w:hAnsi="Calibri" w:cs="Times New Roman"/>
        </w:rPr>
      </w:pPr>
      <w:r w:rsidRPr="00FE43FC">
        <w:rPr>
          <w:rFonts w:ascii="Calibri" w:hAnsi="Calibri" w:cs="Times New Roman"/>
          <w:i/>
        </w:rPr>
        <w:t xml:space="preserve">Engagement KPI’s </w:t>
      </w:r>
      <w:r w:rsidRPr="00FE43FC">
        <w:rPr>
          <w:rFonts w:ascii="Calibri" w:hAnsi="Calibri" w:cs="Times New Roman"/>
        </w:rPr>
        <w:t>: Retention Rate, Sessions, Session Length, Session Interval, Session Depth, Avg. Screens per Visit, DAU, MAU, Social Shares (Banner, Video?), Brand Awareness, Churn Rate</w:t>
      </w:r>
    </w:p>
    <w:p w14:paraId="60022215" w14:textId="77777777" w:rsidR="00FE43FC" w:rsidRDefault="00FE43FC" w:rsidP="00FE43FC">
      <w:pPr>
        <w:rPr>
          <w:rFonts w:ascii="Calibri" w:hAnsi="Calibri" w:cs="Times New Roman"/>
        </w:rPr>
      </w:pPr>
    </w:p>
    <w:p w14:paraId="4CE27903"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Revenue-Focused/Financial KPI’s:</w:t>
      </w:r>
      <w:r w:rsidRPr="00FE43FC">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27494BD2" w14:textId="77777777" w:rsidR="00FE43FC" w:rsidRDefault="00FE43FC" w:rsidP="00FE43FC">
      <w:pPr>
        <w:rPr>
          <w:rFonts w:ascii="Calibri" w:hAnsi="Calibri" w:cs="Times New Roman"/>
        </w:rPr>
      </w:pPr>
    </w:p>
    <w:p w14:paraId="41EE8810"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 xml:space="preserve">User Experience KPI’s </w:t>
      </w:r>
      <w:r w:rsidRPr="00FE43FC">
        <w:rPr>
          <w:rFonts w:ascii="Calibri" w:hAnsi="Calibri" w:cs="Times New Roman"/>
        </w:rPr>
        <w:t>: Load Time</w:t>
      </w:r>
      <w:r w:rsidRPr="00FE43FC">
        <w:rPr>
          <w:rFonts w:ascii="Calibri" w:hAnsi="Calibri" w:cs="Times New Roman"/>
          <w:b/>
        </w:rPr>
        <w:t xml:space="preserve">, </w:t>
      </w:r>
      <w:r w:rsidRPr="00FE43FC">
        <w:rPr>
          <w:rFonts w:ascii="Calibri" w:hAnsi="Calibri" w:cs="Times New Roman"/>
        </w:rPr>
        <w:t>OS, Devices, Carriers (important), Screen Dimension/Resolution, Permissions Granted, API Latency</w:t>
      </w:r>
    </w:p>
    <w:p w14:paraId="76E6A04E" w14:textId="77777777" w:rsidR="00FE43FC" w:rsidRDefault="00FE43FC" w:rsidP="00FE43FC">
      <w:pPr>
        <w:rPr>
          <w:rFonts w:ascii="Calibri" w:hAnsi="Calibri" w:cs="Times New Roman"/>
        </w:rPr>
      </w:pPr>
    </w:p>
    <w:p w14:paraId="08A0D004"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Mobile App Marketing KPI’s</w:t>
      </w:r>
      <w:r w:rsidRPr="00FE43FC">
        <w:rPr>
          <w:rFonts w:ascii="Calibri" w:hAnsi="Calibri" w:cs="Times New Roman"/>
        </w:rPr>
        <w:t>: Install Source (for marketing campaign), Channel Breakdown, Geo-metrics, Demographics, Cohort Analysis, Behavioral Metrics</w:t>
      </w:r>
    </w:p>
    <w:p w14:paraId="1C58F0B6" w14:textId="77777777" w:rsidR="00FE43FC" w:rsidRDefault="00FE43FC" w:rsidP="00FE43FC">
      <w:pPr>
        <w:rPr>
          <w:rFonts w:ascii="Calibri" w:hAnsi="Calibri" w:cs="Times New Roman"/>
        </w:rPr>
      </w:pPr>
    </w:p>
    <w:p w14:paraId="1B1745FE" w14:textId="77777777" w:rsidR="00FE43FC" w:rsidRPr="00FE43FC" w:rsidRDefault="00FE43FC" w:rsidP="00FE43FC">
      <w:pPr>
        <w:pStyle w:val="ListParagraph"/>
        <w:numPr>
          <w:ilvl w:val="0"/>
          <w:numId w:val="11"/>
        </w:numPr>
        <w:rPr>
          <w:rFonts w:ascii="Calibri" w:hAnsi="Calibri" w:cs="Times New Roman"/>
        </w:rPr>
      </w:pPr>
      <w:r w:rsidRPr="00FE43FC">
        <w:rPr>
          <w:rFonts w:ascii="Calibri" w:hAnsi="Calibri" w:cs="Times New Roman"/>
          <w:i/>
        </w:rPr>
        <w:t>App Store Optimization (ASO):</w:t>
      </w:r>
      <w:r w:rsidRPr="00FE43FC">
        <w:rPr>
          <w:rFonts w:ascii="Calibri" w:hAnsi="Calibri" w:cs="Times New Roman"/>
        </w:rPr>
        <w:t xml:space="preserve"> Keywords, App Store Category Ranking, Views to Installs, Reviews</w:t>
      </w:r>
    </w:p>
    <w:p w14:paraId="2CA9F715" w14:textId="0F78AC16" w:rsidR="00FE43FC" w:rsidRDefault="00FE43FC" w:rsidP="00620BA4">
      <w:pPr>
        <w:rPr>
          <w:rFonts w:ascii="Calibri" w:hAnsi="Calibri" w:cs="Times New Roman"/>
        </w:rPr>
      </w:pPr>
    </w:p>
    <w:p w14:paraId="2DE1ADAD" w14:textId="2AE568BC" w:rsidR="00FE43FC" w:rsidRDefault="00FE43FC" w:rsidP="00620BA4">
      <w:pPr>
        <w:rPr>
          <w:rFonts w:ascii="Calibri" w:hAnsi="Calibri" w:cs="Times New Roman"/>
        </w:rPr>
      </w:pPr>
      <w:r>
        <w:rPr>
          <w:rFonts w:ascii="Calibri" w:hAnsi="Calibri" w:cs="Times New Roman"/>
        </w:rPr>
        <w:t>From data given for Game X, it seems like the team had been focusing too much on acquiring new user</w:t>
      </w:r>
      <w:r w:rsidR="00FD4E6B">
        <w:rPr>
          <w:rFonts w:ascii="Calibri" w:hAnsi="Calibri" w:cs="Times New Roman"/>
        </w:rPr>
        <w:t>; whereas it doesn’t really impact the revenue unless the number of paying users increased too</w:t>
      </w:r>
      <w:r w:rsidR="002F2812">
        <w:rPr>
          <w:rFonts w:ascii="Calibri" w:hAnsi="Calibri" w:cs="Times New Roman"/>
        </w:rPr>
        <w:t xml:space="preserve">. </w:t>
      </w:r>
      <w:r w:rsidR="00FD4E6B">
        <w:rPr>
          <w:rFonts w:ascii="Calibri" w:hAnsi="Calibri" w:cs="Times New Roman"/>
        </w:rPr>
        <w:t>Here’s the full table marked with the increase and decrease of each features:</w:t>
      </w:r>
    </w:p>
    <w:p w14:paraId="377F54CF" w14:textId="77777777" w:rsidR="00FD4E6B" w:rsidRDefault="00FD4E6B" w:rsidP="00620BA4">
      <w:pPr>
        <w:rPr>
          <w:rFonts w:ascii="Calibri" w:hAnsi="Calibri" w:cs="Times New Roman"/>
        </w:rPr>
      </w:pPr>
    </w:p>
    <w:p w14:paraId="3DEFBE7A" w14:textId="77777777" w:rsidR="00FD4E6B" w:rsidRDefault="00FD4E6B" w:rsidP="00620BA4">
      <w:pPr>
        <w:rPr>
          <w:rFonts w:ascii="Calibri" w:hAnsi="Calibri" w:cs="Times New Roman"/>
        </w:rPr>
      </w:pPr>
      <w:bookmarkStart w:id="0" w:name="_GoBack"/>
      <w:bookmarkEnd w:id="0"/>
    </w:p>
    <w:p w14:paraId="1C78655E" w14:textId="77777777" w:rsidR="00FE43FC" w:rsidRPr="00FE43FC" w:rsidRDefault="00FE43FC" w:rsidP="00620BA4">
      <w:pPr>
        <w:rPr>
          <w:rFonts w:ascii="Calibri" w:hAnsi="Calibri" w:cs="Times New Roman"/>
        </w:rPr>
      </w:pPr>
    </w:p>
    <w:p w14:paraId="617DB024" w14:textId="2696D32B" w:rsidR="00CB056D" w:rsidRPr="00CB056D" w:rsidRDefault="00CB056D" w:rsidP="00CB056D">
      <w:pPr>
        <w:rPr>
          <w:rFonts w:ascii="Times" w:eastAsia="Times New Roman" w:hAnsi="Times" w:cs="Times New Roman"/>
          <w:sz w:val="20"/>
          <w:szCs w:val="20"/>
        </w:rPr>
      </w:pPr>
      <w:r>
        <w:rPr>
          <w:rFonts w:ascii="Calibri" w:hAnsi="Calibri" w:cs="Times New Roman"/>
          <w:b/>
        </w:rPr>
        <w:tab/>
      </w:r>
      <w:r w:rsidRPr="00CB056D">
        <w:rPr>
          <w:rFonts w:ascii="Helvetica" w:eastAsia="Times New Roman" w:hAnsi="Helvetica" w:cs="Times New Roman"/>
          <w:b/>
          <w:bCs/>
          <w:color w:val="222222"/>
          <w:sz w:val="21"/>
          <w:szCs w:val="21"/>
        </w:rPr>
        <w:t>Churn rate</w:t>
      </w:r>
      <w:r w:rsidRPr="00CB056D">
        <w:rPr>
          <w:rFonts w:ascii="Helvetica" w:eastAsia="Times New Roman" w:hAnsi="Helvetica" w:cs="Times New Roman"/>
          <w:color w:val="222222"/>
          <w:sz w:val="21"/>
          <w:szCs w:val="21"/>
          <w:shd w:val="clear" w:color="auto" w:fill="FFFFFF"/>
        </w:rPr>
        <w:t> (sometimes called </w:t>
      </w:r>
      <w:r w:rsidRPr="00CB056D">
        <w:rPr>
          <w:rFonts w:ascii="Helvetica" w:eastAsia="Times New Roman" w:hAnsi="Helvetica" w:cs="Times New Roman"/>
          <w:b/>
          <w:bCs/>
          <w:color w:val="222222"/>
          <w:sz w:val="21"/>
          <w:szCs w:val="21"/>
        </w:rPr>
        <w:t>attrition rate</w:t>
      </w:r>
      <w:r w:rsidRPr="00CB056D">
        <w:rPr>
          <w:rFonts w:ascii="Helvetica" w:eastAsia="Times New Roman" w:hAnsi="Helvetica" w:cs="Times New Roman"/>
          <w:color w:val="222222"/>
          <w:sz w:val="21"/>
          <w:szCs w:val="21"/>
          <w:shd w:val="clear" w:color="auto" w:fill="FFFFFF"/>
        </w:rPr>
        <w:t xml:space="preserve">), in its broadest sense, is a measure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 xml:space="preserve">of the number of individuals or items moving out of a collective group over a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specific period. It is one of two primary factors that determine the </w:t>
      </w:r>
      <w:hyperlink r:id="rId11" w:tooltip="Steady state" w:history="1">
        <w:r w:rsidRPr="00CB056D">
          <w:rPr>
            <w:rFonts w:ascii="Helvetica" w:eastAsia="Times New Roman" w:hAnsi="Helvetica" w:cs="Times New Roman"/>
            <w:color w:val="0B0080"/>
            <w:sz w:val="21"/>
            <w:szCs w:val="21"/>
          </w:rPr>
          <w:t>steady-</w:t>
        </w:r>
        <w:r>
          <w:rPr>
            <w:rFonts w:ascii="Helvetica" w:eastAsia="Times New Roman" w:hAnsi="Helvetica" w:cs="Times New Roman"/>
            <w:color w:val="0B0080"/>
            <w:sz w:val="21"/>
            <w:szCs w:val="21"/>
          </w:rPr>
          <w:tab/>
        </w:r>
        <w:r w:rsidRPr="00CB056D">
          <w:rPr>
            <w:rFonts w:ascii="Helvetica" w:eastAsia="Times New Roman" w:hAnsi="Helvetica" w:cs="Times New Roman"/>
            <w:color w:val="0B0080"/>
            <w:sz w:val="21"/>
            <w:szCs w:val="21"/>
          </w:rPr>
          <w:t>state</w:t>
        </w:r>
      </w:hyperlink>
      <w:r w:rsidRPr="00CB056D">
        <w:rPr>
          <w:rFonts w:ascii="Helvetica" w:eastAsia="Times New Roman" w:hAnsi="Helvetica" w:cs="Times New Roman"/>
          <w:color w:val="222222"/>
          <w:sz w:val="21"/>
          <w:szCs w:val="21"/>
          <w:shd w:val="clear" w:color="auto" w:fill="FFFFFF"/>
        </w:rPr>
        <w:t> level of customers a business will support.</w:t>
      </w:r>
    </w:p>
    <w:p w14:paraId="0FA4A2EF" w14:textId="60121A50" w:rsidR="00620BA4" w:rsidRDefault="00620BA4" w:rsidP="00620BA4">
      <w:pPr>
        <w:rPr>
          <w:rFonts w:ascii="Calibri" w:hAnsi="Calibri" w:cs="Times New Roman"/>
          <w:b/>
        </w:rPr>
      </w:pPr>
    </w:p>
    <w:p w14:paraId="032FDAA3" w14:textId="2CA42F69" w:rsidR="00CB056D" w:rsidRDefault="006E6ED2" w:rsidP="00620BA4">
      <w:pPr>
        <w:rPr>
          <w:rFonts w:ascii="Calibri" w:hAnsi="Calibri" w:cs="Times New Roman"/>
          <w:b/>
        </w:rPr>
      </w:pPr>
      <w:hyperlink r:id="rId12" w:history="1">
        <w:r w:rsidRPr="00A91556">
          <w:rPr>
            <w:rStyle w:val="Hyperlink"/>
            <w:rFonts w:ascii="Calibri" w:hAnsi="Calibri" w:cs="Times New Roman"/>
            <w:b/>
          </w:rPr>
          <w:t>https://gameanalytics.com/blog/50-kpi-measure-mobile-game-app.html</w:t>
        </w:r>
      </w:hyperlink>
    </w:p>
    <w:p w14:paraId="42674406" w14:textId="77777777" w:rsidR="006E6ED2" w:rsidRDefault="006E6ED2" w:rsidP="00620BA4">
      <w:pPr>
        <w:rPr>
          <w:rFonts w:ascii="Calibri" w:hAnsi="Calibri" w:cs="Times New Roman"/>
          <w:b/>
        </w:rPr>
      </w:pPr>
    </w:p>
    <w:p w14:paraId="505C8B9E" w14:textId="77777777" w:rsidR="0091753D" w:rsidRDefault="0091753D" w:rsidP="00620BA4">
      <w:pPr>
        <w:rPr>
          <w:rFonts w:ascii="Calibri" w:hAnsi="Calibri" w:cs="Times New Roman"/>
          <w:b/>
        </w:rPr>
      </w:pPr>
    </w:p>
    <w:p w14:paraId="0964FA8D" w14:textId="77777777" w:rsidR="0091753D" w:rsidRDefault="0091753D" w:rsidP="00620BA4">
      <w:pPr>
        <w:rPr>
          <w:rFonts w:ascii="Calibri" w:hAnsi="Calibri" w:cs="Times New Roman"/>
          <w:b/>
        </w:rPr>
      </w:pPr>
    </w:p>
    <w:p w14:paraId="3A0B6CFD" w14:textId="77777777" w:rsidR="00620BA4" w:rsidRDefault="00620BA4" w:rsidP="00620BA4">
      <w:pPr>
        <w:rPr>
          <w:rFonts w:ascii="Calibri" w:hAnsi="Calibri" w:cs="Times New Roman"/>
          <w:b/>
        </w:rPr>
      </w:pP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147EA3A5" w:rsidR="0091753D" w:rsidRDefault="007B0244" w:rsidP="007B0244">
      <w:pPr>
        <w:jc w:val="both"/>
        <w:rPr>
          <w:rFonts w:ascii="Calibri" w:hAnsi="Calibri" w:cs="Times New Roman"/>
        </w:rPr>
      </w:pPr>
      <w:r>
        <w:rPr>
          <w:rFonts w:ascii="Calibri" w:hAnsi="Calibri" w:cs="Times New Roman"/>
        </w:rPr>
        <w:tab/>
        <w:t xml:space="preserve">To explain the problem of Game X, I think there are two major problems. First, the problem of Game X is between the management. The resignation of the previous PM shouldn’t have stopped the campaign. Although not explained in specific detail, we can see that overall the paid users in 2018 dropped very low comparing to the paid users from 2017. From the User Acquisition Media, none of the campaigns seem to reach more than 10,000 users. Which in 2017 considered the lowest. The changes in acquisition media affect a lot towards the new user results. Although, the new users acquisition doesn’t influence heavily upon the revenue as much as the loyal users, there are certain aspects that are impacted by the new users, such as </w:t>
      </w:r>
      <w:r w:rsidR="00A94C74">
        <w:rPr>
          <w:rFonts w:ascii="Calibri" w:hAnsi="Calibri" w:cs="Times New Roman"/>
        </w:rPr>
        <w:t xml:space="preserve">the Engagement KPI’s. By having more new users, mean there’ll be more chances to increase the brand awareness towards the public. Also, it seems like the new campaign (2018) didn’t go in sync with the events implemented in the game, thus making the revenue very low. There must be a balance between the campaign as well as the events &amp; IAP, to get a better retention. There needs to be a more detailed data on the Cost per Acquisition for each </w:t>
      </w:r>
      <w:r w:rsidR="007C764C">
        <w:rPr>
          <w:rFonts w:ascii="Calibri" w:hAnsi="Calibri" w:cs="Times New Roman"/>
        </w:rPr>
        <w:t>campaign</w:t>
      </w:r>
      <w:r w:rsidR="00A94C74">
        <w:rPr>
          <w:rFonts w:ascii="Calibri" w:hAnsi="Calibri" w:cs="Times New Roman"/>
        </w:rPr>
        <w:t>.</w:t>
      </w:r>
    </w:p>
    <w:p w14:paraId="3B9EF7FD" w14:textId="77777777" w:rsidR="00A94C74" w:rsidRDefault="00A94C74" w:rsidP="007B0244">
      <w:pPr>
        <w:jc w:val="both"/>
        <w:rPr>
          <w:rFonts w:ascii="Calibri" w:hAnsi="Calibri" w:cs="Times New Roman"/>
        </w:rPr>
      </w:pPr>
    </w:p>
    <w:p w14:paraId="7AA33E53" w14:textId="5958A491" w:rsidR="00A94C74" w:rsidRDefault="00A94C74" w:rsidP="007B0244">
      <w:pPr>
        <w:jc w:val="both"/>
        <w:rPr>
          <w:rFonts w:ascii="Calibri" w:hAnsi="Calibri" w:cs="Times New Roman"/>
        </w:rPr>
      </w:pPr>
      <w:r>
        <w:rPr>
          <w:rFonts w:ascii="Calibri" w:hAnsi="Calibri" w:cs="Times New Roman"/>
        </w:rPr>
        <w:tab/>
        <w:t>Second important aspect is the user experience. New users tend to have less patience than active loyal users or paying users. They wanted to know how the game will be, thus the increase in size affect the loading screen before playing. In 2018, size is increased and registration is added more, making new users churn rate high. Splash screen to download data create a 33.33% churn rate, followed by downloading data to registration another 20%. Once the user gets into the Tutorial 1, there was only 46.6% users left since when they enter the game. This means about half the users left before even trying the tutorials.</w:t>
      </w:r>
      <w:r w:rsidR="007C764C">
        <w:rPr>
          <w:rFonts w:ascii="Calibri" w:hAnsi="Calibri" w:cs="Times New Roman"/>
        </w:rPr>
        <w:t xml:space="preserve"> Making Tutorial 2 (Funnel 2018) harder seems to work, with users wanted to leave after Tutorial 2 only less than 1%. However, from Tutorial 1 to Tutorial 2 there were already 16.67% users left. Perhaps there should be an option whether a user could choose if they want to go for another Tutorial or straight to Home Screen.</w:t>
      </w:r>
    </w:p>
    <w:p w14:paraId="6CC44E91" w14:textId="77777777" w:rsidR="0091753D" w:rsidRDefault="0091753D"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Default="00620BA4" w:rsidP="00620BA4">
      <w:pPr>
        <w:rPr>
          <w:rFonts w:ascii="Calibri" w:hAnsi="Calibri" w:cs="Times New Roman"/>
          <w:b/>
        </w:rPr>
      </w:pPr>
    </w:p>
    <w:p w14:paraId="1101DD9C" w14:textId="0F9F6458" w:rsidR="00706B95" w:rsidRPr="00706B95" w:rsidRDefault="00706B95" w:rsidP="00620BA4">
      <w:pPr>
        <w:rPr>
          <w:rFonts w:ascii="Calibri" w:hAnsi="Calibri" w:cs="Times New Roman"/>
        </w:rPr>
      </w:pPr>
      <w:r>
        <w:rPr>
          <w:rFonts w:ascii="Calibri" w:hAnsi="Calibri" w:cs="Times New Roman"/>
          <w:b/>
        </w:rPr>
        <w:tab/>
      </w:r>
    </w:p>
    <w:p w14:paraId="173E21FD" w14:textId="77777777" w:rsidR="00620BA4" w:rsidRDefault="00620BA4" w:rsidP="00620BA4">
      <w:pPr>
        <w:rPr>
          <w:rFonts w:ascii="Calibri" w:hAnsi="Calibri" w:cs="Times New Roman"/>
          <w:b/>
        </w:rPr>
      </w:pPr>
    </w:p>
    <w:p w14:paraId="00BA72AC" w14:textId="77777777" w:rsidR="00E909E6" w:rsidRDefault="00E909E6" w:rsidP="00620BA4">
      <w:pPr>
        <w:rPr>
          <w:rFonts w:ascii="Calibri" w:hAnsi="Calibri" w:cs="Times New Roman"/>
          <w:b/>
        </w:rPr>
      </w:pPr>
    </w:p>
    <w:p w14:paraId="0BCDCF0F" w14:textId="77777777" w:rsidR="00E909E6" w:rsidRDefault="00E909E6" w:rsidP="00620BA4">
      <w:pPr>
        <w:rPr>
          <w:rFonts w:ascii="Calibri" w:hAnsi="Calibri" w:cs="Times New Roman"/>
          <w:b/>
        </w:rPr>
      </w:pPr>
    </w:p>
    <w:p w14:paraId="718D2A1F" w14:textId="292E8362" w:rsidR="00E909E6" w:rsidRDefault="00E909E6" w:rsidP="00620BA4">
      <w:pPr>
        <w:rPr>
          <w:rFonts w:ascii="Calibri" w:hAnsi="Calibri" w:cs="Times New Roman"/>
          <w:b/>
        </w:rPr>
      </w:pPr>
      <w:r>
        <w:rPr>
          <w:noProof/>
        </w:rPr>
        <w:drawing>
          <wp:inline distT="0" distB="0" distL="0" distR="0" wp14:anchorId="787306F6" wp14:editId="7E02D04E">
            <wp:extent cx="5270500" cy="2826184"/>
            <wp:effectExtent l="0" t="0" r="127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5CB07" w14:textId="77777777" w:rsidR="00E909E6" w:rsidRDefault="00E909E6" w:rsidP="00620BA4">
      <w:pPr>
        <w:rPr>
          <w:rFonts w:ascii="Calibri" w:hAnsi="Calibri" w:cs="Times New Roman"/>
          <w:b/>
        </w:rPr>
      </w:pPr>
    </w:p>
    <w:p w14:paraId="38CDBA4A" w14:textId="4A7DC650" w:rsidR="00F32DF7" w:rsidRPr="00F32DF7" w:rsidRDefault="00F32DF7" w:rsidP="009B74CF">
      <w:pPr>
        <w:jc w:val="both"/>
        <w:rPr>
          <w:rFonts w:ascii="Calibri" w:hAnsi="Calibri" w:cs="Times New Roman"/>
          <w:u w:val="single"/>
        </w:rPr>
      </w:pPr>
      <w:r w:rsidRPr="00F32DF7">
        <w:rPr>
          <w:rFonts w:ascii="Calibri" w:hAnsi="Calibri" w:cs="Times New Roman"/>
          <w:u w:val="single"/>
        </w:rPr>
        <w:t>New Users Behaviour</w:t>
      </w:r>
      <w:r w:rsidR="007C2493">
        <w:rPr>
          <w:rFonts w:ascii="Calibri" w:hAnsi="Calibri" w:cs="Times New Roman"/>
          <w:u w:val="single"/>
        </w:rPr>
        <w:t xml:space="preserve"> Towards Conversion Rate</w:t>
      </w:r>
    </w:p>
    <w:p w14:paraId="477071F0" w14:textId="77777777" w:rsidR="00F32DF7" w:rsidRDefault="00F32DF7" w:rsidP="009B74CF">
      <w:pPr>
        <w:jc w:val="both"/>
        <w:rPr>
          <w:rFonts w:ascii="Calibri" w:hAnsi="Calibri" w:cs="Times New Roman"/>
        </w:rPr>
      </w:pPr>
    </w:p>
    <w:p w14:paraId="611D9B3F" w14:textId="51B3D70F" w:rsidR="00177E19" w:rsidRDefault="00177E19" w:rsidP="009B74CF">
      <w:pPr>
        <w:jc w:val="both"/>
        <w:rPr>
          <w:rFonts w:ascii="Calibri" w:hAnsi="Calibri" w:cs="Times New Roman"/>
        </w:rPr>
      </w:pPr>
      <w:r>
        <w:rPr>
          <w:rFonts w:ascii="Calibri" w:hAnsi="Calibri" w:cs="Times New Roman"/>
        </w:rPr>
        <w:t>a. New User</w:t>
      </w:r>
      <w:r w:rsidR="007C2493">
        <w:rPr>
          <w:rFonts w:ascii="Calibri" w:hAnsi="Calibri" w:cs="Times New Roman"/>
        </w:rPr>
        <w:t>s</w:t>
      </w:r>
    </w:p>
    <w:p w14:paraId="42D4452C" w14:textId="164EC179" w:rsidR="00703BCD" w:rsidRDefault="001D2D28" w:rsidP="00703BCD">
      <w:pPr>
        <w:jc w:val="both"/>
        <w:rPr>
          <w:rFonts w:ascii="Calibri" w:hAnsi="Calibri" w:cs="Times New Roman"/>
        </w:rPr>
      </w:pPr>
      <w:r>
        <w:rPr>
          <w:rFonts w:ascii="Calibri" w:hAnsi="Calibri" w:cs="Times New Roman"/>
        </w:rPr>
        <w:tab/>
      </w:r>
      <w:r w:rsidR="009B74CF">
        <w:rPr>
          <w:rFonts w:ascii="Calibri" w:hAnsi="Calibri" w:cs="Times New Roman"/>
        </w:rPr>
        <w:t xml:space="preserve">In 2017, New User (NU) reached peak on April ’17 at 191,966 users. Based on the User Acquisition data from </w:t>
      </w:r>
      <w:r w:rsidR="00F32DF7">
        <w:rPr>
          <w:rFonts w:ascii="Calibri" w:hAnsi="Calibri" w:cs="Times New Roman"/>
        </w:rPr>
        <w:t>Marketing</w:t>
      </w:r>
      <w:r w:rsidR="009B74CF">
        <w:rPr>
          <w:rFonts w:ascii="Calibri" w:hAnsi="Calibri" w:cs="Times New Roman"/>
        </w:rPr>
        <w:t xml:space="preserve"> division this is probably due to using Video for the marketing campaign. After that, new user seems to steadily decrease until the end of the year. </w:t>
      </w:r>
      <w:r w:rsidR="00703BCD">
        <w:rPr>
          <w:rFonts w:ascii="Calibri" w:hAnsi="Calibri" w:cs="Times New Roman"/>
        </w:rPr>
        <w:t>This means that the Marketing Campaig</w:t>
      </w:r>
      <w:r>
        <w:rPr>
          <w:rFonts w:ascii="Calibri" w:hAnsi="Calibri" w:cs="Times New Roman"/>
        </w:rPr>
        <w:t>ns implemented in June, October and</w:t>
      </w:r>
      <w:r w:rsidR="00703BCD">
        <w:rPr>
          <w:rFonts w:ascii="Calibri" w:hAnsi="Calibri" w:cs="Times New Roman"/>
        </w:rPr>
        <w:t xml:space="preserve"> November 2017, which is the combination between Banner, Video, and Carrousel, weren’t very effective. Perhaps the most effective way to acquiere new users are by Video campaign that were implemented in March.</w:t>
      </w:r>
    </w:p>
    <w:p w14:paraId="0371F31E" w14:textId="77777777" w:rsidR="001D2D28" w:rsidRDefault="001D2D28" w:rsidP="00703BCD">
      <w:pPr>
        <w:jc w:val="both"/>
        <w:rPr>
          <w:rFonts w:ascii="Calibri" w:hAnsi="Calibri" w:cs="Times New Roman"/>
        </w:rPr>
      </w:pPr>
    </w:p>
    <w:p w14:paraId="40D8DE15" w14:textId="42224268" w:rsidR="001D2D28" w:rsidRDefault="001D2D28" w:rsidP="00703BCD">
      <w:pPr>
        <w:jc w:val="both"/>
        <w:rPr>
          <w:rFonts w:ascii="Calibri" w:hAnsi="Calibri" w:cs="Times New Roman"/>
        </w:rPr>
      </w:pPr>
      <w:r>
        <w:rPr>
          <w:rFonts w:ascii="Calibri" w:hAnsi="Calibri" w:cs="Times New Roman"/>
        </w:rPr>
        <w:tab/>
        <w:t>By the end of 2017, the New Users acquired reach the lowest point for the 2 years of game run. In January 2018, it rised to almost 32,000 users, so perhaps the Banner and Carrousel implemented by Marketing Division in December ’17 combined with the New Year event as well as the easier Tutorial 2 worked well. It only increased until the end of January ’17, before steadily decrease again until April ’17. Based on the Marketing data, Banner was used in Feb ’18</w:t>
      </w:r>
      <w:r w:rsidR="00DC07E5">
        <w:rPr>
          <w:rFonts w:ascii="Calibri" w:hAnsi="Calibri" w:cs="Times New Roman"/>
        </w:rPr>
        <w:t>,</w:t>
      </w:r>
      <w:r>
        <w:rPr>
          <w:rFonts w:ascii="Calibri" w:hAnsi="Calibri" w:cs="Times New Roman"/>
        </w:rPr>
        <w:t xml:space="preserve"> which seems like it wasn’t a very effective campaign. </w:t>
      </w:r>
      <w:r w:rsidR="00DC07E5">
        <w:rPr>
          <w:rFonts w:ascii="Calibri" w:hAnsi="Calibri" w:cs="Times New Roman"/>
        </w:rPr>
        <w:t>After April ’18, it steadily increased until June ’18, which I think is due to the addition of more gacha character, dungeons, as well as events. NU dropped in July (also marketing campaign was Banner), but stayed on consistent number until September, before rising steadily until the end of the year. Overall, although so far from NU in 2017, there were a certain increase by the Q4 of 2018, and there weren’t any significant decrease as happened in 2017.</w:t>
      </w:r>
    </w:p>
    <w:p w14:paraId="458873FB" w14:textId="77777777" w:rsidR="001D2D28" w:rsidRDefault="001D2D28" w:rsidP="00703BCD">
      <w:pPr>
        <w:jc w:val="both"/>
        <w:rPr>
          <w:rFonts w:ascii="Calibri" w:hAnsi="Calibri" w:cs="Times New Roman"/>
        </w:rPr>
      </w:pPr>
    </w:p>
    <w:p w14:paraId="65D0CB76" w14:textId="57756ED3" w:rsidR="00DC07E5" w:rsidRDefault="0037656D" w:rsidP="00703BCD">
      <w:pPr>
        <w:jc w:val="both"/>
        <w:rPr>
          <w:rFonts w:ascii="Calibri" w:hAnsi="Calibri" w:cs="Times New Roman"/>
        </w:rPr>
      </w:pPr>
      <w:r>
        <w:rPr>
          <w:rFonts w:ascii="Calibri" w:hAnsi="Calibri" w:cs="Times New Roman"/>
        </w:rPr>
        <w:tab/>
      </w:r>
      <w:r w:rsidR="00DC07E5">
        <w:rPr>
          <w:rFonts w:ascii="Calibri" w:hAnsi="Calibri" w:cs="Times New Roman"/>
        </w:rPr>
        <w:t xml:space="preserve">From here, we can conclude that new users are more likely to be attracted by using Video campaign. Banner and Carrousel only executed well when implemented along with some events in the game. </w:t>
      </w:r>
    </w:p>
    <w:p w14:paraId="4E09D313" w14:textId="77777777" w:rsidR="00703BCD" w:rsidRDefault="00703BCD" w:rsidP="009B74CF">
      <w:pPr>
        <w:jc w:val="both"/>
        <w:rPr>
          <w:rFonts w:ascii="Calibri" w:hAnsi="Calibri" w:cs="Times New Roman"/>
        </w:rPr>
      </w:pPr>
    </w:p>
    <w:p w14:paraId="0338B73F" w14:textId="48709F24" w:rsidR="00177E19" w:rsidRDefault="007C2493" w:rsidP="009B74CF">
      <w:pPr>
        <w:jc w:val="both"/>
        <w:rPr>
          <w:rFonts w:ascii="Calibri" w:hAnsi="Calibri" w:cs="Times New Roman"/>
        </w:rPr>
      </w:pPr>
      <w:r>
        <w:rPr>
          <w:rFonts w:ascii="Calibri" w:hAnsi="Calibri" w:cs="Times New Roman"/>
        </w:rPr>
        <w:t>b. Conversion Rate</w:t>
      </w:r>
    </w:p>
    <w:p w14:paraId="417B6C05" w14:textId="710CDDE3" w:rsidR="009B74CF" w:rsidRDefault="00177E19" w:rsidP="009B74CF">
      <w:pPr>
        <w:jc w:val="both"/>
        <w:rPr>
          <w:rFonts w:ascii="Calibri" w:hAnsi="Calibri" w:cs="Times New Roman"/>
        </w:rPr>
      </w:pPr>
      <w:r>
        <w:rPr>
          <w:rFonts w:ascii="Calibri" w:hAnsi="Calibri" w:cs="Times New Roman"/>
        </w:rPr>
        <w:tab/>
      </w:r>
      <w:r w:rsidR="00703BCD">
        <w:rPr>
          <w:rFonts w:ascii="Calibri" w:hAnsi="Calibri" w:cs="Times New Roman"/>
        </w:rPr>
        <w:t>On the other hand, i</w:t>
      </w:r>
      <w:r w:rsidR="009B74CF">
        <w:rPr>
          <w:rFonts w:ascii="Calibri" w:hAnsi="Calibri" w:cs="Times New Roman"/>
        </w:rPr>
        <w:t>n certain months we can see some significant increase in Conversion Rate (CR).</w:t>
      </w:r>
      <w:r w:rsidR="007C2493">
        <w:rPr>
          <w:rFonts w:ascii="Calibri" w:hAnsi="Calibri" w:cs="Times New Roman"/>
        </w:rPr>
        <w:t xml:space="preserve"> At the beginning it elevated very good from January to February 2017. Perhaps the “Season of Love” event worked really good. However, after that, we can see that there weren’t any activities in Development Log from March to May, which consequently affected the steady decrease CR until May ‘17.</w:t>
      </w:r>
    </w:p>
    <w:p w14:paraId="63B19539" w14:textId="77777777" w:rsidR="007C2493" w:rsidRDefault="007C2493" w:rsidP="009B74CF">
      <w:pPr>
        <w:jc w:val="both"/>
        <w:rPr>
          <w:rFonts w:ascii="Calibri" w:hAnsi="Calibri" w:cs="Times New Roman"/>
        </w:rPr>
      </w:pPr>
    </w:p>
    <w:p w14:paraId="7F58D23A" w14:textId="7166577E" w:rsidR="009B74CF" w:rsidRDefault="00177E19" w:rsidP="009B74CF">
      <w:pPr>
        <w:jc w:val="both"/>
        <w:rPr>
          <w:rFonts w:ascii="Calibri" w:hAnsi="Calibri" w:cs="Times New Roman"/>
        </w:rPr>
      </w:pPr>
      <w:r>
        <w:rPr>
          <w:rFonts w:ascii="Calibri" w:hAnsi="Calibri" w:cs="Times New Roman"/>
        </w:rPr>
        <w:tab/>
        <w:t>In</w:t>
      </w:r>
      <w:r w:rsidR="009B74CF">
        <w:rPr>
          <w:rFonts w:ascii="Calibri" w:hAnsi="Calibri" w:cs="Times New Roman"/>
        </w:rPr>
        <w:t xml:space="preserve"> June 2017, CR reached </w:t>
      </w:r>
      <w:r w:rsidR="007C2493">
        <w:rPr>
          <w:rFonts w:ascii="Calibri" w:hAnsi="Calibri" w:cs="Times New Roman"/>
        </w:rPr>
        <w:t>the highest</w:t>
      </w:r>
      <w:r w:rsidR="009B74CF">
        <w:rPr>
          <w:rFonts w:ascii="Calibri" w:hAnsi="Calibri" w:cs="Times New Roman"/>
        </w:rPr>
        <w:t xml:space="preserve"> </w:t>
      </w:r>
      <w:r w:rsidR="007C2493">
        <w:rPr>
          <w:rFonts w:ascii="Calibri" w:hAnsi="Calibri" w:cs="Times New Roman"/>
        </w:rPr>
        <w:t>number</w:t>
      </w:r>
      <w:r w:rsidR="009B74CF">
        <w:rPr>
          <w:rFonts w:ascii="Calibri" w:hAnsi="Calibri" w:cs="Times New Roman"/>
        </w:rPr>
        <w:t>, which is 0.94. That means only 6% of the NU decided to play free. Based on Development Log (DL), at the beginning of May ’17 Game X added more in-app-purchase and new Water Dungeon. This means the IAP and event worked efficiently. On July</w:t>
      </w:r>
      <w:r w:rsidR="00BA53CD">
        <w:rPr>
          <w:rFonts w:ascii="Calibri" w:hAnsi="Calibri" w:cs="Times New Roman"/>
        </w:rPr>
        <w:t xml:space="preserve"> ‘17</w:t>
      </w:r>
      <w:r w:rsidR="009B74CF">
        <w:rPr>
          <w:rFonts w:ascii="Calibri" w:hAnsi="Calibri" w:cs="Times New Roman"/>
        </w:rPr>
        <w:t xml:space="preserve">, it dropped </w:t>
      </w:r>
      <w:r w:rsidR="00BA53CD">
        <w:rPr>
          <w:rFonts w:ascii="Calibri" w:hAnsi="Calibri" w:cs="Times New Roman"/>
        </w:rPr>
        <w:t>very steep to 0.36 before increasing gradually from August until October. It is stated in DL that there were a lot of events during this time</w:t>
      </w:r>
      <w:r w:rsidR="00F32DF7">
        <w:rPr>
          <w:rFonts w:ascii="Calibri" w:hAnsi="Calibri" w:cs="Times New Roman"/>
        </w:rPr>
        <w:t>. In August ‘17, there were daily event in game, special holiday event, and special secret dungeon implementation. October ’17 had Halloween Event, which from the graph above it seems like it the events in October weren’t as effective as August. Since it declined half in November before rising double in December. The rise in Dec ’17 most probably due to the Christmas and NY event, and making Tutorial 2 become easier. The funnel section shows that only less than 1% of first experience user quitted the game.</w:t>
      </w:r>
    </w:p>
    <w:p w14:paraId="0641716F" w14:textId="77777777" w:rsidR="00177E19" w:rsidRDefault="00177E19" w:rsidP="009B74CF">
      <w:pPr>
        <w:jc w:val="both"/>
        <w:rPr>
          <w:rFonts w:ascii="Calibri" w:hAnsi="Calibri" w:cs="Times New Roman"/>
        </w:rPr>
      </w:pPr>
    </w:p>
    <w:p w14:paraId="43762C84" w14:textId="54FE4EBF" w:rsidR="0037656D" w:rsidRDefault="00D108B0" w:rsidP="009B74CF">
      <w:pPr>
        <w:jc w:val="both"/>
        <w:rPr>
          <w:rFonts w:ascii="Calibri" w:hAnsi="Calibri" w:cs="Times New Roman"/>
        </w:rPr>
      </w:pPr>
      <w:r>
        <w:rPr>
          <w:rFonts w:ascii="Calibri" w:hAnsi="Calibri" w:cs="Times New Roman"/>
        </w:rPr>
        <w:tab/>
        <w:t>Starting in January ’18 to March ’18, CR steadily increased. However, after March it started to decrease carefully. Although not significant, perhaps this is due to the addition of registration process in March 2018.</w:t>
      </w:r>
      <w:r w:rsidR="00E050EA">
        <w:rPr>
          <w:rFonts w:ascii="Calibri" w:hAnsi="Calibri" w:cs="Times New Roman"/>
        </w:rPr>
        <w:t xml:space="preserve"> The 100% increase in size by the middle of January seems to have effects in conversion rate, most probably new users started to question if the size of the game would be worth the data waste. After April, it steadily decreased by maintain the value in average. The significant decrease in conversion rate started to </w:t>
      </w:r>
      <w:r w:rsidR="00CD5462">
        <w:rPr>
          <w:rFonts w:ascii="Calibri" w:hAnsi="Calibri" w:cs="Times New Roman"/>
        </w:rPr>
        <w:t>appear</w:t>
      </w:r>
      <w:r w:rsidR="00E050EA">
        <w:rPr>
          <w:rFonts w:ascii="Calibri" w:hAnsi="Calibri" w:cs="Times New Roman"/>
        </w:rPr>
        <w:t xml:space="preserve"> in Oct ’18. By the end of Q4, CR reached the lowest point, which is 0.12.</w:t>
      </w:r>
      <w:r w:rsidR="00E81099">
        <w:rPr>
          <w:rFonts w:ascii="Calibri" w:hAnsi="Calibri" w:cs="Times New Roman"/>
        </w:rPr>
        <w:t xml:space="preserve"> From the funnel report, it is shown that 1/3 of the users deleted the app due to the Splash Screen and 1/5 from Registration.</w:t>
      </w:r>
      <w:r w:rsidR="00CD5462">
        <w:rPr>
          <w:rFonts w:ascii="Calibri" w:hAnsi="Calibri" w:cs="Times New Roman"/>
        </w:rPr>
        <w:t xml:space="preserve"> So we can conclude that the Registration and Size of apps influence the new users.</w:t>
      </w:r>
    </w:p>
    <w:p w14:paraId="05855074" w14:textId="055D5EC8" w:rsidR="00BA53CD" w:rsidRDefault="00E050EA" w:rsidP="009B74CF">
      <w:pPr>
        <w:jc w:val="both"/>
        <w:rPr>
          <w:rFonts w:ascii="Calibri" w:hAnsi="Calibri" w:cs="Times New Roman"/>
        </w:rPr>
      </w:pPr>
      <w:r>
        <w:rPr>
          <w:rFonts w:ascii="Calibri" w:hAnsi="Calibri" w:cs="Times New Roman"/>
        </w:rPr>
        <w:t xml:space="preserve"> </w:t>
      </w:r>
    </w:p>
    <w:p w14:paraId="6A09C192" w14:textId="164239BC" w:rsidR="00A20668" w:rsidRDefault="00A20668" w:rsidP="009B74CF">
      <w:pPr>
        <w:jc w:val="both"/>
        <w:rPr>
          <w:rFonts w:ascii="Calibri" w:hAnsi="Calibri" w:cs="Times New Roman"/>
          <w:u w:val="single"/>
        </w:rPr>
      </w:pPr>
      <w:r>
        <w:rPr>
          <w:rFonts w:ascii="Calibri" w:hAnsi="Calibri" w:cs="Times New Roman"/>
          <w:u w:val="single"/>
        </w:rPr>
        <w:t xml:space="preserve">Conclusion: </w:t>
      </w:r>
    </w:p>
    <w:p w14:paraId="4B11800F" w14:textId="77777777" w:rsidR="00A20668" w:rsidRDefault="00A20668" w:rsidP="009B74CF">
      <w:pPr>
        <w:jc w:val="both"/>
        <w:rPr>
          <w:rFonts w:ascii="Calibri" w:hAnsi="Calibri" w:cs="Times New Roman"/>
          <w:u w:val="single"/>
        </w:rPr>
      </w:pPr>
    </w:p>
    <w:p w14:paraId="1353F09C" w14:textId="53127C50" w:rsidR="00A20668" w:rsidRPr="00A20668" w:rsidRDefault="00A20668" w:rsidP="00A20668">
      <w:pPr>
        <w:pStyle w:val="ListParagraph"/>
        <w:numPr>
          <w:ilvl w:val="0"/>
          <w:numId w:val="10"/>
        </w:numPr>
        <w:jc w:val="both"/>
        <w:rPr>
          <w:rFonts w:ascii="Calibri" w:hAnsi="Calibri" w:cs="Times New Roman"/>
        </w:rPr>
      </w:pPr>
      <w:r w:rsidRPr="00A20668">
        <w:rPr>
          <w:rFonts w:ascii="Calibri" w:hAnsi="Calibri" w:cs="Times New Roman"/>
        </w:rPr>
        <w:t>Most effective marketing campaign to acquire new users is by using Video. However, since it seems like it’s more costly, a better implementation on marketing budgeting should be planned very well. And there needs to be a very good communication in terms of timeline between the Developers and Marketers.</w:t>
      </w:r>
      <w:r w:rsidR="007E0DD0">
        <w:rPr>
          <w:rFonts w:ascii="Calibri" w:hAnsi="Calibri" w:cs="Times New Roman"/>
        </w:rPr>
        <w:t xml:space="preserve"> Banners and Carrousels should be used only if Events are to be available in the game.</w:t>
      </w:r>
    </w:p>
    <w:p w14:paraId="796AA460" w14:textId="56410498" w:rsidR="00A20668" w:rsidRPr="00A20668" w:rsidRDefault="007E0DD0" w:rsidP="00A20668">
      <w:pPr>
        <w:pStyle w:val="ListParagraph"/>
        <w:numPr>
          <w:ilvl w:val="0"/>
          <w:numId w:val="10"/>
        </w:numPr>
        <w:jc w:val="both"/>
        <w:rPr>
          <w:rFonts w:ascii="Calibri" w:hAnsi="Calibri" w:cs="Times New Roman"/>
        </w:rPr>
      </w:pPr>
      <w:r>
        <w:rPr>
          <w:rFonts w:ascii="Calibri" w:hAnsi="Calibri" w:cs="Times New Roman"/>
        </w:rPr>
        <w:t>The aspects that influence the churn rate a lot seems to be the user experience. Increase in loading time, rise in data waste, seems to be affecting the decrease in Conversion Rate. However, interesting events and in-app-purchase, as well as special characters are very influential towards CR. The more interesting the gameplay and/or user experience, the more user</w:t>
      </w:r>
      <w:r w:rsidR="00783756">
        <w:rPr>
          <w:rFonts w:ascii="Calibri" w:hAnsi="Calibri" w:cs="Times New Roman"/>
        </w:rPr>
        <w:t>s tend</w:t>
      </w:r>
      <w:r>
        <w:rPr>
          <w:rFonts w:ascii="Calibri" w:hAnsi="Calibri" w:cs="Times New Roman"/>
        </w:rPr>
        <w:t xml:space="preserve"> to convert.</w:t>
      </w:r>
    </w:p>
    <w:p w14:paraId="139C50D1" w14:textId="77777777" w:rsidR="00BA53CD" w:rsidRDefault="00BA53CD" w:rsidP="009B74CF">
      <w:pPr>
        <w:jc w:val="both"/>
        <w:rPr>
          <w:rFonts w:ascii="Calibri" w:hAnsi="Calibri" w:cs="Times New Roman"/>
        </w:rPr>
      </w:pPr>
    </w:p>
    <w:p w14:paraId="3A261ADA" w14:textId="77777777" w:rsidR="00BA53CD" w:rsidRDefault="00BA53CD" w:rsidP="009B74CF">
      <w:pPr>
        <w:jc w:val="both"/>
        <w:rPr>
          <w:rFonts w:ascii="Calibri" w:hAnsi="Calibri" w:cs="Times New Roman"/>
        </w:rPr>
      </w:pPr>
      <w:r>
        <w:rPr>
          <w:rFonts w:ascii="Calibri" w:hAnsi="Calibri" w:cs="Times New Roman"/>
        </w:rPr>
        <w:t xml:space="preserve">## Check towards Gross Revenue, DAU vs ARPPU ARPDAU, </w:t>
      </w:r>
    </w:p>
    <w:p w14:paraId="6ED519F8" w14:textId="61EADB1A" w:rsidR="00BA53CD" w:rsidRPr="009B74CF" w:rsidRDefault="00BA53CD" w:rsidP="009B74CF">
      <w:pPr>
        <w:jc w:val="both"/>
        <w:rPr>
          <w:rFonts w:ascii="Calibri" w:hAnsi="Calibri" w:cs="Times New Roman"/>
        </w:rPr>
      </w:pPr>
      <w:r>
        <w:rPr>
          <w:rFonts w:ascii="Calibri" w:hAnsi="Calibri" w:cs="Times New Roman"/>
        </w:rPr>
        <w:t>## D1 D7, D30 Ret, Avg. Session</w:t>
      </w:r>
    </w:p>
    <w:sectPr w:rsidR="00BA53CD" w:rsidRPr="009B74CF"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52513D1"/>
    <w:multiLevelType w:val="hybridMultilevel"/>
    <w:tmpl w:val="57B426C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262525"/>
    <w:multiLevelType w:val="hybridMultilevel"/>
    <w:tmpl w:val="7B50312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4775F"/>
    <w:multiLevelType w:val="hybridMultilevel"/>
    <w:tmpl w:val="80C43E30"/>
    <w:lvl w:ilvl="0" w:tplc="60E22A8A">
      <w:start w:val="1"/>
      <w:numFmt w:val="bullet"/>
      <w:lvlText w:val="-"/>
      <w:lvlJc w:val="left"/>
      <w:pPr>
        <w:ind w:left="4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11"/>
  </w:num>
  <w:num w:numId="5">
    <w:abstractNumId w:val="8"/>
  </w:num>
  <w:num w:numId="6">
    <w:abstractNumId w:val="3"/>
  </w:num>
  <w:num w:numId="7">
    <w:abstractNumId w:val="6"/>
  </w:num>
  <w:num w:numId="8">
    <w:abstractNumId w:val="1"/>
  </w:num>
  <w:num w:numId="9">
    <w:abstractNumId w:val="2"/>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10380B"/>
    <w:rsid w:val="00170382"/>
    <w:rsid w:val="00177E19"/>
    <w:rsid w:val="001B0095"/>
    <w:rsid w:val="001C6483"/>
    <w:rsid w:val="001D2D28"/>
    <w:rsid w:val="001E22FA"/>
    <w:rsid w:val="00215484"/>
    <w:rsid w:val="002413FB"/>
    <w:rsid w:val="002F2812"/>
    <w:rsid w:val="0037500C"/>
    <w:rsid w:val="0037656D"/>
    <w:rsid w:val="00386354"/>
    <w:rsid w:val="003B00AF"/>
    <w:rsid w:val="003E590E"/>
    <w:rsid w:val="00487BA8"/>
    <w:rsid w:val="00497819"/>
    <w:rsid w:val="004C27C9"/>
    <w:rsid w:val="004D1D73"/>
    <w:rsid w:val="00550BE8"/>
    <w:rsid w:val="00571173"/>
    <w:rsid w:val="0057733B"/>
    <w:rsid w:val="00620BA4"/>
    <w:rsid w:val="006E6ED2"/>
    <w:rsid w:val="00703BCD"/>
    <w:rsid w:val="00706B95"/>
    <w:rsid w:val="00713483"/>
    <w:rsid w:val="007412BE"/>
    <w:rsid w:val="00783756"/>
    <w:rsid w:val="007B0244"/>
    <w:rsid w:val="007B0F1F"/>
    <w:rsid w:val="007C2493"/>
    <w:rsid w:val="007C764C"/>
    <w:rsid w:val="007E0DD0"/>
    <w:rsid w:val="00815D3B"/>
    <w:rsid w:val="0084055E"/>
    <w:rsid w:val="0087221F"/>
    <w:rsid w:val="00895ABB"/>
    <w:rsid w:val="008A58EF"/>
    <w:rsid w:val="008F3CAA"/>
    <w:rsid w:val="00900655"/>
    <w:rsid w:val="00914DBA"/>
    <w:rsid w:val="00916E4F"/>
    <w:rsid w:val="0091753D"/>
    <w:rsid w:val="0091755C"/>
    <w:rsid w:val="009200EE"/>
    <w:rsid w:val="00927EAC"/>
    <w:rsid w:val="00953A31"/>
    <w:rsid w:val="0099126A"/>
    <w:rsid w:val="009B74CF"/>
    <w:rsid w:val="00A1539E"/>
    <w:rsid w:val="00A17B0A"/>
    <w:rsid w:val="00A20668"/>
    <w:rsid w:val="00A50A7B"/>
    <w:rsid w:val="00A66755"/>
    <w:rsid w:val="00A85D25"/>
    <w:rsid w:val="00A94C74"/>
    <w:rsid w:val="00AE2C35"/>
    <w:rsid w:val="00B02C46"/>
    <w:rsid w:val="00BA53CD"/>
    <w:rsid w:val="00BC4508"/>
    <w:rsid w:val="00C2006B"/>
    <w:rsid w:val="00CB056D"/>
    <w:rsid w:val="00CD5462"/>
    <w:rsid w:val="00D108B0"/>
    <w:rsid w:val="00D271CE"/>
    <w:rsid w:val="00D54B35"/>
    <w:rsid w:val="00D57A71"/>
    <w:rsid w:val="00D739B7"/>
    <w:rsid w:val="00D81235"/>
    <w:rsid w:val="00DC07E5"/>
    <w:rsid w:val="00DC72A5"/>
    <w:rsid w:val="00DD5341"/>
    <w:rsid w:val="00DE40B3"/>
    <w:rsid w:val="00E050EA"/>
    <w:rsid w:val="00E25D50"/>
    <w:rsid w:val="00E26F59"/>
    <w:rsid w:val="00E328C8"/>
    <w:rsid w:val="00E81099"/>
    <w:rsid w:val="00E909E6"/>
    <w:rsid w:val="00E95D61"/>
    <w:rsid w:val="00E965C8"/>
    <w:rsid w:val="00ED7931"/>
    <w:rsid w:val="00F32DF7"/>
    <w:rsid w:val="00FC51FB"/>
    <w:rsid w:val="00FD4E6B"/>
    <w:rsid w:val="00FE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ady_state" TargetMode="External"/><Relationship Id="rId12" Type="http://schemas.openxmlformats.org/officeDocument/2006/relationships/hyperlink" Target="https://gameanalytics.com/blog/50-kpi-measure-mobile-game-app.html" TargetMode="External"/><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New User and Conversion Rate vs Month</a:t>
            </a:r>
          </a:p>
        </c:rich>
      </c:tx>
      <c:layout>
        <c:manualLayout>
          <c:xMode val="edge"/>
          <c:yMode val="edge"/>
          <c:x val="0.293232978635361"/>
          <c:y val="0.00682862883821365"/>
        </c:manualLayout>
      </c:layout>
      <c:overlay val="1"/>
    </c:title>
    <c:autoTitleDeleted val="0"/>
    <c:plotArea>
      <c:layout>
        <c:manualLayout>
          <c:layoutTarget val="inner"/>
          <c:xMode val="edge"/>
          <c:yMode val="edge"/>
          <c:x val="0.132345329201262"/>
          <c:y val="0.0751149172203502"/>
          <c:w val="0.772552196140933"/>
          <c:h val="0.694659474561207"/>
        </c:manualLayout>
      </c:layout>
      <c:lineChart>
        <c:grouping val="standard"/>
        <c:varyColors val="0"/>
        <c:ser>
          <c:idx val="0"/>
          <c:order val="0"/>
          <c:tx>
            <c:v>NU_2017</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#,##0</c:formatCode>
                <c:ptCount val="12"/>
                <c:pt idx="0">
                  <c:v>160402.0</c:v>
                </c:pt>
                <c:pt idx="1">
                  <c:v>110829.0</c:v>
                </c:pt>
                <c:pt idx="2">
                  <c:v>116097.0</c:v>
                </c:pt>
                <c:pt idx="3">
                  <c:v>191966.0</c:v>
                </c:pt>
                <c:pt idx="4">
                  <c:v>119965.0</c:v>
                </c:pt>
                <c:pt idx="5">
                  <c:v>94217.0</c:v>
                </c:pt>
                <c:pt idx="6">
                  <c:v>69633.0</c:v>
                </c:pt>
                <c:pt idx="7">
                  <c:v>47090.0</c:v>
                </c:pt>
                <c:pt idx="8">
                  <c:v>35242.0</c:v>
                </c:pt>
                <c:pt idx="9">
                  <c:v>33472.0</c:v>
                </c:pt>
                <c:pt idx="10">
                  <c:v>31808.0</c:v>
                </c:pt>
                <c:pt idx="11">
                  <c:v>17433.0</c:v>
                </c:pt>
              </c:numCache>
            </c:numRef>
          </c:val>
          <c:smooth val="0"/>
        </c:ser>
        <c:ser>
          <c:idx val="1"/>
          <c:order val="1"/>
          <c:tx>
            <c:v>NU_2018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Sheet1!$C$14:$C$25</c:f>
              <c:numCache>
                <c:formatCode>#,##0</c:formatCode>
                <c:ptCount val="12"/>
                <c:pt idx="0">
                  <c:v>31856.0</c:v>
                </c:pt>
                <c:pt idx="1">
                  <c:v>22337.0</c:v>
                </c:pt>
                <c:pt idx="2">
                  <c:v>18563.0</c:v>
                </c:pt>
                <c:pt idx="3">
                  <c:v>18151.0</c:v>
                </c:pt>
                <c:pt idx="4">
                  <c:v>20228.0</c:v>
                </c:pt>
                <c:pt idx="5">
                  <c:v>25579.0</c:v>
                </c:pt>
                <c:pt idx="6">
                  <c:v>20261.0</c:v>
                </c:pt>
                <c:pt idx="7">
                  <c:v>18517.0</c:v>
                </c:pt>
                <c:pt idx="8">
                  <c:v>19095.0</c:v>
                </c:pt>
                <c:pt idx="9">
                  <c:v>19537.0</c:v>
                </c:pt>
                <c:pt idx="10">
                  <c:v>24746.0</c:v>
                </c:pt>
                <c:pt idx="11">
                  <c:v>36494.0</c:v>
                </c:pt>
              </c:numCache>
            </c:numRef>
          </c:val>
          <c:smooth val="0"/>
        </c:ser>
        <c:dLbls>
          <c:showLegendKey val="0"/>
          <c:showVal val="0"/>
          <c:showCatName val="0"/>
          <c:showSerName val="0"/>
          <c:showPercent val="0"/>
          <c:showBubbleSize val="0"/>
        </c:dLbls>
        <c:marker val="1"/>
        <c:smooth val="0"/>
        <c:axId val="2137836888"/>
        <c:axId val="2135008824"/>
      </c:lineChart>
      <c:lineChart>
        <c:grouping val="standard"/>
        <c:varyColors val="0"/>
        <c:ser>
          <c:idx val="2"/>
          <c:order val="2"/>
          <c:tx>
            <c:v>ConvRate17</c:v>
          </c:tx>
          <c:marker>
            <c:spPr>
              <a:solidFill>
                <a:schemeClr val="tx2">
                  <a:lumMod val="40000"/>
                  <a:lumOff val="6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Sheet1!$N$2:$N$13</c:f>
              <c:numCache>
                <c:formatCode>General</c:formatCode>
                <c:ptCount val="12"/>
                <c:pt idx="0">
                  <c:v>0.44</c:v>
                </c:pt>
                <c:pt idx="1">
                  <c:v>0.7</c:v>
                </c:pt>
                <c:pt idx="2">
                  <c:v>0.58</c:v>
                </c:pt>
                <c:pt idx="3">
                  <c:v>0.56</c:v>
                </c:pt>
                <c:pt idx="4">
                  <c:v>0.48</c:v>
                </c:pt>
                <c:pt idx="5">
                  <c:v>0.94</c:v>
                </c:pt>
                <c:pt idx="6">
                  <c:v>0.36</c:v>
                </c:pt>
                <c:pt idx="7">
                  <c:v>0.47</c:v>
                </c:pt>
                <c:pt idx="8">
                  <c:v>0.6</c:v>
                </c:pt>
                <c:pt idx="9">
                  <c:v>0.63</c:v>
                </c:pt>
                <c:pt idx="10">
                  <c:v>0.32</c:v>
                </c:pt>
                <c:pt idx="11">
                  <c:v>0.59</c:v>
                </c:pt>
              </c:numCache>
            </c:numRef>
          </c:val>
          <c:smooth val="0"/>
        </c:ser>
        <c:ser>
          <c:idx val="3"/>
          <c:order val="3"/>
          <c:tx>
            <c:v>ConvRate18</c:v>
          </c:tx>
          <c:marker>
            <c:spPr>
              <a:solidFill>
                <a:schemeClr val="accent2">
                  <a:lumMod val="60000"/>
                  <a:lumOff val="4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Sheet1!$N$14:$N$25</c:f>
              <c:numCache>
                <c:formatCode>General</c:formatCode>
                <c:ptCount val="12"/>
                <c:pt idx="0">
                  <c:v>0.31</c:v>
                </c:pt>
                <c:pt idx="1">
                  <c:v>0.38</c:v>
                </c:pt>
                <c:pt idx="2">
                  <c:v>0.43</c:v>
                </c:pt>
                <c:pt idx="3">
                  <c:v>0.39</c:v>
                </c:pt>
                <c:pt idx="4">
                  <c:v>0.37</c:v>
                </c:pt>
                <c:pt idx="5">
                  <c:v>0.3</c:v>
                </c:pt>
                <c:pt idx="6">
                  <c:v>0.3</c:v>
                </c:pt>
                <c:pt idx="7">
                  <c:v>0.29</c:v>
                </c:pt>
                <c:pt idx="8">
                  <c:v>0.29</c:v>
                </c:pt>
                <c:pt idx="9">
                  <c:v>0.28</c:v>
                </c:pt>
                <c:pt idx="10">
                  <c:v>0.22</c:v>
                </c:pt>
                <c:pt idx="11">
                  <c:v>0.12</c:v>
                </c:pt>
              </c:numCache>
            </c:numRef>
          </c:val>
          <c:smooth val="0"/>
        </c:ser>
        <c:dLbls>
          <c:showLegendKey val="0"/>
          <c:showVal val="0"/>
          <c:showCatName val="0"/>
          <c:showSerName val="0"/>
          <c:showPercent val="0"/>
          <c:showBubbleSize val="0"/>
        </c:dLbls>
        <c:marker val="1"/>
        <c:smooth val="0"/>
        <c:axId val="2143353144"/>
        <c:axId val="2145776584"/>
      </c:lineChart>
      <c:catAx>
        <c:axId val="2137836888"/>
        <c:scaling>
          <c:orientation val="minMax"/>
        </c:scaling>
        <c:delete val="0"/>
        <c:axPos val="b"/>
        <c:majorGridlines/>
        <c:title>
          <c:tx>
            <c:rich>
              <a:bodyPr/>
              <a:lstStyle/>
              <a:p>
                <a:pPr>
                  <a:defRPr/>
                </a:pPr>
                <a:r>
                  <a:rPr lang="en-US"/>
                  <a:t>Month</a:t>
                </a:r>
              </a:p>
            </c:rich>
          </c:tx>
          <c:layout>
            <c:manualLayout>
              <c:xMode val="edge"/>
              <c:yMode val="edge"/>
              <c:x val="0.475061379375771"/>
              <c:y val="0.847676546049721"/>
            </c:manualLayout>
          </c:layout>
          <c:overlay val="0"/>
        </c:title>
        <c:numFmt formatCode="General" sourceLinked="1"/>
        <c:majorTickMark val="out"/>
        <c:minorTickMark val="none"/>
        <c:tickLblPos val="nextTo"/>
        <c:crossAx val="2135008824"/>
        <c:crosses val="autoZero"/>
        <c:auto val="1"/>
        <c:lblAlgn val="ctr"/>
        <c:lblOffset val="100"/>
        <c:noMultiLvlLbl val="0"/>
      </c:catAx>
      <c:valAx>
        <c:axId val="2135008824"/>
        <c:scaling>
          <c:orientation val="minMax"/>
        </c:scaling>
        <c:delete val="0"/>
        <c:axPos val="l"/>
        <c:title>
          <c:tx>
            <c:rich>
              <a:bodyPr rot="-5400000" vert="horz"/>
              <a:lstStyle/>
              <a:p>
                <a:pPr>
                  <a:defRPr/>
                </a:pPr>
                <a:r>
                  <a:rPr lang="en-US"/>
                  <a:t>New User</a:t>
                </a:r>
              </a:p>
            </c:rich>
          </c:tx>
          <c:layout/>
          <c:overlay val="0"/>
        </c:title>
        <c:numFmt formatCode="#,##0" sourceLinked="1"/>
        <c:majorTickMark val="out"/>
        <c:minorTickMark val="none"/>
        <c:tickLblPos val="nextTo"/>
        <c:crossAx val="2137836888"/>
        <c:crosses val="autoZero"/>
        <c:crossBetween val="between"/>
      </c:valAx>
      <c:valAx>
        <c:axId val="2145776584"/>
        <c:scaling>
          <c:orientation val="minMax"/>
        </c:scaling>
        <c:delete val="0"/>
        <c:axPos val="r"/>
        <c:minorGridlines/>
        <c:title>
          <c:tx>
            <c:rich>
              <a:bodyPr rot="-5400000" vert="horz"/>
              <a:lstStyle/>
              <a:p>
                <a:pPr>
                  <a:defRPr/>
                </a:pPr>
                <a:r>
                  <a:rPr lang="en-US"/>
                  <a:t>Conversion</a:t>
                </a:r>
                <a:r>
                  <a:rPr lang="en-US" baseline="0"/>
                  <a:t> Rate</a:t>
                </a:r>
                <a:endParaRPr lang="en-US"/>
              </a:p>
            </c:rich>
          </c:tx>
          <c:layout/>
          <c:overlay val="0"/>
        </c:title>
        <c:numFmt formatCode="General" sourceLinked="1"/>
        <c:majorTickMark val="out"/>
        <c:minorTickMark val="none"/>
        <c:tickLblPos val="nextTo"/>
        <c:crossAx val="2143353144"/>
        <c:crosses val="max"/>
        <c:crossBetween val="between"/>
      </c:valAx>
      <c:catAx>
        <c:axId val="2143353144"/>
        <c:scaling>
          <c:orientation val="minMax"/>
        </c:scaling>
        <c:delete val="1"/>
        <c:axPos val="b"/>
        <c:numFmt formatCode="General" sourceLinked="1"/>
        <c:majorTickMark val="out"/>
        <c:minorTickMark val="none"/>
        <c:tickLblPos val="nextTo"/>
        <c:crossAx val="2145776584"/>
        <c:crosses val="autoZero"/>
        <c:auto val="1"/>
        <c:lblAlgn val="ctr"/>
        <c:lblOffset val="100"/>
        <c:noMultiLvlLbl val="0"/>
      </c:catAx>
    </c:plotArea>
    <c:legend>
      <c:legendPos val="b"/>
      <c:layout>
        <c:manualLayout>
          <c:xMode val="edge"/>
          <c:yMode val="edge"/>
          <c:x val="0.0"/>
          <c:y val="0.885066265593205"/>
          <c:w val="0.509627626243824"/>
          <c:h val="0.114933888656787"/>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10</Pages>
  <Words>2032</Words>
  <Characters>11588</Characters>
  <Application>Microsoft Macintosh Word</Application>
  <DocSecurity>0</DocSecurity>
  <Lines>96</Lines>
  <Paragraphs>27</Paragraphs>
  <ScaleCrop>false</ScaleCrop>
  <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84</cp:revision>
  <dcterms:created xsi:type="dcterms:W3CDTF">2020-03-16T14:22:00Z</dcterms:created>
  <dcterms:modified xsi:type="dcterms:W3CDTF">2020-03-18T09:44:00Z</dcterms:modified>
</cp:coreProperties>
</file>