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(in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Indigenous fertiliser: 3000, 3400, 3350, 3300, 4800</w:t>
      </w:r>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200, 1142, 1039, 1499, 1000</w:t>
      </w:r>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SELECT author_name, SUM(sold_copies)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COUNT(user_id)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Pr="00170382">
        <w:rPr>
          <w:rFonts w:ascii="Calibri" w:hAnsi="Calibri" w:cs="Times New Roman"/>
        </w:rPr>
        <w:t>user_id,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Pr="00170382">
        <w:rPr>
          <w:rFonts w:ascii="Calibri" w:hAnsi="Calibri" w:cs="Times New Roman"/>
        </w:rPr>
        <w:t>event_log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(COUNT(event_date_time)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AND COUNT(event_date_time)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 xml:space="preserve">To display the department_name that fulfill the requirements (avg(salary)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department_name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department_name,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CAST(AVG(salary)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employees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r w:rsidRPr="001C6483">
        <w:rPr>
          <w:rFonts w:ascii="Calibri" w:hAnsi="Calibri" w:cs="Times New Roman"/>
        </w:rPr>
        <w:t>department_name,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r w:rsidRPr="001C6483">
        <w:rPr>
          <w:rFonts w:ascii="Calibri" w:hAnsi="Calibri" w:cs="Times New Roman"/>
        </w:rPr>
        <w:t>CAST(AVG(salary)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r w:rsidRPr="001C6483">
        <w:rPr>
          <w:rFonts w:ascii="Calibri" w:hAnsi="Calibri" w:cs="Times New Roman"/>
        </w:rPr>
        <w:t>employees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r w:rsidRPr="001C6483">
        <w:rPr>
          <w:rFonts w:ascii="Calibri" w:hAnsi="Calibri" w:cs="Times New Roman"/>
        </w:rPr>
        <w:t>salaries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r w:rsidRPr="003E590E">
        <w:rPr>
          <w:rFonts w:ascii="Calibri" w:hAnsi="Calibri" w:cs="Times New Roman"/>
          <w:b/>
        </w:rPr>
        <w:t>show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r w:rsidRPr="0005266F">
        <w:rPr>
          <w:rFonts w:ascii="Calibri" w:hAnsi="Calibri" w:cs="Times New Roman"/>
        </w:rPr>
        <w:t>d.deposito_id,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r w:rsidRPr="0005266F">
        <w:rPr>
          <w:rFonts w:ascii="Calibri" w:hAnsi="Calibri" w:cs="Times New Roman"/>
        </w:rPr>
        <w:t>agate_person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r w:rsidRPr="0005266F">
        <w:rPr>
          <w:rFonts w:ascii="Calibri" w:hAnsi="Calibri" w:cs="Times New Roman"/>
        </w:rPr>
        <w:t>agate_deposito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Pr="00620BA4"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1FA7B29B" w14:textId="77777777" w:rsidR="00E25D50" w:rsidRDefault="00E25D50" w:rsidP="00620BA4">
      <w:pPr>
        <w:rPr>
          <w:rFonts w:ascii="Calibri" w:hAnsi="Calibri" w:cs="Times New Roman"/>
          <w:b/>
        </w:rPr>
      </w:pPr>
    </w:p>
    <w:p w14:paraId="617DB024" w14:textId="2696D32B" w:rsidR="00CB056D" w:rsidRPr="00CB056D" w:rsidRDefault="00CB056D" w:rsidP="00CB056D">
      <w:pPr>
        <w:rPr>
          <w:rFonts w:ascii="Times" w:eastAsia="Times New Roman" w:hAnsi="Times" w:cs="Times New Roman"/>
          <w:sz w:val="20"/>
          <w:szCs w:val="20"/>
        </w:rPr>
      </w:pPr>
      <w:r>
        <w:rPr>
          <w:rFonts w:ascii="Calibri" w:hAnsi="Calibri" w:cs="Times New Roman"/>
          <w:b/>
        </w:rPr>
        <w:tab/>
      </w:r>
      <w:r w:rsidRPr="00CB056D">
        <w:rPr>
          <w:rFonts w:ascii="Helvetica" w:eastAsia="Times New Roman" w:hAnsi="Helvetica" w:cs="Times New Roman"/>
          <w:b/>
          <w:bCs/>
          <w:color w:val="222222"/>
          <w:sz w:val="21"/>
          <w:szCs w:val="21"/>
        </w:rPr>
        <w:t>Churn rate</w:t>
      </w:r>
      <w:r w:rsidRPr="00CB056D">
        <w:rPr>
          <w:rFonts w:ascii="Helvetica" w:eastAsia="Times New Roman" w:hAnsi="Helvetica" w:cs="Times New Roman"/>
          <w:color w:val="222222"/>
          <w:sz w:val="21"/>
          <w:szCs w:val="21"/>
          <w:shd w:val="clear" w:color="auto" w:fill="FFFFFF"/>
        </w:rPr>
        <w:t> (sometimes called </w:t>
      </w:r>
      <w:r w:rsidRPr="00CB056D">
        <w:rPr>
          <w:rFonts w:ascii="Helvetica" w:eastAsia="Times New Roman" w:hAnsi="Helvetica" w:cs="Times New Roman"/>
          <w:b/>
          <w:bCs/>
          <w:color w:val="222222"/>
          <w:sz w:val="21"/>
          <w:szCs w:val="21"/>
        </w:rPr>
        <w:t>attrition rate</w:t>
      </w:r>
      <w:r w:rsidRPr="00CB056D">
        <w:rPr>
          <w:rFonts w:ascii="Helvetica" w:eastAsia="Times New Roman" w:hAnsi="Helvetica" w:cs="Times New Roman"/>
          <w:color w:val="222222"/>
          <w:sz w:val="21"/>
          <w:szCs w:val="21"/>
          <w:shd w:val="clear" w:color="auto" w:fill="FFFFFF"/>
        </w:rPr>
        <w:t xml:space="preserve">), in its broadest sense, is a measure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 xml:space="preserve">of the number of individuals or items moving out of a collective group over a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specific period. It is one of two primary factors that determine the </w:t>
      </w:r>
      <w:hyperlink r:id="rId11" w:tooltip="Steady state" w:history="1">
        <w:r w:rsidRPr="00CB056D">
          <w:rPr>
            <w:rFonts w:ascii="Helvetica" w:eastAsia="Times New Roman" w:hAnsi="Helvetica" w:cs="Times New Roman"/>
            <w:color w:val="0B0080"/>
            <w:sz w:val="21"/>
            <w:szCs w:val="21"/>
          </w:rPr>
          <w:t>steady-</w:t>
        </w:r>
        <w:r>
          <w:rPr>
            <w:rFonts w:ascii="Helvetica" w:eastAsia="Times New Roman" w:hAnsi="Helvetica" w:cs="Times New Roman"/>
            <w:color w:val="0B0080"/>
            <w:sz w:val="21"/>
            <w:szCs w:val="21"/>
          </w:rPr>
          <w:tab/>
        </w:r>
        <w:r w:rsidRPr="00CB056D">
          <w:rPr>
            <w:rFonts w:ascii="Helvetica" w:eastAsia="Times New Roman" w:hAnsi="Helvetica" w:cs="Times New Roman"/>
            <w:color w:val="0B0080"/>
            <w:sz w:val="21"/>
            <w:szCs w:val="21"/>
          </w:rPr>
          <w:t>state</w:t>
        </w:r>
      </w:hyperlink>
      <w:r w:rsidRPr="00CB056D">
        <w:rPr>
          <w:rFonts w:ascii="Helvetica" w:eastAsia="Times New Roman" w:hAnsi="Helvetica" w:cs="Times New Roman"/>
          <w:color w:val="222222"/>
          <w:sz w:val="21"/>
          <w:szCs w:val="21"/>
          <w:shd w:val="clear" w:color="auto" w:fill="FFFFFF"/>
        </w:rPr>
        <w:t> level of customers a business will support.</w:t>
      </w:r>
    </w:p>
    <w:p w14:paraId="0FA4A2EF" w14:textId="60121A50" w:rsidR="00620BA4" w:rsidRDefault="00620BA4" w:rsidP="00620BA4">
      <w:pPr>
        <w:rPr>
          <w:rFonts w:ascii="Calibri" w:hAnsi="Calibri" w:cs="Times New Roman"/>
          <w:b/>
        </w:rPr>
      </w:pPr>
    </w:p>
    <w:p w14:paraId="032FDAA3" w14:textId="2CA42F69" w:rsidR="00CB056D" w:rsidRDefault="006E6ED2" w:rsidP="00620BA4">
      <w:pPr>
        <w:rPr>
          <w:rFonts w:ascii="Calibri" w:hAnsi="Calibri" w:cs="Times New Roman"/>
          <w:b/>
        </w:rPr>
      </w:pPr>
      <w:hyperlink r:id="rId12" w:history="1">
        <w:r w:rsidRPr="00A91556">
          <w:rPr>
            <w:rStyle w:val="Hyperlink"/>
            <w:rFonts w:ascii="Calibri" w:hAnsi="Calibri" w:cs="Times New Roman"/>
            <w:b/>
          </w:rPr>
          <w:t>https://gameanalytics.com/blog/50-kpi-measure-mobile-game-app.html</w:t>
        </w:r>
      </w:hyperlink>
    </w:p>
    <w:p w14:paraId="42674406" w14:textId="77777777" w:rsidR="006E6ED2" w:rsidRDefault="006E6ED2" w:rsidP="00620BA4">
      <w:pPr>
        <w:rPr>
          <w:rFonts w:ascii="Calibri" w:hAnsi="Calibri" w:cs="Times New Roman"/>
          <w:b/>
        </w:rPr>
      </w:pPr>
    </w:p>
    <w:p w14:paraId="31BB97C0" w14:textId="06BAA555" w:rsidR="006E6ED2" w:rsidRDefault="006E6ED2" w:rsidP="00620BA4">
      <w:pPr>
        <w:rPr>
          <w:rFonts w:ascii="Calibri" w:hAnsi="Calibri" w:cs="Times New Roman"/>
        </w:rPr>
      </w:pPr>
      <w:r w:rsidRPr="00E26F59">
        <w:rPr>
          <w:rFonts w:ascii="Calibri" w:hAnsi="Calibri" w:cs="Times New Roman"/>
          <w:i/>
        </w:rPr>
        <w:t xml:space="preserve">Engagement KPI’s </w:t>
      </w:r>
      <w:r>
        <w:rPr>
          <w:rFonts w:ascii="Calibri" w:hAnsi="Calibri" w:cs="Times New Roman"/>
        </w:rPr>
        <w:t>: Retention Rate, Sessions, Session Length, Session Interval, Session Depth, Avg. Screens per Visit, DAU, MAU, Social Shares (Banner, Video?), Brand Awareness, Churn Rate</w:t>
      </w:r>
    </w:p>
    <w:p w14:paraId="416571C4" w14:textId="77777777" w:rsidR="006E6ED2" w:rsidRDefault="006E6ED2" w:rsidP="00620BA4">
      <w:pPr>
        <w:rPr>
          <w:rFonts w:ascii="Calibri" w:hAnsi="Calibri" w:cs="Times New Roman"/>
        </w:rPr>
      </w:pPr>
    </w:p>
    <w:p w14:paraId="6BCA3568" w14:textId="64A41AEA" w:rsidR="006E6ED2" w:rsidRDefault="006E6ED2" w:rsidP="00620BA4">
      <w:pPr>
        <w:rPr>
          <w:rFonts w:ascii="Calibri" w:hAnsi="Calibri" w:cs="Times New Roman"/>
        </w:rPr>
      </w:pPr>
      <w:r w:rsidRPr="00E26F59">
        <w:rPr>
          <w:rFonts w:ascii="Calibri" w:hAnsi="Calibri" w:cs="Times New Roman"/>
          <w:i/>
        </w:rPr>
        <w:t>Revenue-Focused/Financial KPI’s:</w:t>
      </w:r>
      <w:r>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4E9C7E3F" w14:textId="77777777" w:rsidR="006E6ED2" w:rsidRDefault="006E6ED2" w:rsidP="00620BA4">
      <w:pPr>
        <w:rPr>
          <w:rFonts w:ascii="Calibri" w:hAnsi="Calibri" w:cs="Times New Roman"/>
        </w:rPr>
      </w:pPr>
    </w:p>
    <w:p w14:paraId="06A96FA8" w14:textId="60BAF800" w:rsidR="006E6ED2" w:rsidRDefault="006E6ED2" w:rsidP="00620BA4">
      <w:pPr>
        <w:rPr>
          <w:rFonts w:ascii="Calibri" w:hAnsi="Calibri" w:cs="Times New Roman"/>
        </w:rPr>
      </w:pPr>
      <w:r w:rsidRPr="00E26F59">
        <w:rPr>
          <w:rFonts w:ascii="Calibri" w:hAnsi="Calibri" w:cs="Times New Roman"/>
          <w:i/>
        </w:rPr>
        <w:t xml:space="preserve">User Experience KPI’s </w:t>
      </w:r>
      <w:r>
        <w:rPr>
          <w:rFonts w:ascii="Calibri" w:hAnsi="Calibri" w:cs="Times New Roman"/>
        </w:rPr>
        <w:t xml:space="preserve">: </w:t>
      </w:r>
      <w:r w:rsidR="00E26F59">
        <w:rPr>
          <w:rFonts w:ascii="Calibri" w:hAnsi="Calibri" w:cs="Times New Roman"/>
          <w:b/>
        </w:rPr>
        <w:t xml:space="preserve">Load Time, </w:t>
      </w:r>
      <w:r w:rsidR="00E26F59">
        <w:rPr>
          <w:rFonts w:ascii="Calibri" w:hAnsi="Calibri" w:cs="Times New Roman"/>
        </w:rPr>
        <w:t>OS, Devices, Carriers (important), Screen Dimension/Resolution, Permissions Granted, API Latency</w:t>
      </w:r>
    </w:p>
    <w:p w14:paraId="0A725F34" w14:textId="77777777" w:rsidR="00E26F59" w:rsidRDefault="00E26F59" w:rsidP="00620BA4">
      <w:pPr>
        <w:rPr>
          <w:rFonts w:ascii="Calibri" w:hAnsi="Calibri" w:cs="Times New Roman"/>
        </w:rPr>
      </w:pPr>
    </w:p>
    <w:p w14:paraId="7FC8F4FC" w14:textId="031FBBD1" w:rsidR="00E26F59" w:rsidRDefault="00E26F59" w:rsidP="00620BA4">
      <w:pPr>
        <w:rPr>
          <w:rFonts w:ascii="Calibri" w:hAnsi="Calibri" w:cs="Times New Roman"/>
        </w:rPr>
      </w:pPr>
      <w:r w:rsidRPr="00E26F59">
        <w:rPr>
          <w:rFonts w:ascii="Calibri" w:hAnsi="Calibri" w:cs="Times New Roman"/>
          <w:i/>
        </w:rPr>
        <w:t>Mobile App Marketing KPI’s</w:t>
      </w:r>
      <w:r>
        <w:rPr>
          <w:rFonts w:ascii="Calibri" w:hAnsi="Calibri" w:cs="Times New Roman"/>
        </w:rPr>
        <w:t>: Install Source (for marketing campaign), Channel Breakdown, Geo-metrics, Demographics, Cohort Analysis, Behavioral Metrics</w:t>
      </w:r>
    </w:p>
    <w:p w14:paraId="150BDCBB" w14:textId="77777777" w:rsidR="00E26F59" w:rsidRDefault="00E26F59" w:rsidP="00620BA4">
      <w:pPr>
        <w:rPr>
          <w:rFonts w:ascii="Calibri" w:hAnsi="Calibri" w:cs="Times New Roman"/>
        </w:rPr>
      </w:pPr>
    </w:p>
    <w:p w14:paraId="7374F825" w14:textId="3AB2425B" w:rsidR="00E26F59" w:rsidRPr="00E26F59" w:rsidRDefault="00E26F59" w:rsidP="00620BA4">
      <w:pPr>
        <w:rPr>
          <w:rFonts w:ascii="Calibri" w:hAnsi="Calibri" w:cs="Times New Roman"/>
        </w:rPr>
      </w:pPr>
      <w:r>
        <w:rPr>
          <w:rFonts w:ascii="Calibri" w:hAnsi="Calibri" w:cs="Times New Roman"/>
          <w:i/>
        </w:rPr>
        <w:t>App Store Optimization (ASO):</w:t>
      </w:r>
      <w:r>
        <w:rPr>
          <w:rFonts w:ascii="Calibri" w:hAnsi="Calibri" w:cs="Times New Roman"/>
        </w:rPr>
        <w:t xml:space="preserve"> Keywords, App Store Category Ranking, Views to Installs, Reviews</w:t>
      </w:r>
      <w:bookmarkStart w:id="0" w:name="_GoBack"/>
      <w:bookmarkEnd w:id="0"/>
    </w:p>
    <w:p w14:paraId="505C8B9E" w14:textId="77777777" w:rsidR="0091753D" w:rsidRDefault="0091753D" w:rsidP="00620BA4">
      <w:pPr>
        <w:rPr>
          <w:rFonts w:ascii="Calibri" w:hAnsi="Calibri" w:cs="Times New Roman"/>
          <w:b/>
        </w:rPr>
      </w:pPr>
    </w:p>
    <w:p w14:paraId="0964FA8D" w14:textId="77777777" w:rsidR="0091753D" w:rsidRDefault="0091753D" w:rsidP="00620BA4">
      <w:pPr>
        <w:rPr>
          <w:rFonts w:ascii="Calibri" w:hAnsi="Calibri" w:cs="Times New Roman"/>
          <w:b/>
        </w:rPr>
      </w:pPr>
    </w:p>
    <w:p w14:paraId="3A0B6CFD" w14:textId="77777777" w:rsidR="00620BA4" w:rsidRDefault="00620BA4" w:rsidP="00620BA4">
      <w:pPr>
        <w:rPr>
          <w:rFonts w:ascii="Calibri" w:hAnsi="Calibri" w:cs="Times New Roman"/>
          <w:b/>
        </w:rPr>
      </w:pP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77777777" w:rsidR="0091753D" w:rsidRDefault="0091753D" w:rsidP="00620BA4">
      <w:pPr>
        <w:rPr>
          <w:rFonts w:ascii="Calibri" w:hAnsi="Calibri" w:cs="Times New Roman"/>
        </w:rPr>
      </w:pPr>
    </w:p>
    <w:p w14:paraId="6CC44E91" w14:textId="77777777" w:rsidR="0091753D" w:rsidRDefault="0091753D"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Pr="00620BA4" w:rsidRDefault="00620BA4" w:rsidP="00620BA4">
      <w:pPr>
        <w:rPr>
          <w:rFonts w:ascii="Calibri" w:hAnsi="Calibri" w:cs="Times New Roman"/>
          <w:b/>
        </w:rPr>
      </w:pPr>
    </w:p>
    <w:p w14:paraId="173E21FD" w14:textId="77777777" w:rsidR="00620BA4" w:rsidRPr="00620BA4" w:rsidRDefault="00620BA4" w:rsidP="00620BA4">
      <w:pPr>
        <w:rPr>
          <w:rFonts w:ascii="Calibri" w:hAnsi="Calibri" w:cs="Times New Roman"/>
          <w:b/>
        </w:rPr>
      </w:pPr>
    </w:p>
    <w:sectPr w:rsidR="00620BA4" w:rsidRPr="00620BA4"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8"/>
  </w:num>
  <w:num w:numId="5">
    <w:abstractNumId w:val="6"/>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10380B"/>
    <w:rsid w:val="00170382"/>
    <w:rsid w:val="001B0095"/>
    <w:rsid w:val="001C6483"/>
    <w:rsid w:val="001E22FA"/>
    <w:rsid w:val="00215484"/>
    <w:rsid w:val="0037500C"/>
    <w:rsid w:val="00386354"/>
    <w:rsid w:val="003B00AF"/>
    <w:rsid w:val="003E590E"/>
    <w:rsid w:val="00487BA8"/>
    <w:rsid w:val="00497819"/>
    <w:rsid w:val="004C27C9"/>
    <w:rsid w:val="004D1D73"/>
    <w:rsid w:val="00550BE8"/>
    <w:rsid w:val="00571173"/>
    <w:rsid w:val="0057733B"/>
    <w:rsid w:val="00620BA4"/>
    <w:rsid w:val="006E6ED2"/>
    <w:rsid w:val="00713483"/>
    <w:rsid w:val="007412BE"/>
    <w:rsid w:val="007B0F1F"/>
    <w:rsid w:val="00815D3B"/>
    <w:rsid w:val="0084055E"/>
    <w:rsid w:val="0087221F"/>
    <w:rsid w:val="00895ABB"/>
    <w:rsid w:val="008A58EF"/>
    <w:rsid w:val="008F3CAA"/>
    <w:rsid w:val="00900655"/>
    <w:rsid w:val="00916E4F"/>
    <w:rsid w:val="0091753D"/>
    <w:rsid w:val="0091755C"/>
    <w:rsid w:val="009200EE"/>
    <w:rsid w:val="00927EAC"/>
    <w:rsid w:val="00953A31"/>
    <w:rsid w:val="0099126A"/>
    <w:rsid w:val="00A1539E"/>
    <w:rsid w:val="00A17B0A"/>
    <w:rsid w:val="00A50A7B"/>
    <w:rsid w:val="00A66755"/>
    <w:rsid w:val="00A85D25"/>
    <w:rsid w:val="00AE2C35"/>
    <w:rsid w:val="00B02C46"/>
    <w:rsid w:val="00BC4508"/>
    <w:rsid w:val="00C2006B"/>
    <w:rsid w:val="00CB056D"/>
    <w:rsid w:val="00D271CE"/>
    <w:rsid w:val="00D57A71"/>
    <w:rsid w:val="00D739B7"/>
    <w:rsid w:val="00D81235"/>
    <w:rsid w:val="00DC72A5"/>
    <w:rsid w:val="00DD5341"/>
    <w:rsid w:val="00DE40B3"/>
    <w:rsid w:val="00E25D50"/>
    <w:rsid w:val="00E26F59"/>
    <w:rsid w:val="00E328C8"/>
    <w:rsid w:val="00E95D61"/>
    <w:rsid w:val="00E965C8"/>
    <w:rsid w:val="00ED7931"/>
    <w:rsid w:val="00FC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ady_state" TargetMode="External"/><Relationship Id="rId12" Type="http://schemas.openxmlformats.org/officeDocument/2006/relationships/hyperlink" Target="https://gameanalytics.com/blog/50-kpi-measure-mobile-game-app.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903</Words>
  <Characters>5151</Characters>
  <Application>Microsoft Macintosh Word</Application>
  <DocSecurity>0</DocSecurity>
  <Lines>42</Lines>
  <Paragraphs>12</Paragraphs>
  <ScaleCrop>false</ScaleCrop>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56</cp:revision>
  <dcterms:created xsi:type="dcterms:W3CDTF">2020-03-16T14:22:00Z</dcterms:created>
  <dcterms:modified xsi:type="dcterms:W3CDTF">2020-03-17T17:31:00Z</dcterms:modified>
</cp:coreProperties>
</file>