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B55" w:rsidRPr="004935E4" w:rsidRDefault="00A0402E" w:rsidP="00980B55">
      <w:pPr>
        <w:spacing w:after="120" w:line="280" w:lineRule="atLeast"/>
      </w:pPr>
      <w:r>
        <w:rPr>
          <w:noProof/>
          <w:lang w:val="en-US"/>
        </w:rPr>
        <w:pict>
          <v:rect id="_x0000_s1026" style="position:absolute;margin-left:17pt;margin-top:12.65pt;width:700pt;height:814.5pt;z-index:-251658240;mso-wrap-edited:f;mso-width-percent:950;mso-height-percent:950;mso-position-horizontal-relative:page;mso-position-vertical-relative:page;mso-width-percent:950;mso-height-percent:950" wrapcoords="-29 0 -29 21559 21600 21559 21600 0 -29 0" fillcolor="#2f3b40" stroked="f" strokeweight="1pt">
            <v:path arrowok="t"/>
            <v:textbox style="mso-next-textbox:#_x0000_s1026" inset="8pt,8pt,8pt,8pt">
              <w:txbxContent>
                <w:p w:rsidR="005E620B" w:rsidRDefault="005E620B" w:rsidP="005B3F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Times New Roman" w:hAnsi="Times New Roman"/>
                      <w:sz w:val="20"/>
                    </w:rPr>
                  </w:pPr>
                </w:p>
                <w:p w:rsidR="005E620B" w:rsidRDefault="005E620B" w:rsidP="005B3F78"/>
                <w:p w:rsidR="005E620B" w:rsidRDefault="005E620B"/>
              </w:txbxContent>
            </v:textbox>
            <w10:wrap anchorx="page" anchory="page"/>
          </v:rect>
        </w:pict>
      </w:r>
    </w:p>
    <w:p w:rsidR="00980B55" w:rsidRPr="004935E4" w:rsidRDefault="00980B55" w:rsidP="00935D33">
      <w:pPr>
        <w:spacing w:after="120" w:line="280" w:lineRule="atLeast"/>
        <w:ind w:firstLine="720"/>
      </w:pPr>
    </w:p>
    <w:p w:rsidR="00980B55" w:rsidRPr="004935E4" w:rsidRDefault="00980B55" w:rsidP="00980B55">
      <w:pPr>
        <w:spacing w:after="120" w:line="280" w:lineRule="atLeast"/>
      </w:pPr>
    </w:p>
    <w:p w:rsidR="00980B55" w:rsidRPr="004935E4" w:rsidRDefault="00980B55" w:rsidP="00980B55">
      <w:pPr>
        <w:spacing w:after="120" w:line="280" w:lineRule="atLeast"/>
      </w:pPr>
    </w:p>
    <w:p w:rsidR="00980B55" w:rsidRPr="004935E4" w:rsidRDefault="00980B55" w:rsidP="00980B55">
      <w:pPr>
        <w:spacing w:after="120" w:line="280" w:lineRule="atLeast"/>
      </w:pPr>
    </w:p>
    <w:p w:rsidR="00980B55" w:rsidRPr="004935E4" w:rsidRDefault="00980B55" w:rsidP="00980B55">
      <w:pPr>
        <w:spacing w:after="120" w:line="280" w:lineRule="atLeast"/>
      </w:pPr>
    </w:p>
    <w:p w:rsidR="007C1CBC" w:rsidRPr="005B3F78" w:rsidRDefault="00D62342" w:rsidP="000A0A25">
      <w:pPr>
        <w:pStyle w:val="JETitle"/>
        <w:rPr>
          <w:rFonts w:ascii="Helvetica" w:hAnsi="Helvetica"/>
          <w:b w:val="0"/>
          <w:color w:val="FFFFFF" w:themeColor="background1"/>
          <w:sz w:val="56"/>
        </w:rPr>
      </w:pPr>
      <w:r w:rsidRPr="005B3F78">
        <w:rPr>
          <w:rFonts w:ascii="Helvetica" w:hAnsi="Helvetica"/>
          <w:b w:val="0"/>
          <w:color w:val="FFFFFF" w:themeColor="background1"/>
          <w:sz w:val="56"/>
        </w:rPr>
        <w:t xml:space="preserve">Accounting </w:t>
      </w:r>
      <w:r w:rsidR="007C1CBC" w:rsidRPr="005B3F78">
        <w:rPr>
          <w:rFonts w:ascii="Helvetica" w:hAnsi="Helvetica"/>
          <w:b w:val="0"/>
          <w:color w:val="FFFFFF" w:themeColor="background1"/>
          <w:sz w:val="56"/>
        </w:rPr>
        <w:t>as an Information System Coursework</w:t>
      </w:r>
    </w:p>
    <w:p w:rsidR="00980B55" w:rsidRPr="005B3F78" w:rsidRDefault="007C1CBC" w:rsidP="000A0A25">
      <w:pPr>
        <w:pStyle w:val="JETitle"/>
        <w:rPr>
          <w:rFonts w:ascii="Helvetica" w:hAnsi="Helvetica"/>
          <w:b w:val="0"/>
          <w:color w:val="FFFFFF" w:themeColor="background1"/>
          <w:sz w:val="56"/>
        </w:rPr>
      </w:pPr>
      <w:r w:rsidRPr="005B3F78">
        <w:rPr>
          <w:rFonts w:ascii="Helvetica" w:hAnsi="Helvetica"/>
          <w:b w:val="0"/>
          <w:color w:val="FFFFFF" w:themeColor="background1"/>
          <w:sz w:val="56"/>
        </w:rPr>
        <w:t xml:space="preserve">Financial Review of Nichols PLC </w:t>
      </w:r>
    </w:p>
    <w:p w:rsidR="000C3F62" w:rsidRPr="005B3F78" w:rsidRDefault="000C3F62" w:rsidP="00980B55">
      <w:pPr>
        <w:pStyle w:val="Style14ptCustomColorRGB175175175After6ptLinespa"/>
        <w:rPr>
          <w:color w:val="FFFFFF" w:themeColor="background1"/>
        </w:rPr>
      </w:pPr>
    </w:p>
    <w:p w:rsidR="00D62342" w:rsidRPr="005B3F78" w:rsidRDefault="00D62342" w:rsidP="00980B55">
      <w:pPr>
        <w:pStyle w:val="Style14ptCustomColorRGB175175175After6ptLinespa"/>
        <w:rPr>
          <w:color w:val="FFFFFF" w:themeColor="background1"/>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5B3F78" w:rsidRDefault="005B3F78" w:rsidP="00980B55">
      <w:pPr>
        <w:pStyle w:val="Style14ptCustomColorRGB175175175After6ptLinespa"/>
        <w:rPr>
          <w:b/>
          <w:color w:val="FFFFFF" w:themeColor="background1"/>
          <w:sz w:val="24"/>
          <w:szCs w:val="24"/>
        </w:rPr>
      </w:pPr>
    </w:p>
    <w:p w:rsidR="00D62342" w:rsidRPr="005B3F78" w:rsidRDefault="00D62342" w:rsidP="00980B55">
      <w:pPr>
        <w:pStyle w:val="Style14ptCustomColorRGB175175175After6ptLinespa"/>
        <w:rPr>
          <w:b/>
          <w:color w:val="FFFFFF" w:themeColor="background1"/>
          <w:sz w:val="24"/>
          <w:szCs w:val="24"/>
        </w:rPr>
      </w:pPr>
      <w:r w:rsidRPr="005B3F78">
        <w:rPr>
          <w:b/>
          <w:color w:val="FFFFFF" w:themeColor="background1"/>
          <w:sz w:val="24"/>
          <w:szCs w:val="24"/>
        </w:rPr>
        <w:t>John Ellis Group</w:t>
      </w:r>
    </w:p>
    <w:p w:rsidR="00D62342" w:rsidRPr="005B3F78" w:rsidRDefault="00D62342" w:rsidP="00980B55">
      <w:pPr>
        <w:pStyle w:val="Style14ptCustomColorRGB175175175After6ptLinespa"/>
        <w:rPr>
          <w:color w:val="FFFFFF" w:themeColor="background1"/>
          <w:sz w:val="24"/>
          <w:szCs w:val="24"/>
        </w:rPr>
      </w:pPr>
    </w:p>
    <w:p w:rsidR="007C1CBC" w:rsidRPr="005B3F78" w:rsidRDefault="007C1CBC" w:rsidP="00980B55">
      <w:pPr>
        <w:pStyle w:val="Style14ptCustomColorRGB175175175After6ptLinespa"/>
        <w:rPr>
          <w:color w:val="FFFFFF" w:themeColor="background1"/>
          <w:sz w:val="24"/>
          <w:szCs w:val="24"/>
        </w:rPr>
      </w:pPr>
      <w:r w:rsidRPr="005B3F78">
        <w:rPr>
          <w:color w:val="FFFFFF" w:themeColor="background1"/>
          <w:sz w:val="24"/>
          <w:szCs w:val="24"/>
        </w:rPr>
        <w:t>Arif Harbott</w:t>
      </w:r>
    </w:p>
    <w:p w:rsidR="007C1CBC" w:rsidRPr="005B3F78" w:rsidRDefault="007C1CBC" w:rsidP="00980B55">
      <w:pPr>
        <w:pStyle w:val="Style14ptCustomColorRGB175175175After6ptLinespa"/>
        <w:rPr>
          <w:color w:val="FFFFFF" w:themeColor="background1"/>
          <w:sz w:val="24"/>
          <w:szCs w:val="24"/>
        </w:rPr>
      </w:pPr>
      <w:r w:rsidRPr="005B3F78">
        <w:rPr>
          <w:color w:val="FFFFFF" w:themeColor="background1"/>
          <w:sz w:val="24"/>
          <w:szCs w:val="24"/>
        </w:rPr>
        <w:t>Pia Gowland</w:t>
      </w:r>
    </w:p>
    <w:p w:rsidR="007C1CBC" w:rsidRPr="005B3F78" w:rsidRDefault="007C1CBC" w:rsidP="00980B55">
      <w:pPr>
        <w:pStyle w:val="Style14ptCustomColorRGB175175175After6ptLinespa"/>
        <w:rPr>
          <w:color w:val="FFFFFF" w:themeColor="background1"/>
          <w:sz w:val="24"/>
          <w:szCs w:val="24"/>
        </w:rPr>
      </w:pPr>
      <w:r w:rsidRPr="005B3F78">
        <w:rPr>
          <w:color w:val="FFFFFF" w:themeColor="background1"/>
          <w:sz w:val="24"/>
          <w:szCs w:val="24"/>
        </w:rPr>
        <w:t>Ronald Garricks</w:t>
      </w:r>
    </w:p>
    <w:p w:rsidR="007C1CBC" w:rsidRPr="005B3F78" w:rsidRDefault="007C1CBC" w:rsidP="00980B55">
      <w:pPr>
        <w:pStyle w:val="Style14ptCustomColorRGB175175175After6ptLinespa"/>
        <w:rPr>
          <w:color w:val="FFFFFF" w:themeColor="background1"/>
          <w:sz w:val="24"/>
          <w:szCs w:val="24"/>
        </w:rPr>
      </w:pPr>
      <w:r w:rsidRPr="005B3F78">
        <w:rPr>
          <w:color w:val="FFFFFF" w:themeColor="background1"/>
          <w:sz w:val="24"/>
          <w:szCs w:val="24"/>
        </w:rPr>
        <w:t>Tim Joslyn</w:t>
      </w:r>
    </w:p>
    <w:p w:rsidR="00D62342" w:rsidRPr="005B3F78" w:rsidRDefault="00D62342" w:rsidP="00980B55">
      <w:pPr>
        <w:pStyle w:val="Style14ptCustomColorRGB175175175After6ptLinespa"/>
        <w:rPr>
          <w:color w:val="FFFFFF" w:themeColor="background1"/>
        </w:rPr>
      </w:pPr>
    </w:p>
    <w:p w:rsidR="00D62342" w:rsidRPr="005B3F78" w:rsidRDefault="00D31CF7" w:rsidP="00980B55">
      <w:pPr>
        <w:pStyle w:val="Style14ptCustomColorRGB175175175After6ptLinespa"/>
        <w:rPr>
          <w:color w:val="FFFFFF" w:themeColor="background1"/>
        </w:rPr>
      </w:pPr>
      <w:r w:rsidRPr="00597EFE">
        <w:rPr>
          <w:noProof/>
          <w:color w:val="FFFFFF" w:themeColor="background1"/>
          <w:lang w:val="en-US"/>
        </w:rPr>
        <w:drawing>
          <wp:anchor distT="0" distB="0" distL="114300" distR="114300" simplePos="0" relativeHeight="251657216" behindDoc="0" locked="0" layoutInCell="1" allowOverlap="1">
            <wp:simplePos x="0" y="0"/>
            <wp:positionH relativeFrom="column">
              <wp:posOffset>4953000</wp:posOffset>
            </wp:positionH>
            <wp:positionV relativeFrom="paragraph">
              <wp:posOffset>143933</wp:posOffset>
            </wp:positionV>
            <wp:extent cx="1549400" cy="1684867"/>
            <wp:effectExtent l="25400" t="0" r="0" b="0"/>
            <wp:wrapNone/>
            <wp:docPr id="3" name="Picture 3" descr="::::::Desktop:MBA:General:JE:J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BA:General:JE:JEWhite.png"/>
                    <pic:cNvPicPr>
                      <a:picLocks noChangeAspect="1" noChangeArrowheads="1"/>
                    </pic:cNvPicPr>
                  </pic:nvPicPr>
                  <pic:blipFill>
                    <a:blip r:embed="rId11" cstate="print"/>
                    <a:srcRect/>
                    <a:stretch>
                      <a:fillRect/>
                    </a:stretch>
                  </pic:blipFill>
                  <pic:spPr bwMode="auto">
                    <a:xfrm>
                      <a:off x="0" y="0"/>
                      <a:ext cx="1549400" cy="1684867"/>
                    </a:xfrm>
                    <a:prstGeom prst="rect">
                      <a:avLst/>
                    </a:prstGeom>
                    <a:noFill/>
                    <a:ln w="9525">
                      <a:noFill/>
                      <a:miter lim="800000"/>
                      <a:headEnd/>
                      <a:tailEnd/>
                    </a:ln>
                  </pic:spPr>
                </pic:pic>
              </a:graphicData>
            </a:graphic>
          </wp:anchor>
        </w:drawing>
      </w:r>
    </w:p>
    <w:p w:rsidR="00980B55" w:rsidRPr="005B3F78" w:rsidRDefault="00980B55" w:rsidP="00980B55">
      <w:pPr>
        <w:pStyle w:val="Style14ptCustomColorRGB175175175After6ptLinespa"/>
        <w:rPr>
          <w:color w:val="FFFFFF" w:themeColor="background1"/>
        </w:rPr>
      </w:pPr>
    </w:p>
    <w:p w:rsidR="00980B55" w:rsidRPr="005B3F78" w:rsidRDefault="00980B55" w:rsidP="00980B55">
      <w:pPr>
        <w:pStyle w:val="Style14ptCustomColorRGB175175175After6ptLinespa"/>
        <w:rPr>
          <w:color w:val="FFFFFF" w:themeColor="background1"/>
        </w:rPr>
      </w:pPr>
    </w:p>
    <w:p w:rsidR="00E40F1F" w:rsidRDefault="00E40F1F" w:rsidP="00980B55">
      <w:pPr>
        <w:pStyle w:val="Style14ptCustomColorRGB175175175After6ptLinespa"/>
        <w:rPr>
          <w:color w:val="FFFFFF" w:themeColor="background1"/>
          <w:sz w:val="24"/>
          <w:szCs w:val="24"/>
        </w:rPr>
      </w:pPr>
    </w:p>
    <w:p w:rsidR="005B3F78" w:rsidRDefault="005B3F78" w:rsidP="00980B55">
      <w:pPr>
        <w:pStyle w:val="Style14ptCustomColorRGB175175175After6ptLinespa"/>
        <w:rPr>
          <w:color w:val="FFFFFF" w:themeColor="background1"/>
          <w:sz w:val="24"/>
          <w:szCs w:val="24"/>
        </w:rPr>
      </w:pPr>
      <w:r>
        <w:rPr>
          <w:color w:val="FFFFFF" w:themeColor="background1"/>
          <w:sz w:val="24"/>
          <w:szCs w:val="24"/>
        </w:rPr>
        <w:t>EMBA: September 2010</w:t>
      </w:r>
    </w:p>
    <w:p w:rsidR="00980B55" w:rsidRDefault="00174FE6" w:rsidP="00980B55">
      <w:pPr>
        <w:pStyle w:val="Style14ptCustomColorRGB175175175After6ptLinespa"/>
        <w:rPr>
          <w:color w:val="FFFFFF" w:themeColor="background1"/>
          <w:sz w:val="24"/>
          <w:szCs w:val="24"/>
        </w:rPr>
      </w:pPr>
      <w:r w:rsidRPr="005B3F78">
        <w:rPr>
          <w:color w:val="FFFFFF" w:themeColor="background1"/>
          <w:sz w:val="24"/>
          <w:szCs w:val="24"/>
        </w:rPr>
        <w:t xml:space="preserve">Date: </w:t>
      </w:r>
      <w:r w:rsidR="00E40F1F">
        <w:rPr>
          <w:color w:val="FFFFFF" w:themeColor="background1"/>
          <w:sz w:val="24"/>
          <w:szCs w:val="24"/>
        </w:rPr>
        <w:t>9</w:t>
      </w:r>
      <w:r w:rsidR="00F40648" w:rsidRPr="005D206F">
        <w:rPr>
          <w:color w:val="FFFFFF" w:themeColor="background1"/>
          <w:sz w:val="24"/>
          <w:szCs w:val="24"/>
          <w:vertAlign w:val="superscript"/>
        </w:rPr>
        <w:t>th</w:t>
      </w:r>
      <w:r w:rsidR="005D206F">
        <w:rPr>
          <w:color w:val="FFFFFF" w:themeColor="background1"/>
          <w:sz w:val="24"/>
          <w:szCs w:val="24"/>
        </w:rPr>
        <w:t xml:space="preserve"> </w:t>
      </w:r>
      <w:r w:rsidR="009E774A" w:rsidRPr="005B3F78">
        <w:rPr>
          <w:color w:val="FFFFFF" w:themeColor="background1"/>
          <w:sz w:val="24"/>
          <w:szCs w:val="24"/>
        </w:rPr>
        <w:t>November</w:t>
      </w:r>
      <w:r w:rsidR="00FC749F" w:rsidRPr="005B3F78">
        <w:rPr>
          <w:color w:val="FFFFFF" w:themeColor="background1"/>
          <w:sz w:val="24"/>
          <w:szCs w:val="24"/>
        </w:rPr>
        <w:t xml:space="preserve"> </w:t>
      </w:r>
      <w:r w:rsidRPr="005B3F78">
        <w:rPr>
          <w:color w:val="FFFFFF" w:themeColor="background1"/>
          <w:sz w:val="24"/>
          <w:szCs w:val="24"/>
        </w:rPr>
        <w:t>2010</w:t>
      </w:r>
    </w:p>
    <w:p w:rsidR="00F408DE" w:rsidRPr="005B3F78" w:rsidRDefault="00F408DE" w:rsidP="00980B55">
      <w:pPr>
        <w:pStyle w:val="Style14ptCustomColorRGB175175175After6ptLinespa"/>
        <w:rPr>
          <w:color w:val="FFFFFF" w:themeColor="background1"/>
          <w:sz w:val="24"/>
          <w:szCs w:val="24"/>
        </w:rPr>
      </w:pPr>
      <w:r>
        <w:rPr>
          <w:color w:val="FFFFFF" w:themeColor="background1"/>
          <w:sz w:val="24"/>
          <w:szCs w:val="24"/>
        </w:rPr>
        <w:t>Word</w:t>
      </w:r>
      <w:r w:rsidR="00E40F1F">
        <w:rPr>
          <w:color w:val="FFFFFF" w:themeColor="background1"/>
          <w:sz w:val="24"/>
          <w:szCs w:val="24"/>
        </w:rPr>
        <w:t xml:space="preserve"> C</w:t>
      </w:r>
      <w:r>
        <w:rPr>
          <w:color w:val="FFFFFF" w:themeColor="background1"/>
          <w:sz w:val="24"/>
          <w:szCs w:val="24"/>
        </w:rPr>
        <w:t xml:space="preserve">ount (exl. Tables </w:t>
      </w:r>
      <w:r w:rsidR="00E40F1F">
        <w:rPr>
          <w:color w:val="FFFFFF" w:themeColor="background1"/>
          <w:sz w:val="24"/>
          <w:szCs w:val="24"/>
        </w:rPr>
        <w:t>10</w:t>
      </w:r>
      <w:r w:rsidR="00827B13">
        <w:rPr>
          <w:color w:val="FFFFFF" w:themeColor="background1"/>
          <w:sz w:val="24"/>
          <w:szCs w:val="24"/>
        </w:rPr>
        <w:t>62</w:t>
      </w:r>
      <w:bookmarkStart w:id="0" w:name="_GoBack"/>
      <w:bookmarkEnd w:id="0"/>
      <w:r>
        <w:rPr>
          <w:color w:val="FFFFFF" w:themeColor="background1"/>
          <w:sz w:val="24"/>
          <w:szCs w:val="24"/>
        </w:rPr>
        <w:t>)</w:t>
      </w:r>
    </w:p>
    <w:p w:rsidR="00980B55" w:rsidRPr="004935E4" w:rsidRDefault="00980B55" w:rsidP="00980B55">
      <w:pPr>
        <w:spacing w:after="120" w:line="280" w:lineRule="atLeast"/>
        <w:ind w:left="1267"/>
        <w:rPr>
          <w:color w:val="AFAFAF"/>
          <w:sz w:val="28"/>
          <w:szCs w:val="28"/>
        </w:rPr>
      </w:pPr>
    </w:p>
    <w:p w:rsidR="00980B55" w:rsidRPr="005B3F78" w:rsidRDefault="00621890" w:rsidP="000C3F62">
      <w:pPr>
        <w:pStyle w:val="Header2"/>
        <w:rPr>
          <w:b w:val="0"/>
          <w:sz w:val="36"/>
        </w:rPr>
      </w:pPr>
      <w:r w:rsidRPr="005B3F78">
        <w:rPr>
          <w:b w:val="0"/>
          <w:sz w:val="36"/>
        </w:rPr>
        <w:lastRenderedPageBreak/>
        <w:t xml:space="preserve">Table of </w:t>
      </w:r>
      <w:r w:rsidR="00174FE6" w:rsidRPr="005B3F78">
        <w:rPr>
          <w:b w:val="0"/>
          <w:sz w:val="36"/>
        </w:rPr>
        <w:t>Contents</w:t>
      </w:r>
    </w:p>
    <w:p w:rsidR="00BE71E1" w:rsidRDefault="00A0402E">
      <w:pPr>
        <w:pStyle w:val="TOC1"/>
        <w:rPr>
          <w:rFonts w:asciiTheme="minorHAnsi" w:eastAsiaTheme="minorEastAsia" w:hAnsiTheme="minorHAnsi" w:cstheme="minorBidi"/>
          <w:b w:val="0"/>
          <w:bCs w:val="0"/>
          <w:sz w:val="22"/>
          <w:szCs w:val="22"/>
          <w:lang w:eastAsia="en-GB"/>
        </w:rPr>
      </w:pPr>
      <w:r w:rsidRPr="00A0402E">
        <w:rPr>
          <w:noProof w:val="0"/>
          <w:sz w:val="18"/>
          <w:szCs w:val="18"/>
        </w:rPr>
        <w:fldChar w:fldCharType="begin"/>
      </w:r>
      <w:r w:rsidR="00174FE6" w:rsidRPr="00E97820">
        <w:rPr>
          <w:noProof w:val="0"/>
          <w:sz w:val="18"/>
          <w:szCs w:val="18"/>
        </w:rPr>
        <w:instrText xml:space="preserve"> TOC \o "1-3" \h \z \u </w:instrText>
      </w:r>
      <w:r w:rsidRPr="00A0402E">
        <w:rPr>
          <w:noProof w:val="0"/>
          <w:sz w:val="18"/>
          <w:szCs w:val="18"/>
        </w:rPr>
        <w:fldChar w:fldCharType="separate"/>
      </w:r>
      <w:hyperlink w:anchor="_Toc277012890" w:history="1">
        <w:r w:rsidR="00BE71E1" w:rsidRPr="0022187B">
          <w:rPr>
            <w:rStyle w:val="Hyperlink"/>
          </w:rPr>
          <w:t>1</w:t>
        </w:r>
        <w:r w:rsidR="00BE71E1">
          <w:rPr>
            <w:rFonts w:asciiTheme="minorHAnsi" w:eastAsiaTheme="minorEastAsia" w:hAnsiTheme="minorHAnsi" w:cstheme="minorBidi"/>
            <w:b w:val="0"/>
            <w:bCs w:val="0"/>
            <w:sz w:val="22"/>
            <w:szCs w:val="22"/>
            <w:lang w:eastAsia="en-GB"/>
          </w:rPr>
          <w:tab/>
        </w:r>
        <w:r w:rsidR="00BE71E1" w:rsidRPr="0022187B">
          <w:rPr>
            <w:rStyle w:val="Hyperlink"/>
          </w:rPr>
          <w:t>Executive Summary</w:t>
        </w:r>
        <w:r w:rsidR="00BE71E1">
          <w:rPr>
            <w:webHidden/>
          </w:rPr>
          <w:tab/>
        </w:r>
        <w:r>
          <w:rPr>
            <w:webHidden/>
          </w:rPr>
          <w:fldChar w:fldCharType="begin"/>
        </w:r>
        <w:r w:rsidR="00BE71E1">
          <w:rPr>
            <w:webHidden/>
          </w:rPr>
          <w:instrText xml:space="preserve"> PAGEREF _Toc277012890 \h </w:instrText>
        </w:r>
        <w:r>
          <w:rPr>
            <w:webHidden/>
          </w:rPr>
        </w:r>
        <w:r>
          <w:rPr>
            <w:webHidden/>
          </w:rPr>
          <w:fldChar w:fldCharType="separate"/>
        </w:r>
        <w:r w:rsidR="006C07D3">
          <w:rPr>
            <w:webHidden/>
          </w:rPr>
          <w:t>3</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1" w:history="1">
        <w:r w:rsidR="00BE71E1" w:rsidRPr="0022187B">
          <w:rPr>
            <w:rStyle w:val="Hyperlink"/>
          </w:rPr>
          <w:t>1.1</w:t>
        </w:r>
        <w:r w:rsidR="00BE71E1">
          <w:rPr>
            <w:rFonts w:asciiTheme="minorHAnsi" w:eastAsiaTheme="minorEastAsia" w:hAnsiTheme="minorHAnsi" w:cstheme="minorBidi"/>
            <w:szCs w:val="22"/>
            <w:lang w:eastAsia="en-GB"/>
          </w:rPr>
          <w:tab/>
        </w:r>
        <w:r w:rsidR="00BE71E1" w:rsidRPr="0022187B">
          <w:rPr>
            <w:rStyle w:val="Hyperlink"/>
          </w:rPr>
          <w:t>Financial Highlights</w:t>
        </w:r>
        <w:r w:rsidR="00BE71E1">
          <w:rPr>
            <w:webHidden/>
          </w:rPr>
          <w:tab/>
        </w:r>
        <w:r>
          <w:rPr>
            <w:webHidden/>
          </w:rPr>
          <w:fldChar w:fldCharType="begin"/>
        </w:r>
        <w:r w:rsidR="00BE71E1">
          <w:rPr>
            <w:webHidden/>
          </w:rPr>
          <w:instrText xml:space="preserve"> PAGEREF _Toc277012891 \h </w:instrText>
        </w:r>
        <w:r>
          <w:rPr>
            <w:webHidden/>
          </w:rPr>
        </w:r>
        <w:r>
          <w:rPr>
            <w:webHidden/>
          </w:rPr>
          <w:fldChar w:fldCharType="separate"/>
        </w:r>
        <w:r w:rsidR="006C07D3">
          <w:rPr>
            <w:webHidden/>
          </w:rPr>
          <w:t>3</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2" w:history="1">
        <w:r w:rsidR="00BE71E1" w:rsidRPr="0022187B">
          <w:rPr>
            <w:rStyle w:val="Hyperlink"/>
          </w:rPr>
          <w:t>1.2</w:t>
        </w:r>
        <w:r w:rsidR="00BE71E1">
          <w:rPr>
            <w:rFonts w:asciiTheme="minorHAnsi" w:eastAsiaTheme="minorEastAsia" w:hAnsiTheme="minorHAnsi" w:cstheme="minorBidi"/>
            <w:szCs w:val="22"/>
            <w:lang w:eastAsia="en-GB"/>
          </w:rPr>
          <w:tab/>
        </w:r>
        <w:r w:rsidR="00BE71E1" w:rsidRPr="0022187B">
          <w:rPr>
            <w:rStyle w:val="Hyperlink"/>
          </w:rPr>
          <w:t>Major events</w:t>
        </w:r>
        <w:r w:rsidR="00BE71E1">
          <w:rPr>
            <w:webHidden/>
          </w:rPr>
          <w:tab/>
        </w:r>
        <w:r>
          <w:rPr>
            <w:webHidden/>
          </w:rPr>
          <w:fldChar w:fldCharType="begin"/>
        </w:r>
        <w:r w:rsidR="00BE71E1">
          <w:rPr>
            <w:webHidden/>
          </w:rPr>
          <w:instrText xml:space="preserve"> PAGEREF _Toc277012892 \h </w:instrText>
        </w:r>
        <w:r>
          <w:rPr>
            <w:webHidden/>
          </w:rPr>
        </w:r>
        <w:r>
          <w:rPr>
            <w:webHidden/>
          </w:rPr>
          <w:fldChar w:fldCharType="separate"/>
        </w:r>
        <w:r w:rsidR="006C07D3">
          <w:rPr>
            <w:webHidden/>
          </w:rPr>
          <w:t>3</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3" w:history="1">
        <w:r w:rsidR="00BE71E1" w:rsidRPr="0022187B">
          <w:rPr>
            <w:rStyle w:val="Hyperlink"/>
          </w:rPr>
          <w:t>1.3</w:t>
        </w:r>
        <w:r w:rsidR="00BE71E1">
          <w:rPr>
            <w:rFonts w:asciiTheme="minorHAnsi" w:eastAsiaTheme="minorEastAsia" w:hAnsiTheme="minorHAnsi" w:cstheme="minorBidi"/>
            <w:szCs w:val="22"/>
            <w:lang w:eastAsia="en-GB"/>
          </w:rPr>
          <w:tab/>
        </w:r>
        <w:r w:rsidR="00BE71E1" w:rsidRPr="0022187B">
          <w:rPr>
            <w:rStyle w:val="Hyperlink"/>
          </w:rPr>
          <w:t>Strengths</w:t>
        </w:r>
        <w:r w:rsidR="00BE71E1">
          <w:rPr>
            <w:webHidden/>
          </w:rPr>
          <w:tab/>
        </w:r>
        <w:r>
          <w:rPr>
            <w:webHidden/>
          </w:rPr>
          <w:fldChar w:fldCharType="begin"/>
        </w:r>
        <w:r w:rsidR="00BE71E1">
          <w:rPr>
            <w:webHidden/>
          </w:rPr>
          <w:instrText xml:space="preserve"> PAGEREF _Toc277012893 \h </w:instrText>
        </w:r>
        <w:r>
          <w:rPr>
            <w:webHidden/>
          </w:rPr>
        </w:r>
        <w:r>
          <w:rPr>
            <w:webHidden/>
          </w:rPr>
          <w:fldChar w:fldCharType="separate"/>
        </w:r>
        <w:r w:rsidR="006C07D3">
          <w:rPr>
            <w:webHidden/>
          </w:rPr>
          <w:t>3</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4" w:history="1">
        <w:r w:rsidR="00BE71E1" w:rsidRPr="0022187B">
          <w:rPr>
            <w:rStyle w:val="Hyperlink"/>
          </w:rPr>
          <w:t>1.4</w:t>
        </w:r>
        <w:r w:rsidR="00BE71E1">
          <w:rPr>
            <w:rFonts w:asciiTheme="minorHAnsi" w:eastAsiaTheme="minorEastAsia" w:hAnsiTheme="minorHAnsi" w:cstheme="minorBidi"/>
            <w:szCs w:val="22"/>
            <w:lang w:eastAsia="en-GB"/>
          </w:rPr>
          <w:tab/>
        </w:r>
        <w:r w:rsidR="00BE71E1" w:rsidRPr="0022187B">
          <w:rPr>
            <w:rStyle w:val="Hyperlink"/>
          </w:rPr>
          <w:t>Weaknesses</w:t>
        </w:r>
        <w:r w:rsidR="00BE71E1">
          <w:rPr>
            <w:webHidden/>
          </w:rPr>
          <w:tab/>
        </w:r>
        <w:r>
          <w:rPr>
            <w:webHidden/>
          </w:rPr>
          <w:fldChar w:fldCharType="begin"/>
        </w:r>
        <w:r w:rsidR="00BE71E1">
          <w:rPr>
            <w:webHidden/>
          </w:rPr>
          <w:instrText xml:space="preserve"> PAGEREF _Toc277012894 \h </w:instrText>
        </w:r>
        <w:r>
          <w:rPr>
            <w:webHidden/>
          </w:rPr>
        </w:r>
        <w:r>
          <w:rPr>
            <w:webHidden/>
          </w:rPr>
          <w:fldChar w:fldCharType="separate"/>
        </w:r>
        <w:r w:rsidR="006C07D3">
          <w:rPr>
            <w:webHidden/>
          </w:rPr>
          <w:t>3</w:t>
        </w:r>
        <w:r>
          <w:rPr>
            <w:webHidden/>
          </w:rPr>
          <w:fldChar w:fldCharType="end"/>
        </w:r>
      </w:hyperlink>
    </w:p>
    <w:p w:rsidR="00BE71E1" w:rsidRDefault="00A0402E">
      <w:pPr>
        <w:pStyle w:val="TOC1"/>
        <w:rPr>
          <w:rFonts w:asciiTheme="minorHAnsi" w:eastAsiaTheme="minorEastAsia" w:hAnsiTheme="minorHAnsi" w:cstheme="minorBidi"/>
          <w:b w:val="0"/>
          <w:bCs w:val="0"/>
          <w:sz w:val="22"/>
          <w:szCs w:val="22"/>
          <w:lang w:eastAsia="en-GB"/>
        </w:rPr>
      </w:pPr>
      <w:hyperlink w:anchor="_Toc277012895" w:history="1">
        <w:r w:rsidR="00BE71E1" w:rsidRPr="0022187B">
          <w:rPr>
            <w:rStyle w:val="Hyperlink"/>
          </w:rPr>
          <w:t>2</w:t>
        </w:r>
        <w:r w:rsidR="00BE71E1">
          <w:rPr>
            <w:rFonts w:asciiTheme="minorHAnsi" w:eastAsiaTheme="minorEastAsia" w:hAnsiTheme="minorHAnsi" w:cstheme="minorBidi"/>
            <w:b w:val="0"/>
            <w:bCs w:val="0"/>
            <w:sz w:val="22"/>
            <w:szCs w:val="22"/>
            <w:lang w:eastAsia="en-GB"/>
          </w:rPr>
          <w:tab/>
        </w:r>
        <w:r w:rsidR="00BE71E1" w:rsidRPr="0022187B">
          <w:rPr>
            <w:rStyle w:val="Hyperlink"/>
          </w:rPr>
          <w:t>Financial Analysis</w:t>
        </w:r>
        <w:r w:rsidR="00BE71E1">
          <w:rPr>
            <w:webHidden/>
          </w:rPr>
          <w:tab/>
        </w:r>
        <w:r>
          <w:rPr>
            <w:webHidden/>
          </w:rPr>
          <w:fldChar w:fldCharType="begin"/>
        </w:r>
        <w:r w:rsidR="00BE71E1">
          <w:rPr>
            <w:webHidden/>
          </w:rPr>
          <w:instrText xml:space="preserve"> PAGEREF _Toc277012895 \h </w:instrText>
        </w:r>
        <w:r>
          <w:rPr>
            <w:webHidden/>
          </w:rPr>
        </w:r>
        <w:r>
          <w:rPr>
            <w:webHidden/>
          </w:rPr>
          <w:fldChar w:fldCharType="separate"/>
        </w:r>
        <w:r w:rsidR="006C07D3">
          <w:rPr>
            <w:webHidden/>
          </w:rPr>
          <w:t>4</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6" w:history="1">
        <w:r w:rsidR="00BE71E1" w:rsidRPr="0022187B">
          <w:rPr>
            <w:rStyle w:val="Hyperlink"/>
          </w:rPr>
          <w:t>2.1</w:t>
        </w:r>
        <w:r w:rsidR="00BE71E1">
          <w:rPr>
            <w:rFonts w:asciiTheme="minorHAnsi" w:eastAsiaTheme="minorEastAsia" w:hAnsiTheme="minorHAnsi" w:cstheme="minorBidi"/>
            <w:szCs w:val="22"/>
            <w:lang w:eastAsia="en-GB"/>
          </w:rPr>
          <w:tab/>
        </w:r>
        <w:r w:rsidR="00BE71E1" w:rsidRPr="0022187B">
          <w:rPr>
            <w:rStyle w:val="Hyperlink"/>
          </w:rPr>
          <w:t>Profitability</w:t>
        </w:r>
        <w:r w:rsidR="00BE71E1">
          <w:rPr>
            <w:webHidden/>
          </w:rPr>
          <w:tab/>
        </w:r>
        <w:r>
          <w:rPr>
            <w:webHidden/>
          </w:rPr>
          <w:fldChar w:fldCharType="begin"/>
        </w:r>
        <w:r w:rsidR="00BE71E1">
          <w:rPr>
            <w:webHidden/>
          </w:rPr>
          <w:instrText xml:space="preserve"> PAGEREF _Toc277012896 \h </w:instrText>
        </w:r>
        <w:r>
          <w:rPr>
            <w:webHidden/>
          </w:rPr>
        </w:r>
        <w:r>
          <w:rPr>
            <w:webHidden/>
          </w:rPr>
          <w:fldChar w:fldCharType="separate"/>
        </w:r>
        <w:r w:rsidR="006C07D3">
          <w:rPr>
            <w:webHidden/>
          </w:rPr>
          <w:t>4</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8" w:history="1">
        <w:r w:rsidR="00BE71E1" w:rsidRPr="0022187B">
          <w:rPr>
            <w:rStyle w:val="Hyperlink"/>
          </w:rPr>
          <w:t>2.2</w:t>
        </w:r>
        <w:r w:rsidR="00BE71E1">
          <w:rPr>
            <w:rFonts w:asciiTheme="minorHAnsi" w:eastAsiaTheme="minorEastAsia" w:hAnsiTheme="minorHAnsi" w:cstheme="minorBidi"/>
            <w:szCs w:val="22"/>
            <w:lang w:eastAsia="en-GB"/>
          </w:rPr>
          <w:tab/>
        </w:r>
        <w:r w:rsidR="00BE71E1" w:rsidRPr="0022187B">
          <w:rPr>
            <w:rStyle w:val="Hyperlink"/>
          </w:rPr>
          <w:t>Efficiency</w:t>
        </w:r>
        <w:r w:rsidR="00BE71E1">
          <w:rPr>
            <w:webHidden/>
          </w:rPr>
          <w:tab/>
        </w:r>
        <w:r>
          <w:rPr>
            <w:webHidden/>
          </w:rPr>
          <w:fldChar w:fldCharType="begin"/>
        </w:r>
        <w:r w:rsidR="00BE71E1">
          <w:rPr>
            <w:webHidden/>
          </w:rPr>
          <w:instrText xml:space="preserve"> PAGEREF _Toc277012898 \h </w:instrText>
        </w:r>
        <w:r>
          <w:rPr>
            <w:webHidden/>
          </w:rPr>
        </w:r>
        <w:r>
          <w:rPr>
            <w:webHidden/>
          </w:rPr>
          <w:fldChar w:fldCharType="separate"/>
        </w:r>
        <w:r w:rsidR="006C07D3">
          <w:rPr>
            <w:webHidden/>
          </w:rPr>
          <w:t>4</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899" w:history="1">
        <w:r w:rsidR="00BE71E1" w:rsidRPr="0022187B">
          <w:rPr>
            <w:rStyle w:val="Hyperlink"/>
          </w:rPr>
          <w:t>2.3</w:t>
        </w:r>
        <w:r w:rsidR="00BE71E1">
          <w:rPr>
            <w:rFonts w:asciiTheme="minorHAnsi" w:eastAsiaTheme="minorEastAsia" w:hAnsiTheme="minorHAnsi" w:cstheme="minorBidi"/>
            <w:szCs w:val="22"/>
            <w:lang w:eastAsia="en-GB"/>
          </w:rPr>
          <w:tab/>
        </w:r>
        <w:r w:rsidR="00BE71E1" w:rsidRPr="0022187B">
          <w:rPr>
            <w:rStyle w:val="Hyperlink"/>
          </w:rPr>
          <w:t>Liquidity</w:t>
        </w:r>
        <w:r w:rsidR="00BE71E1">
          <w:rPr>
            <w:webHidden/>
          </w:rPr>
          <w:tab/>
        </w:r>
        <w:r>
          <w:rPr>
            <w:webHidden/>
          </w:rPr>
          <w:fldChar w:fldCharType="begin"/>
        </w:r>
        <w:r w:rsidR="00BE71E1">
          <w:rPr>
            <w:webHidden/>
          </w:rPr>
          <w:instrText xml:space="preserve"> PAGEREF _Toc277012899 \h </w:instrText>
        </w:r>
        <w:r>
          <w:rPr>
            <w:webHidden/>
          </w:rPr>
        </w:r>
        <w:r>
          <w:rPr>
            <w:webHidden/>
          </w:rPr>
          <w:fldChar w:fldCharType="separate"/>
        </w:r>
        <w:r w:rsidR="006C07D3">
          <w:rPr>
            <w:webHidden/>
          </w:rPr>
          <w:t>5</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900" w:history="1">
        <w:r w:rsidR="00BE71E1" w:rsidRPr="0022187B">
          <w:rPr>
            <w:rStyle w:val="Hyperlink"/>
          </w:rPr>
          <w:t>2.4</w:t>
        </w:r>
        <w:r w:rsidR="00BE71E1">
          <w:rPr>
            <w:rFonts w:asciiTheme="minorHAnsi" w:eastAsiaTheme="minorEastAsia" w:hAnsiTheme="minorHAnsi" w:cstheme="minorBidi"/>
            <w:szCs w:val="22"/>
            <w:lang w:eastAsia="en-GB"/>
          </w:rPr>
          <w:tab/>
        </w:r>
        <w:r w:rsidR="00BE71E1" w:rsidRPr="0022187B">
          <w:rPr>
            <w:rStyle w:val="Hyperlink"/>
          </w:rPr>
          <w:t>Financial Structure</w:t>
        </w:r>
        <w:r w:rsidR="00BE71E1">
          <w:rPr>
            <w:webHidden/>
          </w:rPr>
          <w:tab/>
        </w:r>
        <w:r>
          <w:rPr>
            <w:webHidden/>
          </w:rPr>
          <w:fldChar w:fldCharType="begin"/>
        </w:r>
        <w:r w:rsidR="00BE71E1">
          <w:rPr>
            <w:webHidden/>
          </w:rPr>
          <w:instrText xml:space="preserve"> PAGEREF _Toc277012900 \h </w:instrText>
        </w:r>
        <w:r>
          <w:rPr>
            <w:webHidden/>
          </w:rPr>
        </w:r>
        <w:r>
          <w:rPr>
            <w:webHidden/>
          </w:rPr>
          <w:fldChar w:fldCharType="separate"/>
        </w:r>
        <w:r w:rsidR="006C07D3">
          <w:rPr>
            <w:webHidden/>
          </w:rPr>
          <w:t>5</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901" w:history="1">
        <w:r w:rsidR="00BE71E1" w:rsidRPr="0022187B">
          <w:rPr>
            <w:rStyle w:val="Hyperlink"/>
          </w:rPr>
          <w:t>2.5</w:t>
        </w:r>
        <w:r w:rsidR="00BE71E1">
          <w:rPr>
            <w:rFonts w:asciiTheme="minorHAnsi" w:eastAsiaTheme="minorEastAsia" w:hAnsiTheme="minorHAnsi" w:cstheme="minorBidi"/>
            <w:szCs w:val="22"/>
            <w:lang w:eastAsia="en-GB"/>
          </w:rPr>
          <w:tab/>
        </w:r>
        <w:r w:rsidR="00BE71E1" w:rsidRPr="0022187B">
          <w:rPr>
            <w:rStyle w:val="Hyperlink"/>
          </w:rPr>
          <w:t>Shareholder Investment</w:t>
        </w:r>
        <w:r w:rsidR="00BE71E1">
          <w:rPr>
            <w:webHidden/>
          </w:rPr>
          <w:tab/>
        </w:r>
        <w:r>
          <w:rPr>
            <w:webHidden/>
          </w:rPr>
          <w:fldChar w:fldCharType="begin"/>
        </w:r>
        <w:r w:rsidR="00BE71E1">
          <w:rPr>
            <w:webHidden/>
          </w:rPr>
          <w:instrText xml:space="preserve"> PAGEREF _Toc277012901 \h </w:instrText>
        </w:r>
        <w:r>
          <w:rPr>
            <w:webHidden/>
          </w:rPr>
        </w:r>
        <w:r>
          <w:rPr>
            <w:webHidden/>
          </w:rPr>
          <w:fldChar w:fldCharType="separate"/>
        </w:r>
        <w:r w:rsidR="006C07D3">
          <w:rPr>
            <w:webHidden/>
          </w:rPr>
          <w:t>5</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902" w:history="1">
        <w:r w:rsidR="00BE71E1" w:rsidRPr="0022187B">
          <w:rPr>
            <w:rStyle w:val="Hyperlink"/>
          </w:rPr>
          <w:t>2.6</w:t>
        </w:r>
        <w:r w:rsidR="00BE71E1">
          <w:rPr>
            <w:rFonts w:asciiTheme="minorHAnsi" w:eastAsiaTheme="minorEastAsia" w:hAnsiTheme="minorHAnsi" w:cstheme="minorBidi"/>
            <w:szCs w:val="22"/>
            <w:lang w:eastAsia="en-GB"/>
          </w:rPr>
          <w:tab/>
        </w:r>
        <w:r w:rsidR="00BE71E1" w:rsidRPr="0022187B">
          <w:rPr>
            <w:rStyle w:val="Hyperlink"/>
          </w:rPr>
          <w:t>Cashflow</w:t>
        </w:r>
        <w:r w:rsidR="00BE71E1">
          <w:rPr>
            <w:webHidden/>
          </w:rPr>
          <w:tab/>
        </w:r>
        <w:r>
          <w:rPr>
            <w:webHidden/>
          </w:rPr>
          <w:fldChar w:fldCharType="begin"/>
        </w:r>
        <w:r w:rsidR="00BE71E1">
          <w:rPr>
            <w:webHidden/>
          </w:rPr>
          <w:instrText xml:space="preserve"> PAGEREF _Toc277012902 \h </w:instrText>
        </w:r>
        <w:r>
          <w:rPr>
            <w:webHidden/>
          </w:rPr>
        </w:r>
        <w:r>
          <w:rPr>
            <w:webHidden/>
          </w:rPr>
          <w:fldChar w:fldCharType="separate"/>
        </w:r>
        <w:r w:rsidR="006C07D3">
          <w:rPr>
            <w:webHidden/>
          </w:rPr>
          <w:t>6</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903" w:history="1">
        <w:r w:rsidR="00BE71E1" w:rsidRPr="0022187B">
          <w:rPr>
            <w:rStyle w:val="Hyperlink"/>
          </w:rPr>
          <w:t>2.7</w:t>
        </w:r>
        <w:r w:rsidR="00BE71E1">
          <w:rPr>
            <w:rFonts w:asciiTheme="minorHAnsi" w:eastAsiaTheme="minorEastAsia" w:hAnsiTheme="minorHAnsi" w:cstheme="minorBidi"/>
            <w:szCs w:val="22"/>
            <w:lang w:eastAsia="en-GB"/>
          </w:rPr>
          <w:tab/>
        </w:r>
        <w:r w:rsidR="00BE71E1" w:rsidRPr="0022187B">
          <w:rPr>
            <w:rStyle w:val="Hyperlink"/>
          </w:rPr>
          <w:t>Treatment of Exceptional Items</w:t>
        </w:r>
        <w:r w:rsidR="00BE71E1">
          <w:rPr>
            <w:webHidden/>
          </w:rPr>
          <w:tab/>
        </w:r>
        <w:r>
          <w:rPr>
            <w:webHidden/>
          </w:rPr>
          <w:fldChar w:fldCharType="begin"/>
        </w:r>
        <w:r w:rsidR="00BE71E1">
          <w:rPr>
            <w:webHidden/>
          </w:rPr>
          <w:instrText xml:space="preserve"> PAGEREF _Toc277012903 \h </w:instrText>
        </w:r>
        <w:r>
          <w:rPr>
            <w:webHidden/>
          </w:rPr>
        </w:r>
        <w:r>
          <w:rPr>
            <w:webHidden/>
          </w:rPr>
          <w:fldChar w:fldCharType="separate"/>
        </w:r>
        <w:r w:rsidR="006C07D3">
          <w:rPr>
            <w:webHidden/>
          </w:rPr>
          <w:t>6</w:t>
        </w:r>
        <w:r>
          <w:rPr>
            <w:webHidden/>
          </w:rPr>
          <w:fldChar w:fldCharType="end"/>
        </w:r>
      </w:hyperlink>
    </w:p>
    <w:p w:rsidR="00BE71E1" w:rsidRDefault="00A0402E">
      <w:pPr>
        <w:pStyle w:val="TOC2"/>
        <w:rPr>
          <w:rFonts w:asciiTheme="minorHAnsi" w:eastAsiaTheme="minorEastAsia" w:hAnsiTheme="minorHAnsi" w:cstheme="minorBidi"/>
          <w:szCs w:val="22"/>
          <w:lang w:eastAsia="en-GB"/>
        </w:rPr>
      </w:pPr>
      <w:hyperlink w:anchor="_Toc277012904" w:history="1">
        <w:r w:rsidR="00BE71E1" w:rsidRPr="0022187B">
          <w:rPr>
            <w:rStyle w:val="Hyperlink"/>
          </w:rPr>
          <w:t>2.8</w:t>
        </w:r>
        <w:r w:rsidR="00BE71E1">
          <w:rPr>
            <w:rFonts w:asciiTheme="minorHAnsi" w:eastAsiaTheme="minorEastAsia" w:hAnsiTheme="minorHAnsi" w:cstheme="minorBidi"/>
            <w:szCs w:val="22"/>
            <w:lang w:eastAsia="en-GB"/>
          </w:rPr>
          <w:tab/>
        </w:r>
        <w:r w:rsidR="00BE71E1" w:rsidRPr="0022187B">
          <w:rPr>
            <w:rStyle w:val="Hyperlink"/>
          </w:rPr>
          <w:t>Additional Information to Improve Analysis</w:t>
        </w:r>
        <w:r w:rsidR="00BE71E1">
          <w:rPr>
            <w:webHidden/>
          </w:rPr>
          <w:tab/>
        </w:r>
        <w:r>
          <w:rPr>
            <w:webHidden/>
          </w:rPr>
          <w:fldChar w:fldCharType="begin"/>
        </w:r>
        <w:r w:rsidR="00BE71E1">
          <w:rPr>
            <w:webHidden/>
          </w:rPr>
          <w:instrText xml:space="preserve"> PAGEREF _Toc277012904 \h </w:instrText>
        </w:r>
        <w:r>
          <w:rPr>
            <w:webHidden/>
          </w:rPr>
        </w:r>
        <w:r>
          <w:rPr>
            <w:webHidden/>
          </w:rPr>
          <w:fldChar w:fldCharType="separate"/>
        </w:r>
        <w:r w:rsidR="006C07D3">
          <w:rPr>
            <w:webHidden/>
          </w:rPr>
          <w:t>6</w:t>
        </w:r>
        <w:r>
          <w:rPr>
            <w:webHidden/>
          </w:rPr>
          <w:fldChar w:fldCharType="end"/>
        </w:r>
      </w:hyperlink>
    </w:p>
    <w:p w:rsidR="00BE71E1" w:rsidRDefault="00A0402E">
      <w:pPr>
        <w:pStyle w:val="TOC1"/>
        <w:rPr>
          <w:rFonts w:asciiTheme="minorHAnsi" w:eastAsiaTheme="minorEastAsia" w:hAnsiTheme="minorHAnsi" w:cstheme="minorBidi"/>
          <w:b w:val="0"/>
          <w:bCs w:val="0"/>
          <w:sz w:val="22"/>
          <w:szCs w:val="22"/>
          <w:lang w:eastAsia="en-GB"/>
        </w:rPr>
      </w:pPr>
      <w:hyperlink w:anchor="_Toc277012905" w:history="1">
        <w:r w:rsidR="00BE71E1" w:rsidRPr="0022187B">
          <w:rPr>
            <w:rStyle w:val="Hyperlink"/>
          </w:rPr>
          <w:t>Appendix A – Financial Calculations</w:t>
        </w:r>
        <w:r w:rsidR="00BE71E1">
          <w:rPr>
            <w:webHidden/>
          </w:rPr>
          <w:tab/>
        </w:r>
        <w:r>
          <w:rPr>
            <w:webHidden/>
          </w:rPr>
          <w:fldChar w:fldCharType="begin"/>
        </w:r>
        <w:r w:rsidR="00BE71E1">
          <w:rPr>
            <w:webHidden/>
          </w:rPr>
          <w:instrText xml:space="preserve"> PAGEREF _Toc277012905 \h </w:instrText>
        </w:r>
        <w:r>
          <w:rPr>
            <w:webHidden/>
          </w:rPr>
        </w:r>
        <w:r>
          <w:rPr>
            <w:webHidden/>
          </w:rPr>
          <w:fldChar w:fldCharType="separate"/>
        </w:r>
        <w:r w:rsidR="006C07D3">
          <w:rPr>
            <w:webHidden/>
          </w:rPr>
          <w:t>7</w:t>
        </w:r>
        <w:r>
          <w:rPr>
            <w:webHidden/>
          </w:rPr>
          <w:fldChar w:fldCharType="end"/>
        </w:r>
      </w:hyperlink>
    </w:p>
    <w:p w:rsidR="00BE71E1" w:rsidRDefault="00A0402E">
      <w:pPr>
        <w:pStyle w:val="TOC1"/>
        <w:rPr>
          <w:rFonts w:asciiTheme="minorHAnsi" w:eastAsiaTheme="minorEastAsia" w:hAnsiTheme="minorHAnsi" w:cstheme="minorBidi"/>
          <w:b w:val="0"/>
          <w:bCs w:val="0"/>
          <w:sz w:val="22"/>
          <w:szCs w:val="22"/>
          <w:lang w:eastAsia="en-GB"/>
        </w:rPr>
      </w:pPr>
      <w:hyperlink w:anchor="_Toc277012906" w:history="1">
        <w:r w:rsidR="00BE71E1" w:rsidRPr="0022187B">
          <w:rPr>
            <w:rStyle w:val="Hyperlink"/>
          </w:rPr>
          <w:t>Appendix B – Assumptions</w:t>
        </w:r>
        <w:r w:rsidR="00BE71E1">
          <w:rPr>
            <w:webHidden/>
          </w:rPr>
          <w:tab/>
        </w:r>
        <w:r>
          <w:rPr>
            <w:webHidden/>
          </w:rPr>
          <w:fldChar w:fldCharType="begin"/>
        </w:r>
        <w:r w:rsidR="00BE71E1">
          <w:rPr>
            <w:webHidden/>
          </w:rPr>
          <w:instrText xml:space="preserve"> PAGEREF _Toc277012906 \h </w:instrText>
        </w:r>
        <w:r>
          <w:rPr>
            <w:webHidden/>
          </w:rPr>
        </w:r>
        <w:r>
          <w:rPr>
            <w:webHidden/>
          </w:rPr>
          <w:fldChar w:fldCharType="separate"/>
        </w:r>
        <w:r w:rsidR="006C07D3">
          <w:rPr>
            <w:webHidden/>
          </w:rPr>
          <w:t>10</w:t>
        </w:r>
        <w:r>
          <w:rPr>
            <w:webHidden/>
          </w:rPr>
          <w:fldChar w:fldCharType="end"/>
        </w:r>
      </w:hyperlink>
    </w:p>
    <w:p w:rsidR="00BE71E1" w:rsidRDefault="00A0402E">
      <w:pPr>
        <w:pStyle w:val="TOC1"/>
        <w:rPr>
          <w:rFonts w:asciiTheme="minorHAnsi" w:eastAsiaTheme="minorEastAsia" w:hAnsiTheme="minorHAnsi" w:cstheme="minorBidi"/>
          <w:b w:val="0"/>
          <w:bCs w:val="0"/>
          <w:sz w:val="22"/>
          <w:szCs w:val="22"/>
          <w:lang w:eastAsia="en-GB"/>
        </w:rPr>
      </w:pPr>
      <w:hyperlink w:anchor="_Toc277012907" w:history="1">
        <w:r w:rsidR="00BE71E1" w:rsidRPr="0022187B">
          <w:rPr>
            <w:rStyle w:val="Hyperlink"/>
          </w:rPr>
          <w:t>Appendix C – Acronyms</w:t>
        </w:r>
        <w:r w:rsidR="00BE71E1">
          <w:rPr>
            <w:webHidden/>
          </w:rPr>
          <w:tab/>
        </w:r>
        <w:r>
          <w:rPr>
            <w:webHidden/>
          </w:rPr>
          <w:fldChar w:fldCharType="begin"/>
        </w:r>
        <w:r w:rsidR="00BE71E1">
          <w:rPr>
            <w:webHidden/>
          </w:rPr>
          <w:instrText xml:space="preserve"> PAGEREF _Toc277012907 \h </w:instrText>
        </w:r>
        <w:r>
          <w:rPr>
            <w:webHidden/>
          </w:rPr>
        </w:r>
        <w:r>
          <w:rPr>
            <w:webHidden/>
          </w:rPr>
          <w:fldChar w:fldCharType="separate"/>
        </w:r>
        <w:r w:rsidR="006C07D3">
          <w:rPr>
            <w:webHidden/>
          </w:rPr>
          <w:t>11</w:t>
        </w:r>
        <w:r>
          <w:rPr>
            <w:webHidden/>
          </w:rPr>
          <w:fldChar w:fldCharType="end"/>
        </w:r>
      </w:hyperlink>
    </w:p>
    <w:p w:rsidR="00980B55" w:rsidRPr="0068269B" w:rsidRDefault="00A0402E" w:rsidP="00980B55">
      <w:pPr>
        <w:spacing w:after="120" w:line="280" w:lineRule="atLeast"/>
        <w:ind w:right="808"/>
      </w:pPr>
      <w:r w:rsidRPr="00E97820">
        <w:rPr>
          <w:sz w:val="18"/>
          <w:szCs w:val="18"/>
        </w:rPr>
        <w:fldChar w:fldCharType="end"/>
      </w:r>
    </w:p>
    <w:p w:rsidR="00D62342" w:rsidRDefault="00D62342">
      <w:pPr>
        <w:rPr>
          <w:bCs/>
          <w:kern w:val="32"/>
          <w:sz w:val="36"/>
          <w:szCs w:val="32"/>
        </w:rPr>
      </w:pPr>
      <w:bookmarkStart w:id="1" w:name="_Toc260905785"/>
      <w:r>
        <w:br w:type="page"/>
      </w:r>
    </w:p>
    <w:p w:rsidR="00980B55" w:rsidRDefault="00AA4BA3" w:rsidP="00980B55">
      <w:pPr>
        <w:pStyle w:val="Heading1"/>
      </w:pPr>
      <w:bookmarkStart w:id="2" w:name="_Toc277012890"/>
      <w:r>
        <w:lastRenderedPageBreak/>
        <w:t>Executive Summary</w:t>
      </w:r>
      <w:bookmarkEnd w:id="2"/>
    </w:p>
    <w:p w:rsidR="00AA4BA3" w:rsidRPr="00AA4BA3" w:rsidRDefault="00AA4BA3" w:rsidP="000A0A25">
      <w:pPr>
        <w:pStyle w:val="JEBodyText"/>
      </w:pPr>
      <w:r w:rsidRPr="00FA77AC">
        <w:t xml:space="preserve">Nichols group comprises two divisions; soft drinks and dispense operation. The brand portfolio consists of Vimto, Panda and Sunkist, </w:t>
      </w:r>
      <w:bookmarkStart w:id="3" w:name="OLE_LINK1"/>
      <w:r w:rsidRPr="00FA77AC">
        <w:t>available in over 65 countries</w:t>
      </w:r>
      <w:r w:rsidRPr="005064C7">
        <w:t xml:space="preserve">. </w:t>
      </w:r>
      <w:bookmarkEnd w:id="3"/>
      <w:r>
        <w:tab/>
      </w:r>
    </w:p>
    <w:p w:rsidR="00980B55" w:rsidRPr="004935E4" w:rsidRDefault="00AA4BA3" w:rsidP="00AA4BA3">
      <w:pPr>
        <w:pStyle w:val="Heading2"/>
      </w:pPr>
      <w:bookmarkStart w:id="4" w:name="_Toc277012891"/>
      <w:bookmarkEnd w:id="1"/>
      <w:r>
        <w:t>Financial Highlights</w:t>
      </w:r>
      <w:bookmarkEnd w:id="4"/>
    </w:p>
    <w:tbl>
      <w:tblPr>
        <w:tblW w:w="6946" w:type="dxa"/>
        <w:tblInd w:w="108" w:type="dxa"/>
        <w:tblBorders>
          <w:bottom w:val="single" w:sz="4" w:space="0" w:color="C0C0C0"/>
          <w:insideH w:val="single" w:sz="4" w:space="0" w:color="C0C0C0"/>
        </w:tblBorders>
        <w:tblLayout w:type="fixed"/>
        <w:tblLook w:val="04A0"/>
      </w:tblPr>
      <w:tblGrid>
        <w:gridCol w:w="2552"/>
        <w:gridCol w:w="1276"/>
        <w:gridCol w:w="1560"/>
        <w:gridCol w:w="1558"/>
      </w:tblGrid>
      <w:tr w:rsidR="00AA4BA3" w:rsidRPr="004935E4">
        <w:trPr>
          <w:trHeight w:val="70"/>
        </w:trPr>
        <w:tc>
          <w:tcPr>
            <w:tcW w:w="2552" w:type="dxa"/>
            <w:vAlign w:val="center"/>
          </w:tcPr>
          <w:p w:rsidR="00AA4BA3" w:rsidRPr="00AA4BA3" w:rsidRDefault="00AA4BA3" w:rsidP="00FA77AC">
            <w:pPr>
              <w:pStyle w:val="JETableHeader"/>
            </w:pPr>
            <w:r w:rsidRPr="00AA4BA3">
              <w:t>Figures in (£’000)</w:t>
            </w:r>
          </w:p>
        </w:tc>
        <w:tc>
          <w:tcPr>
            <w:tcW w:w="1276" w:type="dxa"/>
            <w:vAlign w:val="center"/>
          </w:tcPr>
          <w:p w:rsidR="00AA4BA3" w:rsidRPr="00AA4BA3" w:rsidRDefault="00AA4BA3" w:rsidP="00FA77AC">
            <w:pPr>
              <w:pStyle w:val="JETableHeader"/>
            </w:pPr>
            <w:bookmarkStart w:id="5" w:name="OLE_LINK15"/>
            <w:r w:rsidRPr="00AA4BA3">
              <w:t>2009</w:t>
            </w:r>
            <w:bookmarkEnd w:id="5"/>
          </w:p>
        </w:tc>
        <w:tc>
          <w:tcPr>
            <w:tcW w:w="1560" w:type="dxa"/>
            <w:vAlign w:val="center"/>
          </w:tcPr>
          <w:p w:rsidR="00AA4BA3" w:rsidRPr="00AA4BA3" w:rsidRDefault="00AA4BA3" w:rsidP="00FA77AC">
            <w:pPr>
              <w:pStyle w:val="JETableHeader"/>
            </w:pPr>
            <w:r w:rsidRPr="00AA4BA3">
              <w:t>2008</w:t>
            </w:r>
          </w:p>
        </w:tc>
        <w:tc>
          <w:tcPr>
            <w:tcW w:w="1558" w:type="dxa"/>
            <w:vAlign w:val="center"/>
          </w:tcPr>
          <w:p w:rsidR="00AA4BA3" w:rsidRPr="00AA4BA3" w:rsidRDefault="00AA4BA3" w:rsidP="00FA77AC">
            <w:pPr>
              <w:pStyle w:val="JETableHeader"/>
            </w:pPr>
            <w:r w:rsidRPr="00AA4BA3">
              <w:t>Movement</w:t>
            </w:r>
          </w:p>
        </w:tc>
      </w:tr>
      <w:tr w:rsidR="00AA4BA3" w:rsidRPr="004935E4">
        <w:trPr>
          <w:trHeight w:val="259"/>
        </w:trPr>
        <w:tc>
          <w:tcPr>
            <w:tcW w:w="2552" w:type="dxa"/>
            <w:vAlign w:val="center"/>
          </w:tcPr>
          <w:p w:rsidR="00AA4BA3" w:rsidRPr="005064C7" w:rsidRDefault="00AA4BA3" w:rsidP="00FA77AC">
            <w:pPr>
              <w:pStyle w:val="JETableText"/>
              <w:rPr>
                <w:sz w:val="22"/>
              </w:rPr>
            </w:pPr>
            <w:r w:rsidRPr="005064C7">
              <w:rPr>
                <w:sz w:val="22"/>
              </w:rPr>
              <w:t>Revenue</w:t>
            </w:r>
          </w:p>
        </w:tc>
        <w:tc>
          <w:tcPr>
            <w:tcW w:w="1276" w:type="dxa"/>
            <w:vAlign w:val="center"/>
          </w:tcPr>
          <w:p w:rsidR="00AA4BA3" w:rsidRPr="005064C7" w:rsidRDefault="00AA4BA3" w:rsidP="00FA77AC">
            <w:pPr>
              <w:pStyle w:val="JETableText"/>
              <w:rPr>
                <w:sz w:val="22"/>
              </w:rPr>
            </w:pPr>
            <w:r w:rsidRPr="005064C7">
              <w:rPr>
                <w:sz w:val="22"/>
              </w:rPr>
              <w:t>£72,378</w:t>
            </w:r>
          </w:p>
        </w:tc>
        <w:tc>
          <w:tcPr>
            <w:tcW w:w="1560" w:type="dxa"/>
            <w:vAlign w:val="center"/>
          </w:tcPr>
          <w:p w:rsidR="00AA4BA3" w:rsidRPr="005064C7" w:rsidRDefault="00AA4BA3" w:rsidP="00FA77AC">
            <w:pPr>
              <w:pStyle w:val="JETableText"/>
              <w:rPr>
                <w:sz w:val="22"/>
              </w:rPr>
            </w:pPr>
            <w:r w:rsidRPr="005064C7">
              <w:rPr>
                <w:sz w:val="22"/>
              </w:rPr>
              <w:t>£56,221</w:t>
            </w:r>
          </w:p>
        </w:tc>
        <w:tc>
          <w:tcPr>
            <w:tcW w:w="1558" w:type="dxa"/>
            <w:vAlign w:val="center"/>
          </w:tcPr>
          <w:p w:rsidR="00AA4BA3" w:rsidRPr="005064C7" w:rsidRDefault="00AA4BA3" w:rsidP="00FA77AC">
            <w:pPr>
              <w:pStyle w:val="JETableText"/>
              <w:rPr>
                <w:sz w:val="22"/>
              </w:rPr>
            </w:pPr>
            <w:r w:rsidRPr="005064C7">
              <w:rPr>
                <w:sz w:val="22"/>
              </w:rPr>
              <w:t>22%</w:t>
            </w:r>
          </w:p>
        </w:tc>
      </w:tr>
      <w:tr w:rsidR="00AA4BA3" w:rsidRPr="004935E4">
        <w:trPr>
          <w:trHeight w:val="259"/>
        </w:trPr>
        <w:tc>
          <w:tcPr>
            <w:tcW w:w="2552" w:type="dxa"/>
            <w:vAlign w:val="center"/>
          </w:tcPr>
          <w:p w:rsidR="00AA4BA3" w:rsidRPr="005064C7" w:rsidRDefault="00AA4BA3" w:rsidP="00FA77AC">
            <w:pPr>
              <w:pStyle w:val="JETableText"/>
              <w:rPr>
                <w:sz w:val="22"/>
              </w:rPr>
            </w:pPr>
            <w:r w:rsidRPr="005064C7">
              <w:rPr>
                <w:sz w:val="22"/>
              </w:rPr>
              <w:t>Operating Profit</w:t>
            </w:r>
          </w:p>
        </w:tc>
        <w:tc>
          <w:tcPr>
            <w:tcW w:w="1276" w:type="dxa"/>
            <w:vAlign w:val="center"/>
          </w:tcPr>
          <w:p w:rsidR="00AA4BA3" w:rsidRPr="005064C7" w:rsidRDefault="00AA4BA3" w:rsidP="00FA77AC">
            <w:pPr>
              <w:pStyle w:val="JETableText"/>
              <w:rPr>
                <w:sz w:val="22"/>
              </w:rPr>
            </w:pPr>
            <w:r w:rsidRPr="005064C7">
              <w:rPr>
                <w:sz w:val="22"/>
              </w:rPr>
              <w:t>£12,501</w:t>
            </w:r>
          </w:p>
        </w:tc>
        <w:tc>
          <w:tcPr>
            <w:tcW w:w="1560" w:type="dxa"/>
            <w:vAlign w:val="center"/>
          </w:tcPr>
          <w:p w:rsidR="00AA4BA3" w:rsidRPr="005064C7" w:rsidRDefault="00AA4BA3" w:rsidP="00FA77AC">
            <w:pPr>
              <w:pStyle w:val="JETableText"/>
              <w:rPr>
                <w:sz w:val="22"/>
              </w:rPr>
            </w:pPr>
            <w:r w:rsidRPr="005064C7">
              <w:rPr>
                <w:sz w:val="22"/>
              </w:rPr>
              <w:t>£9,804</w:t>
            </w:r>
          </w:p>
        </w:tc>
        <w:tc>
          <w:tcPr>
            <w:tcW w:w="1558" w:type="dxa"/>
            <w:vAlign w:val="center"/>
          </w:tcPr>
          <w:p w:rsidR="00AA4BA3" w:rsidRPr="005064C7" w:rsidRDefault="00AA4BA3" w:rsidP="00FA77AC">
            <w:pPr>
              <w:pStyle w:val="JETableText"/>
              <w:rPr>
                <w:sz w:val="22"/>
              </w:rPr>
            </w:pPr>
            <w:r w:rsidRPr="005064C7">
              <w:rPr>
                <w:sz w:val="22"/>
              </w:rPr>
              <w:t>22%</w:t>
            </w:r>
          </w:p>
        </w:tc>
      </w:tr>
      <w:tr w:rsidR="00AA4BA3" w:rsidRPr="004935E4">
        <w:trPr>
          <w:trHeight w:val="259"/>
        </w:trPr>
        <w:tc>
          <w:tcPr>
            <w:tcW w:w="2552" w:type="dxa"/>
            <w:vAlign w:val="center"/>
          </w:tcPr>
          <w:p w:rsidR="00AA4BA3" w:rsidRPr="005064C7" w:rsidRDefault="00AA4BA3" w:rsidP="00FA77AC">
            <w:pPr>
              <w:pStyle w:val="JETableText"/>
              <w:rPr>
                <w:sz w:val="22"/>
              </w:rPr>
            </w:pPr>
            <w:r w:rsidRPr="005064C7">
              <w:rPr>
                <w:sz w:val="22"/>
              </w:rPr>
              <w:t>Earnings</w:t>
            </w:r>
          </w:p>
        </w:tc>
        <w:tc>
          <w:tcPr>
            <w:tcW w:w="1276" w:type="dxa"/>
            <w:vAlign w:val="center"/>
          </w:tcPr>
          <w:p w:rsidR="00AA4BA3" w:rsidRPr="005064C7" w:rsidRDefault="00AA4BA3" w:rsidP="00FA77AC">
            <w:pPr>
              <w:pStyle w:val="JETableText"/>
              <w:rPr>
                <w:sz w:val="22"/>
              </w:rPr>
            </w:pPr>
            <w:r w:rsidRPr="005064C7">
              <w:rPr>
                <w:sz w:val="22"/>
              </w:rPr>
              <w:t>£8,568</w:t>
            </w:r>
          </w:p>
        </w:tc>
        <w:tc>
          <w:tcPr>
            <w:tcW w:w="1560" w:type="dxa"/>
            <w:vAlign w:val="center"/>
          </w:tcPr>
          <w:p w:rsidR="00AA4BA3" w:rsidRPr="005064C7" w:rsidRDefault="00AA4BA3" w:rsidP="00FA77AC">
            <w:pPr>
              <w:pStyle w:val="JETableText"/>
              <w:rPr>
                <w:sz w:val="22"/>
              </w:rPr>
            </w:pPr>
            <w:r w:rsidRPr="005064C7">
              <w:rPr>
                <w:sz w:val="22"/>
              </w:rPr>
              <w:t>£7,306</w:t>
            </w:r>
          </w:p>
        </w:tc>
        <w:tc>
          <w:tcPr>
            <w:tcW w:w="1558" w:type="dxa"/>
            <w:vAlign w:val="center"/>
          </w:tcPr>
          <w:p w:rsidR="00AA4BA3" w:rsidRPr="005064C7" w:rsidRDefault="00AA4BA3" w:rsidP="00FA77AC">
            <w:pPr>
              <w:pStyle w:val="JETableText"/>
              <w:rPr>
                <w:sz w:val="22"/>
              </w:rPr>
            </w:pPr>
            <w:r w:rsidRPr="005064C7">
              <w:rPr>
                <w:sz w:val="22"/>
              </w:rPr>
              <w:t>15%</w:t>
            </w:r>
          </w:p>
        </w:tc>
      </w:tr>
      <w:tr w:rsidR="00AA4BA3" w:rsidRPr="004935E4">
        <w:trPr>
          <w:trHeight w:val="259"/>
        </w:trPr>
        <w:tc>
          <w:tcPr>
            <w:tcW w:w="2552" w:type="dxa"/>
            <w:vAlign w:val="center"/>
          </w:tcPr>
          <w:p w:rsidR="00AA4BA3" w:rsidRPr="005064C7" w:rsidRDefault="00AA4BA3" w:rsidP="00FA77AC">
            <w:pPr>
              <w:pStyle w:val="JETableText"/>
              <w:rPr>
                <w:sz w:val="22"/>
              </w:rPr>
            </w:pPr>
            <w:r w:rsidRPr="005064C7">
              <w:rPr>
                <w:sz w:val="22"/>
              </w:rPr>
              <w:t>Dividend</w:t>
            </w:r>
          </w:p>
        </w:tc>
        <w:tc>
          <w:tcPr>
            <w:tcW w:w="1276" w:type="dxa"/>
            <w:vAlign w:val="center"/>
          </w:tcPr>
          <w:p w:rsidR="00AA4BA3" w:rsidRPr="005064C7" w:rsidRDefault="00AA4BA3" w:rsidP="00FA77AC">
            <w:pPr>
              <w:pStyle w:val="JETableText"/>
              <w:rPr>
                <w:sz w:val="22"/>
              </w:rPr>
            </w:pPr>
            <w:r w:rsidRPr="005064C7">
              <w:rPr>
                <w:sz w:val="22"/>
              </w:rPr>
              <w:t>£4,445</w:t>
            </w:r>
          </w:p>
        </w:tc>
        <w:tc>
          <w:tcPr>
            <w:tcW w:w="1560" w:type="dxa"/>
            <w:vAlign w:val="center"/>
          </w:tcPr>
          <w:p w:rsidR="00AA4BA3" w:rsidRPr="005064C7" w:rsidRDefault="00AA4BA3" w:rsidP="00FA77AC">
            <w:pPr>
              <w:pStyle w:val="JETableText"/>
              <w:rPr>
                <w:sz w:val="22"/>
              </w:rPr>
            </w:pPr>
            <w:r w:rsidRPr="005064C7">
              <w:rPr>
                <w:sz w:val="22"/>
              </w:rPr>
              <w:t>£4,085</w:t>
            </w:r>
          </w:p>
        </w:tc>
        <w:tc>
          <w:tcPr>
            <w:tcW w:w="1558" w:type="dxa"/>
            <w:vAlign w:val="center"/>
          </w:tcPr>
          <w:p w:rsidR="00AA4BA3" w:rsidRPr="005064C7" w:rsidRDefault="00AA4BA3" w:rsidP="00FA77AC">
            <w:pPr>
              <w:pStyle w:val="JETableText"/>
              <w:rPr>
                <w:sz w:val="22"/>
              </w:rPr>
            </w:pPr>
            <w:r w:rsidRPr="005064C7">
              <w:rPr>
                <w:sz w:val="22"/>
              </w:rPr>
              <w:t>8%</w:t>
            </w:r>
          </w:p>
        </w:tc>
      </w:tr>
      <w:tr w:rsidR="00AA4BA3" w:rsidRPr="004935E4">
        <w:trPr>
          <w:trHeight w:val="259"/>
        </w:trPr>
        <w:tc>
          <w:tcPr>
            <w:tcW w:w="2552" w:type="dxa"/>
            <w:vAlign w:val="center"/>
          </w:tcPr>
          <w:p w:rsidR="00AA4BA3" w:rsidRPr="005064C7" w:rsidRDefault="00AA4BA3" w:rsidP="00FA77AC">
            <w:pPr>
              <w:pStyle w:val="JETableText"/>
              <w:rPr>
                <w:sz w:val="22"/>
              </w:rPr>
            </w:pPr>
            <w:r w:rsidRPr="005064C7">
              <w:rPr>
                <w:sz w:val="22"/>
              </w:rPr>
              <w:t>Cash</w:t>
            </w:r>
          </w:p>
        </w:tc>
        <w:tc>
          <w:tcPr>
            <w:tcW w:w="1276" w:type="dxa"/>
            <w:vAlign w:val="center"/>
          </w:tcPr>
          <w:p w:rsidR="00AA4BA3" w:rsidRPr="005064C7" w:rsidRDefault="00AA4BA3" w:rsidP="00FA77AC">
            <w:pPr>
              <w:pStyle w:val="JETableText"/>
              <w:rPr>
                <w:sz w:val="22"/>
              </w:rPr>
            </w:pPr>
            <w:r w:rsidRPr="005064C7">
              <w:rPr>
                <w:sz w:val="22"/>
              </w:rPr>
              <w:t>£11,215</w:t>
            </w:r>
          </w:p>
        </w:tc>
        <w:tc>
          <w:tcPr>
            <w:tcW w:w="1560" w:type="dxa"/>
            <w:vAlign w:val="center"/>
          </w:tcPr>
          <w:p w:rsidR="00AA4BA3" w:rsidRPr="005064C7" w:rsidRDefault="00AA4BA3" w:rsidP="00FA77AC">
            <w:pPr>
              <w:pStyle w:val="JETableText"/>
              <w:rPr>
                <w:sz w:val="22"/>
              </w:rPr>
            </w:pPr>
            <w:r w:rsidRPr="005064C7">
              <w:rPr>
                <w:sz w:val="22"/>
              </w:rPr>
              <w:t>£6,048</w:t>
            </w:r>
          </w:p>
        </w:tc>
        <w:tc>
          <w:tcPr>
            <w:tcW w:w="1558" w:type="dxa"/>
            <w:vAlign w:val="center"/>
          </w:tcPr>
          <w:p w:rsidR="00AA4BA3" w:rsidRPr="005064C7" w:rsidRDefault="00AA4BA3" w:rsidP="00FA77AC">
            <w:pPr>
              <w:pStyle w:val="JETableText"/>
              <w:rPr>
                <w:sz w:val="22"/>
              </w:rPr>
            </w:pPr>
            <w:r w:rsidRPr="005064C7">
              <w:rPr>
                <w:sz w:val="22"/>
              </w:rPr>
              <w:t>85%</w:t>
            </w:r>
          </w:p>
        </w:tc>
      </w:tr>
      <w:tr w:rsidR="00AA4BA3" w:rsidRPr="004935E4">
        <w:trPr>
          <w:trHeight w:val="259"/>
        </w:trPr>
        <w:tc>
          <w:tcPr>
            <w:tcW w:w="2552" w:type="dxa"/>
            <w:vAlign w:val="center"/>
          </w:tcPr>
          <w:p w:rsidR="00AA4BA3" w:rsidRPr="005064C7" w:rsidRDefault="00AA4BA3" w:rsidP="00FA77AC">
            <w:pPr>
              <w:pStyle w:val="JETableText"/>
              <w:rPr>
                <w:sz w:val="22"/>
              </w:rPr>
            </w:pPr>
            <w:r w:rsidRPr="005064C7">
              <w:rPr>
                <w:sz w:val="22"/>
              </w:rPr>
              <w:t>Capital Employed</w:t>
            </w:r>
          </w:p>
        </w:tc>
        <w:tc>
          <w:tcPr>
            <w:tcW w:w="1276" w:type="dxa"/>
            <w:vAlign w:val="center"/>
          </w:tcPr>
          <w:p w:rsidR="00AA4BA3" w:rsidRPr="005064C7" w:rsidRDefault="00AA4BA3" w:rsidP="00FA77AC">
            <w:pPr>
              <w:pStyle w:val="JETableText"/>
              <w:rPr>
                <w:sz w:val="22"/>
              </w:rPr>
            </w:pPr>
            <w:r w:rsidRPr="005064C7">
              <w:rPr>
                <w:sz w:val="22"/>
              </w:rPr>
              <w:t>£29,301</w:t>
            </w:r>
          </w:p>
        </w:tc>
        <w:tc>
          <w:tcPr>
            <w:tcW w:w="1560" w:type="dxa"/>
            <w:vAlign w:val="center"/>
          </w:tcPr>
          <w:p w:rsidR="00AA4BA3" w:rsidRPr="005064C7" w:rsidRDefault="00AA4BA3" w:rsidP="00FA77AC">
            <w:pPr>
              <w:pStyle w:val="JETableText"/>
              <w:rPr>
                <w:sz w:val="22"/>
              </w:rPr>
            </w:pPr>
            <w:r w:rsidRPr="005064C7">
              <w:rPr>
                <w:sz w:val="22"/>
              </w:rPr>
              <w:t>£24,988</w:t>
            </w:r>
          </w:p>
        </w:tc>
        <w:tc>
          <w:tcPr>
            <w:tcW w:w="1558" w:type="dxa"/>
            <w:vAlign w:val="center"/>
          </w:tcPr>
          <w:p w:rsidR="00AA4BA3" w:rsidRPr="005064C7" w:rsidRDefault="00AA4BA3" w:rsidP="00FA77AC">
            <w:pPr>
              <w:pStyle w:val="JETableText"/>
              <w:rPr>
                <w:sz w:val="22"/>
              </w:rPr>
            </w:pPr>
            <w:r w:rsidRPr="005064C7">
              <w:rPr>
                <w:sz w:val="22"/>
              </w:rPr>
              <w:t>15%</w:t>
            </w:r>
          </w:p>
        </w:tc>
      </w:tr>
    </w:tbl>
    <w:p w:rsidR="00980B55" w:rsidRDefault="00980B55" w:rsidP="00AA4BA3">
      <w:pPr>
        <w:rPr>
          <w:rFonts w:cs="Arial"/>
          <w:b/>
          <w:color w:val="000000"/>
          <w:szCs w:val="22"/>
        </w:rPr>
      </w:pPr>
    </w:p>
    <w:p w:rsidR="00AA4BA3" w:rsidRPr="00FA77AC" w:rsidRDefault="00AA4BA3" w:rsidP="00FA77AC">
      <w:pPr>
        <w:pStyle w:val="JEBodyText"/>
      </w:pPr>
      <w:r w:rsidRPr="00FA77AC">
        <w:t xml:space="preserve">Nichols continued to increase revenues, operating profit and earnings through acquisition and organic growth.  Nichols is in a secure position with high cash reserves and low gearing with no formal borrowings.  It has an opportunity to continue growth through the use of cash reserves or increasing gearing through borrowing.   This would enable additional acquisitions or market </w:t>
      </w:r>
      <w:r w:rsidR="004F610A">
        <w:t>expansion with a view to maximis</w:t>
      </w:r>
      <w:r w:rsidRPr="00FA77AC">
        <w:t xml:space="preserve">ing shareholder returns. </w:t>
      </w:r>
    </w:p>
    <w:p w:rsidR="00AA4BA3" w:rsidRPr="005064C7" w:rsidRDefault="000D19B9" w:rsidP="00AA4BA3">
      <w:pPr>
        <w:pStyle w:val="Heading2"/>
      </w:pPr>
      <w:bookmarkStart w:id="6" w:name="_Toc277012892"/>
      <w:r>
        <w:t>Major e</w:t>
      </w:r>
      <w:r w:rsidR="00AA4BA3" w:rsidRPr="005064C7">
        <w:t>vents</w:t>
      </w:r>
      <w:bookmarkEnd w:id="6"/>
      <w:r w:rsidR="00AA4BA3" w:rsidRPr="005064C7">
        <w:t xml:space="preserve"> </w:t>
      </w:r>
    </w:p>
    <w:p w:rsidR="00AA4BA3" w:rsidRPr="00FA77AC" w:rsidRDefault="00AA4BA3" w:rsidP="00FA77AC">
      <w:pPr>
        <w:pStyle w:val="JEBodyBullet"/>
      </w:pPr>
      <w:r w:rsidRPr="00FA77AC">
        <w:t>International sales increased 33% to £12m (Middle Eastern sales grew 40%; African 11%).</w:t>
      </w:r>
    </w:p>
    <w:p w:rsidR="00AA4BA3" w:rsidRPr="00FA77AC" w:rsidRDefault="00AA4BA3" w:rsidP="00FA77AC">
      <w:pPr>
        <w:pStyle w:val="JEBodyBullet"/>
      </w:pPr>
      <w:r w:rsidRPr="00FA77AC">
        <w:t>Marketing campaigns drove national and international growth, netting 1 million new customers.</w:t>
      </w:r>
    </w:p>
    <w:p w:rsidR="00AA4BA3" w:rsidRPr="00FA77AC" w:rsidRDefault="00AA4BA3" w:rsidP="00FA77AC">
      <w:pPr>
        <w:pStyle w:val="JEBodyBullet"/>
      </w:pPr>
      <w:r w:rsidRPr="00FA77AC">
        <w:t xml:space="preserve">Acquired </w:t>
      </w:r>
      <w:r w:rsidR="00F408DE">
        <w:t>control of</w:t>
      </w:r>
      <w:r w:rsidRPr="00FA77AC">
        <w:t xml:space="preserve"> Dayla dispense operations (2008)</w:t>
      </w:r>
      <w:r w:rsidR="00F408DE">
        <w:t xml:space="preserve"> giving access to the European premium juice dispense market.</w:t>
      </w:r>
    </w:p>
    <w:p w:rsidR="00AA4BA3" w:rsidRPr="00FA77AC" w:rsidRDefault="00AA4BA3" w:rsidP="00FA77AC">
      <w:pPr>
        <w:pStyle w:val="JEBodyBullet"/>
      </w:pPr>
      <w:r w:rsidRPr="00FA77AC">
        <w:t>£5.5m goodwill impairment (2008) due to</w:t>
      </w:r>
      <w:r w:rsidR="00F408DE">
        <w:t xml:space="preserve"> </w:t>
      </w:r>
      <w:r w:rsidRPr="00FA77AC">
        <w:t>review</w:t>
      </w:r>
      <w:r w:rsidR="00F408DE">
        <w:t xml:space="preserve"> of acquired brands.</w:t>
      </w:r>
    </w:p>
    <w:p w:rsidR="00AA4BA3" w:rsidRPr="00FA77AC" w:rsidRDefault="00AA4BA3" w:rsidP="00FA77AC">
      <w:pPr>
        <w:pStyle w:val="JEBodyBullet"/>
      </w:pPr>
      <w:r w:rsidRPr="00FA77AC">
        <w:t>Post balance sheet acquisition of Ben Shaws ‘soft drinks on draught’ business.</w:t>
      </w:r>
    </w:p>
    <w:p w:rsidR="00AA4BA3" w:rsidRPr="00103831" w:rsidRDefault="00AA4BA3" w:rsidP="00AA4BA3">
      <w:pPr>
        <w:pStyle w:val="Heading2"/>
      </w:pPr>
      <w:bookmarkStart w:id="7" w:name="_Toc277012893"/>
      <w:bookmarkStart w:id="8" w:name="OLE_LINK23"/>
      <w:r w:rsidRPr="005064C7">
        <w:t>Strengths</w:t>
      </w:r>
      <w:bookmarkEnd w:id="7"/>
    </w:p>
    <w:p w:rsidR="00AA4BA3" w:rsidRPr="005064C7" w:rsidRDefault="00AA4BA3" w:rsidP="00FA77AC">
      <w:pPr>
        <w:pStyle w:val="JEBodyBullet"/>
      </w:pPr>
      <w:bookmarkStart w:id="9" w:name="OLE_LINK3"/>
      <w:bookmarkEnd w:id="8"/>
      <w:r w:rsidRPr="005064C7">
        <w:t>Out-performed the UK soft drinks market.</w:t>
      </w:r>
    </w:p>
    <w:p w:rsidR="00AA4BA3" w:rsidRPr="005064C7" w:rsidRDefault="00AA4BA3" w:rsidP="00FA77AC">
      <w:pPr>
        <w:pStyle w:val="JEBodyBullet"/>
      </w:pPr>
      <w:r w:rsidRPr="005064C7">
        <w:t xml:space="preserve">Strong </w:t>
      </w:r>
      <w:r w:rsidR="00F408DE">
        <w:t xml:space="preserve">core </w:t>
      </w:r>
      <w:r w:rsidRPr="005064C7">
        <w:t>international brand.</w:t>
      </w:r>
    </w:p>
    <w:p w:rsidR="00AA4BA3" w:rsidRPr="005064C7" w:rsidRDefault="00AA4BA3" w:rsidP="00FA77AC">
      <w:pPr>
        <w:pStyle w:val="JEBodyBullet"/>
      </w:pPr>
      <w:r w:rsidRPr="005064C7">
        <w:t>Strong cash balance could fund future expansion or acquisitions, accelerating growth.</w:t>
      </w:r>
    </w:p>
    <w:p w:rsidR="00AA4BA3" w:rsidRPr="005064C7" w:rsidRDefault="00AA4BA3" w:rsidP="00FA77AC">
      <w:pPr>
        <w:pStyle w:val="JEBodyBullet"/>
      </w:pPr>
      <w:r w:rsidRPr="005064C7">
        <w:t>Diversified into growing energy drinks market through acquisition.</w:t>
      </w:r>
    </w:p>
    <w:p w:rsidR="00AA4BA3" w:rsidRPr="005064C7" w:rsidRDefault="00AA4BA3" w:rsidP="00FA77AC">
      <w:pPr>
        <w:pStyle w:val="JEBodyBullet"/>
      </w:pPr>
      <w:r w:rsidRPr="005064C7">
        <w:t xml:space="preserve">Acquisitions consolidated Nichols’ position as number three in </w:t>
      </w:r>
      <w:r w:rsidR="00866DCA">
        <w:t xml:space="preserve">the </w:t>
      </w:r>
      <w:r w:rsidRPr="005064C7">
        <w:t>dispense market.</w:t>
      </w:r>
    </w:p>
    <w:p w:rsidR="00AA4BA3" w:rsidRPr="005064C7" w:rsidRDefault="00AA4BA3" w:rsidP="00AA4BA3">
      <w:pPr>
        <w:pStyle w:val="Heading2"/>
      </w:pPr>
      <w:bookmarkStart w:id="10" w:name="_Toc277012894"/>
      <w:bookmarkEnd w:id="9"/>
      <w:r w:rsidRPr="005064C7">
        <w:t>Weaknesses</w:t>
      </w:r>
      <w:bookmarkEnd w:id="10"/>
    </w:p>
    <w:p w:rsidR="00AA4BA3" w:rsidRPr="005064C7" w:rsidRDefault="000F481E" w:rsidP="00FA77AC">
      <w:pPr>
        <w:pStyle w:val="JEBodyBullet"/>
      </w:pPr>
      <w:r>
        <w:t>G</w:t>
      </w:r>
      <w:r w:rsidR="00AA4BA3" w:rsidRPr="005064C7">
        <w:t>earing could be considered too conservative and does not maximise shareholder returns for an outperforming business.</w:t>
      </w:r>
      <w:r>
        <w:t xml:space="preserve">  For example, borrowing could be used to fund expansion in emerging markets, </w:t>
      </w:r>
      <w:r w:rsidR="00827B13">
        <w:t>building upon</w:t>
      </w:r>
      <w:r>
        <w:t xml:space="preserve"> their international growth pattern.</w:t>
      </w:r>
    </w:p>
    <w:p w:rsidR="00AA4BA3" w:rsidRPr="005064C7" w:rsidRDefault="00AA4BA3" w:rsidP="00FA77AC">
      <w:pPr>
        <w:pStyle w:val="JEBodyBullet"/>
      </w:pPr>
      <w:r w:rsidRPr="005064C7">
        <w:t>Limited portfolio; high risk exposure to small number of core brands.</w:t>
      </w:r>
    </w:p>
    <w:p w:rsidR="00AA4BA3" w:rsidRPr="005064C7" w:rsidRDefault="00AA4BA3" w:rsidP="00FA77AC">
      <w:pPr>
        <w:pStyle w:val="JEBodyBullet"/>
      </w:pPr>
      <w:r w:rsidRPr="005064C7">
        <w:t>High dependency on UK market</w:t>
      </w:r>
      <w:r w:rsidR="00284CA0">
        <w:t xml:space="preserve"> and</w:t>
      </w:r>
      <w:r w:rsidRPr="005064C7">
        <w:t xml:space="preserve"> third party suppliers</w:t>
      </w:r>
      <w:r w:rsidR="00284CA0">
        <w:t>.</w:t>
      </w:r>
    </w:p>
    <w:p w:rsidR="00AA4BA3" w:rsidRPr="005064C7" w:rsidRDefault="00AA4BA3" w:rsidP="00FA77AC">
      <w:pPr>
        <w:pStyle w:val="JEBodyBullet"/>
      </w:pPr>
      <w:r w:rsidRPr="005064C7">
        <w:t>Dispense operation dependent on pub growth which continues to contract</w:t>
      </w:r>
      <w:r w:rsidR="00284CA0">
        <w:t xml:space="preserve"> </w:t>
      </w:r>
      <w:r w:rsidR="00827B13">
        <w:t>with</w:t>
      </w:r>
      <w:r w:rsidR="00284CA0">
        <w:t>in the UK.</w:t>
      </w:r>
    </w:p>
    <w:p w:rsidR="00AA4BA3" w:rsidRDefault="00597EFE" w:rsidP="00FA77AC">
      <w:pPr>
        <w:pStyle w:val="JEBodyBullet"/>
      </w:pPr>
      <w:r>
        <w:lastRenderedPageBreak/>
        <w:t>Deficit in return on pension scheme assets</w:t>
      </w:r>
      <w:r w:rsidR="008E48EC">
        <w:t>.</w:t>
      </w:r>
    </w:p>
    <w:p w:rsidR="00597EFE" w:rsidRDefault="00597EFE" w:rsidP="00FA77AC">
      <w:pPr>
        <w:pStyle w:val="JEBodyBullet"/>
      </w:pPr>
      <w:r>
        <w:t>Low investment in non-current assets despite high depreciation charges.</w:t>
      </w:r>
    </w:p>
    <w:p w:rsidR="00791286" w:rsidRPr="005064C7" w:rsidRDefault="00791286" w:rsidP="00791286">
      <w:pPr>
        <w:pStyle w:val="JEBodyBullet"/>
        <w:numPr>
          <w:ilvl w:val="0"/>
          <w:numId w:val="0"/>
        </w:numPr>
        <w:ind w:left="720"/>
      </w:pPr>
    </w:p>
    <w:p w:rsidR="00E45BB8" w:rsidRDefault="00E45BB8" w:rsidP="00E45BB8">
      <w:pPr>
        <w:pStyle w:val="Heading1"/>
      </w:pPr>
      <w:bookmarkStart w:id="11" w:name="_Toc277012895"/>
      <w:r>
        <w:t>Financial Analysis</w:t>
      </w:r>
      <w:bookmarkEnd w:id="11"/>
    </w:p>
    <w:p w:rsidR="00E45BB8" w:rsidRPr="00E45BB8" w:rsidRDefault="00E45BB8" w:rsidP="00E45BB8">
      <w:pPr>
        <w:pStyle w:val="Heading2"/>
      </w:pPr>
      <w:bookmarkStart w:id="12" w:name="_Toc277012896"/>
      <w:r>
        <w:t>Profitability</w:t>
      </w:r>
      <w:bookmarkEnd w:id="12"/>
    </w:p>
    <w:tbl>
      <w:tblPr>
        <w:tblW w:w="6946" w:type="dxa"/>
        <w:tblInd w:w="108" w:type="dxa"/>
        <w:tblBorders>
          <w:bottom w:val="single" w:sz="4" w:space="0" w:color="C0C0C0"/>
          <w:insideH w:val="single" w:sz="4" w:space="0" w:color="C0C0C0"/>
        </w:tblBorders>
        <w:tblLayout w:type="fixed"/>
        <w:tblLook w:val="04A0"/>
      </w:tblPr>
      <w:tblGrid>
        <w:gridCol w:w="2552"/>
        <w:gridCol w:w="1559"/>
        <w:gridCol w:w="1418"/>
        <w:gridCol w:w="1417"/>
      </w:tblGrid>
      <w:tr w:rsidR="00E45BB8" w:rsidRPr="004935E4">
        <w:trPr>
          <w:trHeight w:val="70"/>
        </w:trPr>
        <w:tc>
          <w:tcPr>
            <w:tcW w:w="2552" w:type="dxa"/>
            <w:vAlign w:val="center"/>
          </w:tcPr>
          <w:p w:rsidR="00E45BB8" w:rsidRPr="00AA4BA3" w:rsidRDefault="00E45BB8" w:rsidP="008E48EC">
            <w:pPr>
              <w:pStyle w:val="JETableHeader"/>
            </w:pPr>
          </w:p>
        </w:tc>
        <w:tc>
          <w:tcPr>
            <w:tcW w:w="1559" w:type="dxa"/>
            <w:vAlign w:val="center"/>
          </w:tcPr>
          <w:p w:rsidR="00E45BB8" w:rsidRPr="00AA4BA3" w:rsidRDefault="00E45BB8" w:rsidP="00E45BB8">
            <w:pPr>
              <w:pStyle w:val="JETableHeader"/>
              <w:jc w:val="right"/>
            </w:pPr>
            <w:r w:rsidRPr="00AA4BA3">
              <w:t>2009</w:t>
            </w:r>
          </w:p>
        </w:tc>
        <w:tc>
          <w:tcPr>
            <w:tcW w:w="1418" w:type="dxa"/>
            <w:vAlign w:val="center"/>
          </w:tcPr>
          <w:p w:rsidR="00E45BB8" w:rsidRPr="00AA4BA3" w:rsidRDefault="00E45BB8" w:rsidP="00E45BB8">
            <w:pPr>
              <w:pStyle w:val="JETableHeader"/>
              <w:jc w:val="right"/>
            </w:pPr>
            <w:r w:rsidRPr="00AA4BA3">
              <w:t>2008</w:t>
            </w:r>
          </w:p>
        </w:tc>
        <w:tc>
          <w:tcPr>
            <w:tcW w:w="1417" w:type="dxa"/>
            <w:vAlign w:val="center"/>
          </w:tcPr>
          <w:p w:rsidR="00E45BB8" w:rsidRPr="00AA4BA3" w:rsidRDefault="00E45BB8" w:rsidP="00E45BB8">
            <w:pPr>
              <w:pStyle w:val="JETableHeader"/>
              <w:jc w:val="right"/>
            </w:pPr>
            <w:r w:rsidRPr="00AA4BA3">
              <w:t>Movement</w:t>
            </w:r>
          </w:p>
        </w:tc>
      </w:tr>
      <w:tr w:rsidR="0068269B" w:rsidRPr="00E45BB8">
        <w:trPr>
          <w:trHeight w:val="259"/>
        </w:trPr>
        <w:tc>
          <w:tcPr>
            <w:tcW w:w="2552" w:type="dxa"/>
          </w:tcPr>
          <w:p w:rsidR="00E45BB8" w:rsidRPr="00E45BB8" w:rsidRDefault="00E45BB8" w:rsidP="00E45BB8">
            <w:pPr>
              <w:pStyle w:val="JETableText"/>
              <w:rPr>
                <w:sz w:val="22"/>
              </w:rPr>
            </w:pPr>
            <w:r w:rsidRPr="00E45BB8">
              <w:rPr>
                <w:sz w:val="22"/>
              </w:rPr>
              <w:t>ROCE</w:t>
            </w:r>
          </w:p>
        </w:tc>
        <w:tc>
          <w:tcPr>
            <w:tcW w:w="1559" w:type="dxa"/>
          </w:tcPr>
          <w:p w:rsidR="00E45BB8" w:rsidRPr="00E45BB8" w:rsidRDefault="00E45BB8" w:rsidP="00E45BB8">
            <w:pPr>
              <w:pStyle w:val="JETableText"/>
              <w:jc w:val="right"/>
              <w:rPr>
                <w:sz w:val="22"/>
              </w:rPr>
            </w:pPr>
            <w:r w:rsidRPr="00E45BB8">
              <w:rPr>
                <w:sz w:val="22"/>
              </w:rPr>
              <w:t>43%</w:t>
            </w:r>
          </w:p>
        </w:tc>
        <w:tc>
          <w:tcPr>
            <w:tcW w:w="1418" w:type="dxa"/>
          </w:tcPr>
          <w:p w:rsidR="00E45BB8" w:rsidRPr="00E45BB8" w:rsidRDefault="00E45BB8" w:rsidP="00E45BB8">
            <w:pPr>
              <w:pStyle w:val="JETableText"/>
              <w:jc w:val="right"/>
              <w:rPr>
                <w:sz w:val="22"/>
              </w:rPr>
            </w:pPr>
            <w:r w:rsidRPr="00E45BB8">
              <w:rPr>
                <w:sz w:val="22"/>
              </w:rPr>
              <w:t>39%</w:t>
            </w:r>
          </w:p>
        </w:tc>
        <w:tc>
          <w:tcPr>
            <w:tcW w:w="1417" w:type="dxa"/>
          </w:tcPr>
          <w:p w:rsidR="00E45BB8" w:rsidRPr="00E45BB8" w:rsidRDefault="00E45BB8" w:rsidP="00E45BB8">
            <w:pPr>
              <w:pStyle w:val="JETableText"/>
              <w:jc w:val="right"/>
              <w:rPr>
                <w:sz w:val="22"/>
              </w:rPr>
            </w:pPr>
            <w:r w:rsidRPr="00E45BB8">
              <w:rPr>
                <w:sz w:val="22"/>
              </w:rPr>
              <w:t>9%</w:t>
            </w:r>
          </w:p>
        </w:tc>
      </w:tr>
      <w:tr w:rsidR="0068269B" w:rsidRPr="00E45BB8">
        <w:trPr>
          <w:trHeight w:val="259"/>
        </w:trPr>
        <w:tc>
          <w:tcPr>
            <w:tcW w:w="2552" w:type="dxa"/>
          </w:tcPr>
          <w:p w:rsidR="00E45BB8" w:rsidRPr="00E45BB8" w:rsidRDefault="00E45BB8" w:rsidP="00E45BB8">
            <w:pPr>
              <w:pStyle w:val="JETableText"/>
              <w:rPr>
                <w:sz w:val="22"/>
              </w:rPr>
            </w:pPr>
            <w:r w:rsidRPr="00E45BB8">
              <w:rPr>
                <w:sz w:val="22"/>
              </w:rPr>
              <w:t>Asset turnover</w:t>
            </w:r>
          </w:p>
        </w:tc>
        <w:tc>
          <w:tcPr>
            <w:tcW w:w="1559" w:type="dxa"/>
          </w:tcPr>
          <w:p w:rsidR="00E45BB8" w:rsidRPr="00E45BB8" w:rsidRDefault="00E45BB8" w:rsidP="00E45BB8">
            <w:pPr>
              <w:pStyle w:val="JETableText"/>
              <w:jc w:val="right"/>
              <w:rPr>
                <w:sz w:val="22"/>
              </w:rPr>
            </w:pPr>
            <w:r w:rsidRPr="00E45BB8">
              <w:rPr>
                <w:sz w:val="22"/>
              </w:rPr>
              <w:t>2.47 times</w:t>
            </w:r>
          </w:p>
        </w:tc>
        <w:tc>
          <w:tcPr>
            <w:tcW w:w="1418" w:type="dxa"/>
          </w:tcPr>
          <w:p w:rsidR="00E45BB8" w:rsidRPr="00E45BB8" w:rsidRDefault="00E45BB8" w:rsidP="00E45BB8">
            <w:pPr>
              <w:pStyle w:val="JETableText"/>
              <w:jc w:val="right"/>
              <w:rPr>
                <w:sz w:val="22"/>
              </w:rPr>
            </w:pPr>
            <w:r w:rsidRPr="00E45BB8">
              <w:rPr>
                <w:sz w:val="22"/>
              </w:rPr>
              <w:t>2.25 times</w:t>
            </w:r>
          </w:p>
        </w:tc>
        <w:tc>
          <w:tcPr>
            <w:tcW w:w="1417" w:type="dxa"/>
          </w:tcPr>
          <w:p w:rsidR="00E45BB8" w:rsidRPr="00E45BB8" w:rsidRDefault="00E45BB8" w:rsidP="00E45BB8">
            <w:pPr>
              <w:pStyle w:val="JETableText"/>
              <w:jc w:val="right"/>
              <w:rPr>
                <w:sz w:val="22"/>
              </w:rPr>
            </w:pPr>
            <w:r w:rsidRPr="00E45BB8">
              <w:rPr>
                <w:sz w:val="22"/>
              </w:rPr>
              <w:t>10%</w:t>
            </w:r>
          </w:p>
        </w:tc>
      </w:tr>
      <w:tr w:rsidR="0068269B" w:rsidRPr="00E45BB8">
        <w:trPr>
          <w:trHeight w:val="259"/>
        </w:trPr>
        <w:tc>
          <w:tcPr>
            <w:tcW w:w="2552" w:type="dxa"/>
          </w:tcPr>
          <w:p w:rsidR="00E45BB8" w:rsidRPr="00E45BB8" w:rsidRDefault="00E45BB8" w:rsidP="00E45BB8">
            <w:pPr>
              <w:pStyle w:val="JETableText"/>
              <w:rPr>
                <w:sz w:val="22"/>
              </w:rPr>
            </w:pPr>
            <w:r w:rsidRPr="00E45BB8">
              <w:rPr>
                <w:sz w:val="22"/>
              </w:rPr>
              <w:t>Operating profit margin</w:t>
            </w:r>
          </w:p>
        </w:tc>
        <w:tc>
          <w:tcPr>
            <w:tcW w:w="1559" w:type="dxa"/>
          </w:tcPr>
          <w:p w:rsidR="00E45BB8" w:rsidRPr="00E45BB8" w:rsidRDefault="00E45BB8" w:rsidP="00E45BB8">
            <w:pPr>
              <w:pStyle w:val="JETableText"/>
              <w:jc w:val="right"/>
              <w:rPr>
                <w:sz w:val="22"/>
              </w:rPr>
            </w:pPr>
            <w:r w:rsidRPr="00E45BB8">
              <w:rPr>
                <w:sz w:val="22"/>
              </w:rPr>
              <w:t>17.3%</w:t>
            </w:r>
          </w:p>
        </w:tc>
        <w:tc>
          <w:tcPr>
            <w:tcW w:w="1418" w:type="dxa"/>
          </w:tcPr>
          <w:p w:rsidR="00E45BB8" w:rsidRPr="00E45BB8" w:rsidRDefault="00E45BB8" w:rsidP="00E45BB8">
            <w:pPr>
              <w:pStyle w:val="JETableText"/>
              <w:jc w:val="right"/>
              <w:rPr>
                <w:sz w:val="22"/>
              </w:rPr>
            </w:pPr>
            <w:r w:rsidRPr="00E45BB8">
              <w:rPr>
                <w:sz w:val="22"/>
              </w:rPr>
              <w:t>17.4%</w:t>
            </w:r>
          </w:p>
        </w:tc>
        <w:tc>
          <w:tcPr>
            <w:tcW w:w="1417" w:type="dxa"/>
          </w:tcPr>
          <w:p w:rsidR="00E45BB8" w:rsidRPr="00E45BB8" w:rsidRDefault="00E45BB8" w:rsidP="00E45BB8">
            <w:pPr>
              <w:pStyle w:val="JETableText"/>
              <w:jc w:val="right"/>
              <w:rPr>
                <w:sz w:val="22"/>
              </w:rPr>
            </w:pPr>
            <w:r w:rsidRPr="00E45BB8">
              <w:rPr>
                <w:sz w:val="22"/>
              </w:rPr>
              <w:t>-1%</w:t>
            </w:r>
          </w:p>
        </w:tc>
      </w:tr>
      <w:tr w:rsidR="0068269B" w:rsidRPr="00E45BB8">
        <w:trPr>
          <w:trHeight w:val="259"/>
        </w:trPr>
        <w:tc>
          <w:tcPr>
            <w:tcW w:w="2552" w:type="dxa"/>
          </w:tcPr>
          <w:p w:rsidR="00E45BB8" w:rsidRPr="00E45BB8" w:rsidRDefault="00E45BB8" w:rsidP="00E45BB8">
            <w:pPr>
              <w:pStyle w:val="JETableText"/>
              <w:rPr>
                <w:sz w:val="22"/>
              </w:rPr>
            </w:pPr>
            <w:r w:rsidRPr="00E45BB8">
              <w:rPr>
                <w:sz w:val="22"/>
              </w:rPr>
              <w:t>Gross profit margin</w:t>
            </w:r>
          </w:p>
        </w:tc>
        <w:tc>
          <w:tcPr>
            <w:tcW w:w="1559" w:type="dxa"/>
          </w:tcPr>
          <w:p w:rsidR="00E45BB8" w:rsidRPr="00E45BB8" w:rsidRDefault="00E45BB8" w:rsidP="00E45BB8">
            <w:pPr>
              <w:pStyle w:val="JETableText"/>
              <w:jc w:val="right"/>
              <w:rPr>
                <w:sz w:val="22"/>
              </w:rPr>
            </w:pPr>
            <w:r w:rsidRPr="00E45BB8">
              <w:rPr>
                <w:sz w:val="22"/>
              </w:rPr>
              <w:t>50%</w:t>
            </w:r>
          </w:p>
        </w:tc>
        <w:tc>
          <w:tcPr>
            <w:tcW w:w="1418" w:type="dxa"/>
          </w:tcPr>
          <w:p w:rsidR="00E45BB8" w:rsidRPr="00E45BB8" w:rsidRDefault="00E45BB8" w:rsidP="00E45BB8">
            <w:pPr>
              <w:pStyle w:val="JETableText"/>
              <w:jc w:val="right"/>
              <w:rPr>
                <w:sz w:val="22"/>
              </w:rPr>
            </w:pPr>
            <w:r w:rsidRPr="00E45BB8">
              <w:rPr>
                <w:sz w:val="22"/>
              </w:rPr>
              <w:t>51%</w:t>
            </w:r>
          </w:p>
        </w:tc>
        <w:tc>
          <w:tcPr>
            <w:tcW w:w="1417" w:type="dxa"/>
          </w:tcPr>
          <w:p w:rsidR="00E45BB8" w:rsidRPr="00E45BB8" w:rsidRDefault="00E45BB8" w:rsidP="00E45BB8">
            <w:pPr>
              <w:pStyle w:val="JETableText"/>
              <w:jc w:val="right"/>
              <w:rPr>
                <w:sz w:val="22"/>
              </w:rPr>
            </w:pPr>
            <w:r w:rsidRPr="00E45BB8">
              <w:rPr>
                <w:sz w:val="22"/>
              </w:rPr>
              <w:t>-2%</w:t>
            </w:r>
          </w:p>
        </w:tc>
      </w:tr>
    </w:tbl>
    <w:p w:rsidR="00E45BB8" w:rsidRDefault="00E45BB8" w:rsidP="00AA4BA3">
      <w:pPr>
        <w:rPr>
          <w:rFonts w:cs="Arial"/>
          <w:b/>
          <w:color w:val="000000"/>
          <w:szCs w:val="22"/>
        </w:rPr>
      </w:pPr>
    </w:p>
    <w:p w:rsidR="00E45BB8" w:rsidRPr="00E45BB8" w:rsidRDefault="00E45BB8" w:rsidP="00E45BB8">
      <w:pPr>
        <w:pStyle w:val="JEBodyText"/>
      </w:pPr>
      <w:r w:rsidRPr="00E45BB8">
        <w:rPr>
          <w:b/>
        </w:rPr>
        <w:t>ROCE</w:t>
      </w:r>
      <w:r w:rsidRPr="00E45BB8">
        <w:t xml:space="preserve"> increased 9% due to a rise in asset turnover which increased due to:</w:t>
      </w:r>
    </w:p>
    <w:p w:rsidR="00E45BB8" w:rsidRPr="00E45BB8" w:rsidRDefault="00E45BB8" w:rsidP="00E45BB8">
      <w:pPr>
        <w:pStyle w:val="JEBodyBullet"/>
      </w:pPr>
      <w:r w:rsidRPr="00E45BB8">
        <w:t xml:space="preserve">Growing revenues (partly from acquisitions). </w:t>
      </w:r>
    </w:p>
    <w:p w:rsidR="00E45BB8" w:rsidRPr="00E45BB8" w:rsidRDefault="00E45BB8" w:rsidP="00E45BB8">
      <w:pPr>
        <w:pStyle w:val="JEBodyBullet"/>
      </w:pPr>
      <w:r w:rsidRPr="00E45BB8">
        <w:t>Efficiency gains in working capital (reduction of inventories, and an increase in the use of supplier credit facilities).</w:t>
      </w:r>
    </w:p>
    <w:p w:rsidR="00E45BB8" w:rsidRPr="00E45BB8" w:rsidRDefault="00E45BB8" w:rsidP="00E45BB8">
      <w:pPr>
        <w:pStyle w:val="JEBodyBullet"/>
      </w:pPr>
      <w:r w:rsidRPr="00E45BB8">
        <w:t>A decrease in the value of property, plant and equipment.</w:t>
      </w:r>
    </w:p>
    <w:p w:rsidR="00F408DE" w:rsidRDefault="00F408DE" w:rsidP="00E45BB8">
      <w:pPr>
        <w:pStyle w:val="JEBodyText"/>
        <w:rPr>
          <w:b/>
        </w:rPr>
      </w:pPr>
    </w:p>
    <w:p w:rsidR="00E45BB8" w:rsidRPr="00E45BB8" w:rsidRDefault="00E45BB8" w:rsidP="00E45BB8">
      <w:pPr>
        <w:pStyle w:val="JEBodyText"/>
      </w:pPr>
      <w:r w:rsidRPr="00E45BB8">
        <w:rPr>
          <w:b/>
        </w:rPr>
        <w:t xml:space="preserve">Operating </w:t>
      </w:r>
      <w:r w:rsidRPr="00E45BB8">
        <w:t>and</w:t>
      </w:r>
      <w:r w:rsidRPr="00E45BB8">
        <w:rPr>
          <w:b/>
        </w:rPr>
        <w:t xml:space="preserve"> gross profit margins</w:t>
      </w:r>
      <w:r w:rsidRPr="00E45BB8">
        <w:t xml:space="preserve"> </w:t>
      </w:r>
      <w:r w:rsidR="00FC2F77">
        <w:t xml:space="preserve">have been maintained.  Although with significant increase in revenues and acquisitions </w:t>
      </w:r>
      <w:r w:rsidR="00827B13">
        <w:t>there may be further opportunity to</w:t>
      </w:r>
      <w:r w:rsidR="00FC2F77">
        <w:t>improve</w:t>
      </w:r>
      <w:r w:rsidR="00827B13">
        <w:t xml:space="preserve"> margins</w:t>
      </w:r>
      <w:r w:rsidR="00FC2F77">
        <w:t xml:space="preserve">through </w:t>
      </w:r>
      <w:r w:rsidR="00827B13">
        <w:t xml:space="preserve">further operational efficiencies such as </w:t>
      </w:r>
      <w:r w:rsidR="00FC2F77">
        <w:t xml:space="preserve">Nichols’ increased </w:t>
      </w:r>
      <w:r w:rsidR="005E620B">
        <w:t>buying powe</w:t>
      </w:r>
      <w:r w:rsidR="00827B13">
        <w:t>r.</w:t>
      </w:r>
    </w:p>
    <w:p w:rsidR="00E45BB8" w:rsidRDefault="00E45BB8" w:rsidP="00E45BB8">
      <w:pPr>
        <w:pStyle w:val="Heading2"/>
      </w:pPr>
      <w:bookmarkStart w:id="13" w:name="_Toc277012897"/>
      <w:bookmarkStart w:id="14" w:name="_Toc277012898"/>
      <w:bookmarkEnd w:id="13"/>
      <w:r>
        <w:t>Efficiency</w:t>
      </w:r>
      <w:bookmarkEnd w:id="14"/>
    </w:p>
    <w:tbl>
      <w:tblPr>
        <w:tblW w:w="7938" w:type="dxa"/>
        <w:tblInd w:w="108" w:type="dxa"/>
        <w:tblBorders>
          <w:bottom w:val="single" w:sz="4" w:space="0" w:color="C0C0C0"/>
          <w:insideH w:val="single" w:sz="4" w:space="0" w:color="C0C0C0"/>
        </w:tblBorders>
        <w:tblLayout w:type="fixed"/>
        <w:tblLook w:val="04A0"/>
      </w:tblPr>
      <w:tblGrid>
        <w:gridCol w:w="3402"/>
        <w:gridCol w:w="1418"/>
        <w:gridCol w:w="1417"/>
        <w:gridCol w:w="1701"/>
      </w:tblGrid>
      <w:tr w:rsidR="00E45BB8" w:rsidRPr="00AA4BA3">
        <w:trPr>
          <w:trHeight w:val="70"/>
        </w:trPr>
        <w:tc>
          <w:tcPr>
            <w:tcW w:w="3402" w:type="dxa"/>
            <w:vAlign w:val="center"/>
          </w:tcPr>
          <w:p w:rsidR="00E45BB8" w:rsidRPr="00AA4BA3" w:rsidRDefault="00E45BB8" w:rsidP="008E48EC">
            <w:pPr>
              <w:pStyle w:val="JETableHeader"/>
            </w:pPr>
          </w:p>
        </w:tc>
        <w:tc>
          <w:tcPr>
            <w:tcW w:w="1418" w:type="dxa"/>
            <w:vAlign w:val="center"/>
          </w:tcPr>
          <w:p w:rsidR="00E45BB8" w:rsidRPr="00AA4BA3" w:rsidRDefault="00E45BB8" w:rsidP="00E45BB8">
            <w:pPr>
              <w:pStyle w:val="JETableHeader"/>
              <w:jc w:val="right"/>
            </w:pPr>
            <w:r w:rsidRPr="00AA4BA3">
              <w:t>2009</w:t>
            </w:r>
          </w:p>
        </w:tc>
        <w:tc>
          <w:tcPr>
            <w:tcW w:w="1417" w:type="dxa"/>
            <w:vAlign w:val="center"/>
          </w:tcPr>
          <w:p w:rsidR="00E45BB8" w:rsidRPr="00AA4BA3" w:rsidRDefault="00E45BB8" w:rsidP="00E45BB8">
            <w:pPr>
              <w:pStyle w:val="JETableHeader"/>
              <w:jc w:val="right"/>
            </w:pPr>
            <w:r w:rsidRPr="00AA4BA3">
              <w:t>2008</w:t>
            </w:r>
          </w:p>
        </w:tc>
        <w:tc>
          <w:tcPr>
            <w:tcW w:w="1701" w:type="dxa"/>
            <w:vAlign w:val="center"/>
          </w:tcPr>
          <w:p w:rsidR="00E45BB8" w:rsidRPr="00AA4BA3" w:rsidRDefault="00E45BB8" w:rsidP="00E45BB8">
            <w:pPr>
              <w:pStyle w:val="JETableHeader"/>
              <w:jc w:val="right"/>
            </w:pPr>
            <w:r w:rsidRPr="00AA4BA3">
              <w:t>Movement</w:t>
            </w:r>
          </w:p>
        </w:tc>
      </w:tr>
      <w:tr w:rsidR="00E45BB8" w:rsidRPr="00E45BB8">
        <w:trPr>
          <w:trHeight w:val="259"/>
        </w:trPr>
        <w:tc>
          <w:tcPr>
            <w:tcW w:w="3402" w:type="dxa"/>
          </w:tcPr>
          <w:p w:rsidR="00E45BB8" w:rsidRPr="00E45BB8" w:rsidRDefault="00E45BB8" w:rsidP="00E45BB8">
            <w:pPr>
              <w:pStyle w:val="JETableText"/>
              <w:rPr>
                <w:sz w:val="22"/>
              </w:rPr>
            </w:pPr>
            <w:r w:rsidRPr="00E45BB8">
              <w:rPr>
                <w:sz w:val="22"/>
              </w:rPr>
              <w:t>Inventory turnover period</w:t>
            </w:r>
          </w:p>
        </w:tc>
        <w:tc>
          <w:tcPr>
            <w:tcW w:w="1418" w:type="dxa"/>
          </w:tcPr>
          <w:p w:rsidR="00E45BB8" w:rsidRPr="00E45BB8" w:rsidRDefault="00E45BB8" w:rsidP="00E45BB8">
            <w:pPr>
              <w:pStyle w:val="JETableText"/>
              <w:jc w:val="right"/>
              <w:rPr>
                <w:sz w:val="22"/>
              </w:rPr>
            </w:pPr>
            <w:r w:rsidRPr="00E45BB8">
              <w:rPr>
                <w:sz w:val="22"/>
              </w:rPr>
              <w:t>27 days</w:t>
            </w:r>
          </w:p>
        </w:tc>
        <w:tc>
          <w:tcPr>
            <w:tcW w:w="1417" w:type="dxa"/>
          </w:tcPr>
          <w:p w:rsidR="00E45BB8" w:rsidRPr="00E45BB8" w:rsidRDefault="00E45BB8" w:rsidP="00E45BB8">
            <w:pPr>
              <w:pStyle w:val="JETableText"/>
              <w:jc w:val="right"/>
              <w:rPr>
                <w:sz w:val="22"/>
              </w:rPr>
            </w:pPr>
            <w:r w:rsidRPr="00E45BB8">
              <w:rPr>
                <w:sz w:val="22"/>
              </w:rPr>
              <w:t>37 days</w:t>
            </w:r>
          </w:p>
        </w:tc>
        <w:tc>
          <w:tcPr>
            <w:tcW w:w="1701" w:type="dxa"/>
          </w:tcPr>
          <w:p w:rsidR="00E45BB8" w:rsidRPr="00E45BB8" w:rsidRDefault="00E45BB8" w:rsidP="00E45BB8">
            <w:pPr>
              <w:pStyle w:val="JETableText"/>
              <w:jc w:val="right"/>
              <w:rPr>
                <w:sz w:val="22"/>
              </w:rPr>
            </w:pPr>
            <w:r w:rsidRPr="00E45BB8">
              <w:rPr>
                <w:sz w:val="22"/>
              </w:rPr>
              <w:t>-26%</w:t>
            </w:r>
          </w:p>
        </w:tc>
      </w:tr>
      <w:tr w:rsidR="00E45BB8" w:rsidRPr="00E45BB8">
        <w:trPr>
          <w:trHeight w:val="259"/>
        </w:trPr>
        <w:tc>
          <w:tcPr>
            <w:tcW w:w="3402" w:type="dxa"/>
          </w:tcPr>
          <w:p w:rsidR="00E45BB8" w:rsidRPr="00E45BB8" w:rsidRDefault="00E45BB8" w:rsidP="00E45BB8">
            <w:pPr>
              <w:pStyle w:val="JETableText"/>
              <w:rPr>
                <w:sz w:val="22"/>
              </w:rPr>
            </w:pPr>
            <w:r w:rsidRPr="00E45BB8">
              <w:rPr>
                <w:sz w:val="22"/>
              </w:rPr>
              <w:t>Receivables collection period</w:t>
            </w:r>
          </w:p>
        </w:tc>
        <w:tc>
          <w:tcPr>
            <w:tcW w:w="1418" w:type="dxa"/>
          </w:tcPr>
          <w:p w:rsidR="00E45BB8" w:rsidRPr="00E45BB8" w:rsidRDefault="00E45BB8" w:rsidP="00E45BB8">
            <w:pPr>
              <w:pStyle w:val="JETableText"/>
              <w:jc w:val="right"/>
              <w:rPr>
                <w:sz w:val="22"/>
              </w:rPr>
            </w:pPr>
            <w:r w:rsidRPr="00E45BB8">
              <w:rPr>
                <w:sz w:val="22"/>
              </w:rPr>
              <w:t>68 days</w:t>
            </w:r>
          </w:p>
        </w:tc>
        <w:tc>
          <w:tcPr>
            <w:tcW w:w="1417" w:type="dxa"/>
          </w:tcPr>
          <w:p w:rsidR="00E45BB8" w:rsidRPr="00E45BB8" w:rsidRDefault="00E45BB8" w:rsidP="00E45BB8">
            <w:pPr>
              <w:pStyle w:val="JETableText"/>
              <w:jc w:val="right"/>
              <w:rPr>
                <w:sz w:val="22"/>
              </w:rPr>
            </w:pPr>
            <w:r w:rsidRPr="00E45BB8">
              <w:rPr>
                <w:sz w:val="22"/>
              </w:rPr>
              <w:t>79 days</w:t>
            </w:r>
          </w:p>
        </w:tc>
        <w:tc>
          <w:tcPr>
            <w:tcW w:w="1701" w:type="dxa"/>
          </w:tcPr>
          <w:p w:rsidR="00E45BB8" w:rsidRPr="00E45BB8" w:rsidRDefault="00E45BB8" w:rsidP="00E45BB8">
            <w:pPr>
              <w:pStyle w:val="JETableText"/>
              <w:jc w:val="right"/>
              <w:rPr>
                <w:sz w:val="22"/>
              </w:rPr>
            </w:pPr>
            <w:r w:rsidRPr="00E45BB8">
              <w:rPr>
                <w:sz w:val="22"/>
              </w:rPr>
              <w:t>-14%</w:t>
            </w:r>
          </w:p>
        </w:tc>
      </w:tr>
      <w:tr w:rsidR="00E45BB8" w:rsidRPr="00E45BB8">
        <w:trPr>
          <w:trHeight w:val="259"/>
        </w:trPr>
        <w:tc>
          <w:tcPr>
            <w:tcW w:w="3402" w:type="dxa"/>
          </w:tcPr>
          <w:p w:rsidR="00E45BB8" w:rsidRPr="00E45BB8" w:rsidRDefault="00E45BB8" w:rsidP="00E45BB8">
            <w:pPr>
              <w:pStyle w:val="JETableText"/>
              <w:rPr>
                <w:sz w:val="22"/>
              </w:rPr>
            </w:pPr>
            <w:r w:rsidRPr="00E45BB8">
              <w:rPr>
                <w:sz w:val="22"/>
              </w:rPr>
              <w:t>Payables payment period</w:t>
            </w:r>
          </w:p>
        </w:tc>
        <w:tc>
          <w:tcPr>
            <w:tcW w:w="1418" w:type="dxa"/>
          </w:tcPr>
          <w:p w:rsidR="00E45BB8" w:rsidRPr="00E45BB8" w:rsidRDefault="00E45BB8" w:rsidP="00E45BB8">
            <w:pPr>
              <w:pStyle w:val="JETableText"/>
              <w:jc w:val="right"/>
              <w:rPr>
                <w:sz w:val="22"/>
              </w:rPr>
            </w:pPr>
            <w:r w:rsidRPr="00E45BB8">
              <w:rPr>
                <w:sz w:val="22"/>
              </w:rPr>
              <w:t>39 days</w:t>
            </w:r>
          </w:p>
        </w:tc>
        <w:tc>
          <w:tcPr>
            <w:tcW w:w="1417" w:type="dxa"/>
          </w:tcPr>
          <w:p w:rsidR="00E45BB8" w:rsidRPr="00E45BB8" w:rsidRDefault="00E45BB8" w:rsidP="00E45BB8">
            <w:pPr>
              <w:pStyle w:val="JETableText"/>
              <w:jc w:val="right"/>
              <w:rPr>
                <w:sz w:val="22"/>
              </w:rPr>
            </w:pPr>
            <w:r w:rsidRPr="00E45BB8">
              <w:rPr>
                <w:sz w:val="22"/>
              </w:rPr>
              <w:t>30 days</w:t>
            </w:r>
          </w:p>
        </w:tc>
        <w:tc>
          <w:tcPr>
            <w:tcW w:w="1701" w:type="dxa"/>
          </w:tcPr>
          <w:p w:rsidR="00E45BB8" w:rsidRPr="00E45BB8" w:rsidRDefault="00E45BB8" w:rsidP="00E45BB8">
            <w:pPr>
              <w:pStyle w:val="JETableText"/>
              <w:jc w:val="right"/>
              <w:rPr>
                <w:sz w:val="22"/>
              </w:rPr>
            </w:pPr>
            <w:r w:rsidRPr="00E45BB8">
              <w:rPr>
                <w:sz w:val="22"/>
              </w:rPr>
              <w:t>30%</w:t>
            </w:r>
          </w:p>
        </w:tc>
      </w:tr>
      <w:tr w:rsidR="00E45BB8" w:rsidRPr="00E45BB8">
        <w:trPr>
          <w:trHeight w:val="259"/>
        </w:trPr>
        <w:tc>
          <w:tcPr>
            <w:tcW w:w="3402" w:type="dxa"/>
          </w:tcPr>
          <w:p w:rsidR="00E45BB8" w:rsidRPr="00E45BB8" w:rsidRDefault="00E45BB8" w:rsidP="00E45BB8">
            <w:pPr>
              <w:pStyle w:val="JETableText"/>
              <w:rPr>
                <w:sz w:val="22"/>
              </w:rPr>
            </w:pPr>
            <w:r w:rsidRPr="00E45BB8">
              <w:rPr>
                <w:sz w:val="22"/>
              </w:rPr>
              <w:t xml:space="preserve">Cash operating cycle </w:t>
            </w:r>
          </w:p>
        </w:tc>
        <w:tc>
          <w:tcPr>
            <w:tcW w:w="1418" w:type="dxa"/>
          </w:tcPr>
          <w:p w:rsidR="00E45BB8" w:rsidRPr="00E45BB8" w:rsidRDefault="00E45BB8" w:rsidP="00E45BB8">
            <w:pPr>
              <w:pStyle w:val="JETableText"/>
              <w:jc w:val="right"/>
              <w:rPr>
                <w:sz w:val="22"/>
              </w:rPr>
            </w:pPr>
            <w:r w:rsidRPr="00E45BB8">
              <w:rPr>
                <w:sz w:val="22"/>
              </w:rPr>
              <w:t>56 days</w:t>
            </w:r>
          </w:p>
        </w:tc>
        <w:tc>
          <w:tcPr>
            <w:tcW w:w="1417" w:type="dxa"/>
          </w:tcPr>
          <w:p w:rsidR="00E45BB8" w:rsidRPr="00E45BB8" w:rsidRDefault="00E45BB8" w:rsidP="00E45BB8">
            <w:pPr>
              <w:pStyle w:val="JETableText"/>
              <w:jc w:val="right"/>
              <w:rPr>
                <w:sz w:val="22"/>
              </w:rPr>
            </w:pPr>
            <w:r w:rsidRPr="00E45BB8">
              <w:rPr>
                <w:sz w:val="22"/>
              </w:rPr>
              <w:t>86 days</w:t>
            </w:r>
          </w:p>
        </w:tc>
        <w:tc>
          <w:tcPr>
            <w:tcW w:w="1701" w:type="dxa"/>
          </w:tcPr>
          <w:p w:rsidR="00E45BB8" w:rsidRPr="00E45BB8" w:rsidRDefault="00E45BB8" w:rsidP="00E45BB8">
            <w:pPr>
              <w:pStyle w:val="JETableText"/>
              <w:jc w:val="right"/>
              <w:rPr>
                <w:sz w:val="22"/>
              </w:rPr>
            </w:pPr>
            <w:r w:rsidRPr="00E45BB8">
              <w:rPr>
                <w:sz w:val="22"/>
              </w:rPr>
              <w:t>-34%</w:t>
            </w:r>
          </w:p>
        </w:tc>
      </w:tr>
      <w:tr w:rsidR="00E45BB8" w:rsidRPr="00E45BB8">
        <w:trPr>
          <w:trHeight w:val="259"/>
        </w:trPr>
        <w:tc>
          <w:tcPr>
            <w:tcW w:w="3402" w:type="dxa"/>
          </w:tcPr>
          <w:p w:rsidR="00E45BB8" w:rsidRPr="00E45BB8" w:rsidRDefault="00E45BB8" w:rsidP="00E45BB8">
            <w:pPr>
              <w:pStyle w:val="JETableText"/>
              <w:rPr>
                <w:sz w:val="22"/>
              </w:rPr>
            </w:pPr>
            <w:r w:rsidRPr="00E45BB8">
              <w:rPr>
                <w:sz w:val="22"/>
              </w:rPr>
              <w:t>Non- current asset turnover</w:t>
            </w:r>
          </w:p>
        </w:tc>
        <w:tc>
          <w:tcPr>
            <w:tcW w:w="1418" w:type="dxa"/>
          </w:tcPr>
          <w:p w:rsidR="00E45BB8" w:rsidRPr="00E45BB8" w:rsidRDefault="00E45BB8" w:rsidP="00E45BB8">
            <w:pPr>
              <w:pStyle w:val="JETableText"/>
              <w:jc w:val="right"/>
              <w:rPr>
                <w:sz w:val="22"/>
              </w:rPr>
            </w:pPr>
            <w:r w:rsidRPr="00E45BB8">
              <w:rPr>
                <w:sz w:val="22"/>
              </w:rPr>
              <w:t>5.06 times</w:t>
            </w:r>
          </w:p>
        </w:tc>
        <w:tc>
          <w:tcPr>
            <w:tcW w:w="1417" w:type="dxa"/>
          </w:tcPr>
          <w:p w:rsidR="00E45BB8" w:rsidRPr="00E45BB8" w:rsidRDefault="00E45BB8" w:rsidP="00E45BB8">
            <w:pPr>
              <w:pStyle w:val="JETableText"/>
              <w:jc w:val="right"/>
              <w:rPr>
                <w:sz w:val="22"/>
              </w:rPr>
            </w:pPr>
            <w:r w:rsidRPr="00E45BB8">
              <w:rPr>
                <w:sz w:val="22"/>
              </w:rPr>
              <w:t>3.95 times</w:t>
            </w:r>
          </w:p>
        </w:tc>
        <w:tc>
          <w:tcPr>
            <w:tcW w:w="1701" w:type="dxa"/>
          </w:tcPr>
          <w:p w:rsidR="00E45BB8" w:rsidRPr="00E45BB8" w:rsidRDefault="00E45BB8" w:rsidP="00E45BB8">
            <w:pPr>
              <w:pStyle w:val="JETableText"/>
              <w:jc w:val="right"/>
              <w:rPr>
                <w:sz w:val="22"/>
              </w:rPr>
            </w:pPr>
            <w:r w:rsidRPr="00E45BB8">
              <w:rPr>
                <w:sz w:val="22"/>
              </w:rPr>
              <w:t>28%</w:t>
            </w:r>
          </w:p>
        </w:tc>
      </w:tr>
    </w:tbl>
    <w:p w:rsidR="00E45BB8" w:rsidRPr="00E45BB8" w:rsidRDefault="00E45BB8" w:rsidP="00E45BB8"/>
    <w:p w:rsidR="00E45BB8" w:rsidRPr="005064C7" w:rsidRDefault="00E45BB8" w:rsidP="00E45BB8">
      <w:pPr>
        <w:pStyle w:val="JEBodyText"/>
      </w:pPr>
      <w:r w:rsidRPr="005064C7">
        <w:t xml:space="preserve">Working capital efficiency improved across all areas as reflected in the </w:t>
      </w:r>
      <w:r w:rsidRPr="005064C7">
        <w:rPr>
          <w:b/>
        </w:rPr>
        <w:t>cash operating cycle,</w:t>
      </w:r>
      <w:r w:rsidRPr="005064C7">
        <w:t xml:space="preserve"> freeing cash tied up in working capital and reducing levels of capital required to sustain operating activity levels.</w:t>
      </w:r>
    </w:p>
    <w:p w:rsidR="00E45BB8" w:rsidRPr="005064C7" w:rsidRDefault="00E45BB8" w:rsidP="00E45BB8">
      <w:pPr>
        <w:pStyle w:val="JEBodyText"/>
      </w:pPr>
      <w:r w:rsidRPr="005064C7">
        <w:rPr>
          <w:b/>
        </w:rPr>
        <w:t>Inventory turnover period</w:t>
      </w:r>
      <w:r w:rsidRPr="005064C7">
        <w:t xml:space="preserve"> reduced showing better stock management achieved through improved demand forecasting and environmental initiatives (efficient packaging; more products per pallet). So long as this reduction still meets customer demand then these are excellent improvements.</w:t>
      </w:r>
    </w:p>
    <w:p w:rsidR="00E45BB8" w:rsidRPr="005064C7" w:rsidRDefault="00E45BB8" w:rsidP="00E45BB8">
      <w:pPr>
        <w:pStyle w:val="JEBodyText"/>
      </w:pPr>
      <w:r w:rsidRPr="005064C7">
        <w:rPr>
          <w:b/>
        </w:rPr>
        <w:t>Receivables collection period</w:t>
      </w:r>
      <w:r w:rsidRPr="005064C7">
        <w:t xml:space="preserve"> also reduced showing, on average, customers are paying faster.  However this improvement may have increased the operational costs through increased credit control.</w:t>
      </w:r>
    </w:p>
    <w:p w:rsidR="00E45BB8" w:rsidRPr="005064C7" w:rsidRDefault="00E45BB8" w:rsidP="00E45BB8">
      <w:pPr>
        <w:pStyle w:val="JEBodyText"/>
      </w:pPr>
      <w:r w:rsidRPr="005064C7">
        <w:rPr>
          <w:b/>
        </w:rPr>
        <w:t>Payables payment period</w:t>
      </w:r>
      <w:r w:rsidRPr="005064C7">
        <w:t xml:space="preserve"> has also improved which is a good way to finance working capital. </w:t>
      </w:r>
      <w:r>
        <w:t>Caution</w:t>
      </w:r>
      <w:r w:rsidRPr="005064C7">
        <w:t xml:space="preserve"> is advised </w:t>
      </w:r>
      <w:r>
        <w:t xml:space="preserve">however, </w:t>
      </w:r>
      <w:r w:rsidRPr="005064C7">
        <w:t xml:space="preserve">in over-extending and potentially harming supplier goodwill or prices.  </w:t>
      </w:r>
    </w:p>
    <w:p w:rsidR="00E45BB8" w:rsidRPr="005064C7" w:rsidRDefault="00E45BB8" w:rsidP="000D19B9">
      <w:pPr>
        <w:pStyle w:val="JEBodyText"/>
        <w:keepNext/>
        <w:keepLines/>
      </w:pPr>
      <w:r w:rsidRPr="005064C7">
        <w:rPr>
          <w:b/>
        </w:rPr>
        <w:lastRenderedPageBreak/>
        <w:t>Non-current asset turnover</w:t>
      </w:r>
      <w:r w:rsidRPr="005064C7">
        <w:t xml:space="preserve"> has increased demonstrating better use of fixed assets. However, depreciation of assets is high compared to non-current asset expenditure, which could indicate that Nichols is ‘sweating’ its assets possibly impacting future efficiencies and cash flows.</w:t>
      </w:r>
    </w:p>
    <w:p w:rsidR="00E45BB8" w:rsidRDefault="00E45BB8" w:rsidP="00E45BB8">
      <w:pPr>
        <w:pStyle w:val="Heading2"/>
      </w:pPr>
      <w:bookmarkStart w:id="15" w:name="_Toc277012899"/>
      <w:r>
        <w:t>Liquidity</w:t>
      </w:r>
      <w:bookmarkEnd w:id="15"/>
    </w:p>
    <w:tbl>
      <w:tblPr>
        <w:tblW w:w="5245" w:type="dxa"/>
        <w:tblInd w:w="108" w:type="dxa"/>
        <w:tblBorders>
          <w:bottom w:val="single" w:sz="4" w:space="0" w:color="C0C0C0"/>
          <w:insideH w:val="single" w:sz="4" w:space="0" w:color="C0C0C0"/>
        </w:tblBorders>
        <w:tblLayout w:type="fixed"/>
        <w:tblLook w:val="04A0"/>
      </w:tblPr>
      <w:tblGrid>
        <w:gridCol w:w="1985"/>
        <w:gridCol w:w="850"/>
        <w:gridCol w:w="993"/>
        <w:gridCol w:w="1417"/>
      </w:tblGrid>
      <w:tr w:rsidR="00E45BB8" w:rsidRPr="00AA4BA3">
        <w:trPr>
          <w:trHeight w:val="70"/>
        </w:trPr>
        <w:tc>
          <w:tcPr>
            <w:tcW w:w="1985" w:type="dxa"/>
            <w:vAlign w:val="center"/>
          </w:tcPr>
          <w:p w:rsidR="00E45BB8" w:rsidRPr="00AA4BA3" w:rsidRDefault="00E45BB8" w:rsidP="008E48EC">
            <w:pPr>
              <w:pStyle w:val="JETableHeader"/>
            </w:pPr>
          </w:p>
        </w:tc>
        <w:tc>
          <w:tcPr>
            <w:tcW w:w="850" w:type="dxa"/>
            <w:vAlign w:val="center"/>
          </w:tcPr>
          <w:p w:rsidR="00E45BB8" w:rsidRPr="00AA4BA3" w:rsidRDefault="00E45BB8" w:rsidP="00E45BB8">
            <w:pPr>
              <w:pStyle w:val="JETableHeader"/>
              <w:jc w:val="right"/>
            </w:pPr>
            <w:r w:rsidRPr="00AA4BA3">
              <w:t>2009</w:t>
            </w:r>
          </w:p>
        </w:tc>
        <w:tc>
          <w:tcPr>
            <w:tcW w:w="993" w:type="dxa"/>
            <w:vAlign w:val="center"/>
          </w:tcPr>
          <w:p w:rsidR="00E45BB8" w:rsidRPr="00AA4BA3" w:rsidRDefault="00E45BB8" w:rsidP="00E45BB8">
            <w:pPr>
              <w:pStyle w:val="JETableHeader"/>
              <w:jc w:val="right"/>
            </w:pPr>
            <w:r w:rsidRPr="00AA4BA3">
              <w:t>2008</w:t>
            </w:r>
          </w:p>
        </w:tc>
        <w:tc>
          <w:tcPr>
            <w:tcW w:w="1417" w:type="dxa"/>
            <w:vAlign w:val="center"/>
          </w:tcPr>
          <w:p w:rsidR="00E45BB8" w:rsidRPr="00AA4BA3" w:rsidRDefault="00E45BB8" w:rsidP="00E45BB8">
            <w:pPr>
              <w:pStyle w:val="JETableHeader"/>
              <w:jc w:val="right"/>
            </w:pPr>
            <w:r w:rsidRPr="00AA4BA3">
              <w:t>Movement</w:t>
            </w:r>
          </w:p>
        </w:tc>
      </w:tr>
      <w:tr w:rsidR="00E45BB8" w:rsidRPr="00E45BB8">
        <w:trPr>
          <w:trHeight w:val="259"/>
        </w:trPr>
        <w:tc>
          <w:tcPr>
            <w:tcW w:w="1985" w:type="dxa"/>
          </w:tcPr>
          <w:p w:rsidR="00E45BB8" w:rsidRPr="0068269B" w:rsidRDefault="00E45BB8" w:rsidP="0068269B">
            <w:pPr>
              <w:pStyle w:val="JETableText"/>
              <w:rPr>
                <w:sz w:val="22"/>
              </w:rPr>
            </w:pPr>
            <w:r w:rsidRPr="0068269B">
              <w:rPr>
                <w:sz w:val="22"/>
              </w:rPr>
              <w:t>Current ratio</w:t>
            </w:r>
          </w:p>
        </w:tc>
        <w:tc>
          <w:tcPr>
            <w:tcW w:w="850" w:type="dxa"/>
          </w:tcPr>
          <w:p w:rsidR="00E45BB8" w:rsidRPr="0068269B" w:rsidRDefault="00E45BB8" w:rsidP="0068269B">
            <w:pPr>
              <w:pStyle w:val="JETableText"/>
              <w:jc w:val="right"/>
              <w:rPr>
                <w:sz w:val="22"/>
              </w:rPr>
            </w:pPr>
            <w:r w:rsidRPr="0068269B">
              <w:rPr>
                <w:sz w:val="22"/>
              </w:rPr>
              <w:t xml:space="preserve">2.10 </w:t>
            </w:r>
          </w:p>
        </w:tc>
        <w:tc>
          <w:tcPr>
            <w:tcW w:w="993" w:type="dxa"/>
          </w:tcPr>
          <w:p w:rsidR="00E45BB8" w:rsidRPr="0068269B" w:rsidRDefault="00E45BB8" w:rsidP="0068269B">
            <w:pPr>
              <w:pStyle w:val="JETableText"/>
              <w:jc w:val="right"/>
              <w:rPr>
                <w:sz w:val="22"/>
              </w:rPr>
            </w:pPr>
            <w:r w:rsidRPr="0068269B">
              <w:rPr>
                <w:sz w:val="22"/>
              </w:rPr>
              <w:t>1.93</w:t>
            </w:r>
          </w:p>
        </w:tc>
        <w:tc>
          <w:tcPr>
            <w:tcW w:w="1417" w:type="dxa"/>
          </w:tcPr>
          <w:p w:rsidR="00E45BB8" w:rsidRPr="0068269B" w:rsidRDefault="00E45BB8" w:rsidP="0068269B">
            <w:pPr>
              <w:pStyle w:val="JETableText"/>
              <w:jc w:val="right"/>
              <w:rPr>
                <w:sz w:val="22"/>
              </w:rPr>
            </w:pPr>
            <w:r w:rsidRPr="0068269B">
              <w:rPr>
                <w:sz w:val="22"/>
              </w:rPr>
              <w:t>9%</w:t>
            </w:r>
          </w:p>
        </w:tc>
      </w:tr>
      <w:tr w:rsidR="00E45BB8" w:rsidRPr="00E45BB8">
        <w:trPr>
          <w:trHeight w:val="259"/>
        </w:trPr>
        <w:tc>
          <w:tcPr>
            <w:tcW w:w="1985" w:type="dxa"/>
          </w:tcPr>
          <w:p w:rsidR="00E45BB8" w:rsidRPr="0068269B" w:rsidRDefault="00E45BB8" w:rsidP="0068269B">
            <w:pPr>
              <w:pStyle w:val="JETableText"/>
              <w:rPr>
                <w:sz w:val="22"/>
              </w:rPr>
            </w:pPr>
            <w:r w:rsidRPr="0068269B">
              <w:rPr>
                <w:sz w:val="22"/>
              </w:rPr>
              <w:t>Acid test ratio</w:t>
            </w:r>
          </w:p>
        </w:tc>
        <w:tc>
          <w:tcPr>
            <w:tcW w:w="850" w:type="dxa"/>
          </w:tcPr>
          <w:p w:rsidR="00E45BB8" w:rsidRPr="0068269B" w:rsidRDefault="00E45BB8" w:rsidP="0068269B">
            <w:pPr>
              <w:pStyle w:val="JETableText"/>
              <w:jc w:val="right"/>
              <w:rPr>
                <w:sz w:val="22"/>
              </w:rPr>
            </w:pPr>
            <w:r w:rsidRPr="0068269B">
              <w:rPr>
                <w:sz w:val="22"/>
              </w:rPr>
              <w:t>1.90</w:t>
            </w:r>
          </w:p>
        </w:tc>
        <w:tc>
          <w:tcPr>
            <w:tcW w:w="993" w:type="dxa"/>
          </w:tcPr>
          <w:p w:rsidR="00E45BB8" w:rsidRPr="0068269B" w:rsidRDefault="00E45BB8" w:rsidP="0068269B">
            <w:pPr>
              <w:pStyle w:val="JETableText"/>
              <w:jc w:val="right"/>
              <w:rPr>
                <w:sz w:val="22"/>
              </w:rPr>
            </w:pPr>
            <w:r w:rsidRPr="0068269B">
              <w:rPr>
                <w:sz w:val="22"/>
              </w:rPr>
              <w:t>1.69</w:t>
            </w:r>
          </w:p>
        </w:tc>
        <w:tc>
          <w:tcPr>
            <w:tcW w:w="1417" w:type="dxa"/>
          </w:tcPr>
          <w:p w:rsidR="00E45BB8" w:rsidRPr="0068269B" w:rsidRDefault="00E45BB8" w:rsidP="0068269B">
            <w:pPr>
              <w:pStyle w:val="JETableText"/>
              <w:jc w:val="right"/>
              <w:rPr>
                <w:sz w:val="22"/>
              </w:rPr>
            </w:pPr>
            <w:r w:rsidRPr="0068269B">
              <w:rPr>
                <w:sz w:val="22"/>
              </w:rPr>
              <w:t>13%</w:t>
            </w:r>
          </w:p>
        </w:tc>
      </w:tr>
    </w:tbl>
    <w:p w:rsidR="00E45BB8" w:rsidRDefault="00E45BB8" w:rsidP="00E45BB8"/>
    <w:p w:rsidR="00E45BB8" w:rsidRDefault="00E45BB8" w:rsidP="00E45BB8">
      <w:pPr>
        <w:pStyle w:val="JEBodyText"/>
      </w:pPr>
      <w:r w:rsidRPr="005064C7">
        <w:t>Liquidity has improved due to increased cash balances at year-end even though overall liabilities have increased (most significantly trade payables which are up 70%).  This improvement may be useful if debt needs to be raised for future expansion.  Without industry benchmarks it is difficult to comment on the suitability of these results.</w:t>
      </w:r>
    </w:p>
    <w:p w:rsidR="00E45BB8" w:rsidRDefault="00E45BB8" w:rsidP="00E45BB8">
      <w:pPr>
        <w:pStyle w:val="Heading2"/>
      </w:pPr>
      <w:bookmarkStart w:id="16" w:name="_Toc277012900"/>
      <w:r>
        <w:t>Financial Structure</w:t>
      </w:r>
      <w:bookmarkEnd w:id="16"/>
    </w:p>
    <w:p w:rsidR="00E45BB8" w:rsidRPr="00E45BB8" w:rsidRDefault="00E45BB8" w:rsidP="00E45BB8"/>
    <w:tbl>
      <w:tblPr>
        <w:tblW w:w="5954" w:type="dxa"/>
        <w:tblInd w:w="108" w:type="dxa"/>
        <w:tblBorders>
          <w:bottom w:val="single" w:sz="4" w:space="0" w:color="C0C0C0"/>
          <w:insideH w:val="single" w:sz="4" w:space="0" w:color="C0C0C0"/>
        </w:tblBorders>
        <w:tblLayout w:type="fixed"/>
        <w:tblLook w:val="04A0"/>
      </w:tblPr>
      <w:tblGrid>
        <w:gridCol w:w="1843"/>
        <w:gridCol w:w="1276"/>
        <w:gridCol w:w="1276"/>
        <w:gridCol w:w="1559"/>
      </w:tblGrid>
      <w:tr w:rsidR="0068269B" w:rsidRPr="00AA4BA3">
        <w:trPr>
          <w:trHeight w:val="70"/>
        </w:trPr>
        <w:tc>
          <w:tcPr>
            <w:tcW w:w="1843" w:type="dxa"/>
            <w:vAlign w:val="center"/>
          </w:tcPr>
          <w:p w:rsidR="0068269B" w:rsidRPr="00AA4BA3" w:rsidRDefault="0068269B" w:rsidP="008E48EC">
            <w:pPr>
              <w:pStyle w:val="JETableHeader"/>
            </w:pPr>
          </w:p>
        </w:tc>
        <w:tc>
          <w:tcPr>
            <w:tcW w:w="1276" w:type="dxa"/>
            <w:vAlign w:val="center"/>
          </w:tcPr>
          <w:p w:rsidR="0068269B" w:rsidRPr="00AA4BA3" w:rsidRDefault="0068269B" w:rsidP="0068269B">
            <w:pPr>
              <w:pStyle w:val="JETableHeader"/>
              <w:jc w:val="right"/>
            </w:pPr>
            <w:r w:rsidRPr="00AA4BA3">
              <w:t>2009</w:t>
            </w:r>
          </w:p>
        </w:tc>
        <w:tc>
          <w:tcPr>
            <w:tcW w:w="1276" w:type="dxa"/>
            <w:vAlign w:val="center"/>
          </w:tcPr>
          <w:p w:rsidR="0068269B" w:rsidRPr="00AA4BA3" w:rsidRDefault="0068269B" w:rsidP="0068269B">
            <w:pPr>
              <w:pStyle w:val="JETableHeader"/>
              <w:jc w:val="right"/>
            </w:pPr>
            <w:r w:rsidRPr="00AA4BA3">
              <w:t>2008</w:t>
            </w:r>
          </w:p>
        </w:tc>
        <w:tc>
          <w:tcPr>
            <w:tcW w:w="1559" w:type="dxa"/>
            <w:vAlign w:val="center"/>
          </w:tcPr>
          <w:p w:rsidR="0068269B" w:rsidRPr="00AA4BA3" w:rsidRDefault="0068269B" w:rsidP="0068269B">
            <w:pPr>
              <w:pStyle w:val="JETableHeader"/>
              <w:jc w:val="right"/>
            </w:pPr>
            <w:r w:rsidRPr="00AA4BA3">
              <w:t>Movement</w:t>
            </w:r>
          </w:p>
        </w:tc>
      </w:tr>
      <w:tr w:rsidR="0068269B" w:rsidRPr="00E45BB8">
        <w:trPr>
          <w:trHeight w:val="259"/>
        </w:trPr>
        <w:tc>
          <w:tcPr>
            <w:tcW w:w="1843" w:type="dxa"/>
          </w:tcPr>
          <w:p w:rsidR="0068269B" w:rsidRPr="00D378BB" w:rsidRDefault="0068269B" w:rsidP="0068269B">
            <w:pPr>
              <w:pStyle w:val="JETableText"/>
              <w:rPr>
                <w:sz w:val="22"/>
              </w:rPr>
            </w:pPr>
            <w:r w:rsidRPr="00D378BB">
              <w:rPr>
                <w:sz w:val="22"/>
              </w:rPr>
              <w:t>Gearing</w:t>
            </w:r>
          </w:p>
        </w:tc>
        <w:tc>
          <w:tcPr>
            <w:tcW w:w="1276" w:type="dxa"/>
          </w:tcPr>
          <w:p w:rsidR="0068269B" w:rsidRPr="00D378BB" w:rsidRDefault="0068269B" w:rsidP="0068269B">
            <w:pPr>
              <w:pStyle w:val="JETableText"/>
              <w:jc w:val="right"/>
              <w:rPr>
                <w:sz w:val="22"/>
              </w:rPr>
            </w:pPr>
            <w:r w:rsidRPr="00D378BB">
              <w:rPr>
                <w:sz w:val="22"/>
              </w:rPr>
              <w:t>16%</w:t>
            </w:r>
          </w:p>
        </w:tc>
        <w:tc>
          <w:tcPr>
            <w:tcW w:w="1276" w:type="dxa"/>
          </w:tcPr>
          <w:p w:rsidR="0068269B" w:rsidRPr="00D378BB" w:rsidRDefault="0068269B" w:rsidP="0068269B">
            <w:pPr>
              <w:pStyle w:val="JETableText"/>
              <w:jc w:val="right"/>
              <w:rPr>
                <w:sz w:val="22"/>
              </w:rPr>
            </w:pPr>
            <w:r w:rsidRPr="00D378BB">
              <w:rPr>
                <w:sz w:val="22"/>
              </w:rPr>
              <w:t>14%</w:t>
            </w:r>
          </w:p>
        </w:tc>
        <w:tc>
          <w:tcPr>
            <w:tcW w:w="1559" w:type="dxa"/>
          </w:tcPr>
          <w:p w:rsidR="0068269B" w:rsidRPr="0068269B" w:rsidRDefault="0068269B" w:rsidP="0068269B">
            <w:pPr>
              <w:pStyle w:val="JETableText"/>
              <w:jc w:val="right"/>
              <w:rPr>
                <w:sz w:val="22"/>
              </w:rPr>
            </w:pPr>
            <w:r w:rsidRPr="0068269B">
              <w:rPr>
                <w:sz w:val="22"/>
              </w:rPr>
              <w:t>13%</w:t>
            </w:r>
          </w:p>
        </w:tc>
      </w:tr>
      <w:tr w:rsidR="0068269B" w:rsidRPr="00E45BB8">
        <w:trPr>
          <w:trHeight w:val="259"/>
        </w:trPr>
        <w:tc>
          <w:tcPr>
            <w:tcW w:w="1843" w:type="dxa"/>
          </w:tcPr>
          <w:p w:rsidR="0068269B" w:rsidRPr="0068269B" w:rsidRDefault="0068269B" w:rsidP="0068269B">
            <w:pPr>
              <w:pStyle w:val="JETableText"/>
              <w:rPr>
                <w:sz w:val="22"/>
              </w:rPr>
            </w:pPr>
            <w:r w:rsidRPr="0068269B">
              <w:rPr>
                <w:sz w:val="22"/>
              </w:rPr>
              <w:t>Interest cover</w:t>
            </w:r>
          </w:p>
        </w:tc>
        <w:tc>
          <w:tcPr>
            <w:tcW w:w="1276" w:type="dxa"/>
          </w:tcPr>
          <w:p w:rsidR="0068269B" w:rsidRPr="0068269B" w:rsidRDefault="0068269B" w:rsidP="0068269B">
            <w:pPr>
              <w:pStyle w:val="JETableText"/>
              <w:jc w:val="right"/>
              <w:rPr>
                <w:sz w:val="22"/>
              </w:rPr>
            </w:pPr>
            <w:r w:rsidRPr="0068269B">
              <w:rPr>
                <w:sz w:val="22"/>
              </w:rPr>
              <w:t>35 times</w:t>
            </w:r>
          </w:p>
        </w:tc>
        <w:tc>
          <w:tcPr>
            <w:tcW w:w="1276" w:type="dxa"/>
          </w:tcPr>
          <w:p w:rsidR="0068269B" w:rsidRPr="0068269B" w:rsidRDefault="0068269B" w:rsidP="0068269B">
            <w:pPr>
              <w:pStyle w:val="JETableText"/>
              <w:jc w:val="right"/>
              <w:rPr>
                <w:sz w:val="22"/>
              </w:rPr>
            </w:pPr>
            <w:r w:rsidRPr="0068269B">
              <w:rPr>
                <w:sz w:val="22"/>
              </w:rPr>
              <w:t>187 times</w:t>
            </w:r>
          </w:p>
        </w:tc>
        <w:tc>
          <w:tcPr>
            <w:tcW w:w="1559" w:type="dxa"/>
          </w:tcPr>
          <w:p w:rsidR="0068269B" w:rsidRPr="0068269B" w:rsidRDefault="0068269B" w:rsidP="0068269B">
            <w:pPr>
              <w:pStyle w:val="JETableText"/>
              <w:jc w:val="right"/>
              <w:rPr>
                <w:sz w:val="22"/>
              </w:rPr>
            </w:pPr>
            <w:r w:rsidRPr="0068269B">
              <w:rPr>
                <w:sz w:val="22"/>
              </w:rPr>
              <w:t>-81%</w:t>
            </w:r>
          </w:p>
        </w:tc>
      </w:tr>
    </w:tbl>
    <w:p w:rsidR="00E45BB8" w:rsidRDefault="00E45BB8" w:rsidP="00E45BB8"/>
    <w:p w:rsidR="0068269B" w:rsidRDefault="0068269B" w:rsidP="00E45BB8"/>
    <w:p w:rsidR="0068269B" w:rsidRDefault="0068269B" w:rsidP="0068269B">
      <w:pPr>
        <w:pStyle w:val="JEBodyText"/>
      </w:pPr>
      <w:r>
        <w:t xml:space="preserve">The change in </w:t>
      </w:r>
      <w:r w:rsidRPr="0068269B">
        <w:rPr>
          <w:b/>
        </w:rPr>
        <w:t>gearing</w:t>
      </w:r>
      <w:r>
        <w:t xml:space="preserve"> was due to the movement in </w:t>
      </w:r>
      <w:r w:rsidR="00D378BB">
        <w:t xml:space="preserve">the </w:t>
      </w:r>
      <w:r>
        <w:t>pension fund, Nichols does not have any short or long-term borrowing. The report describes a secure and growing business so the board could consider increasing gearing to accelerate market expansion or acquisitions to enhance shareholder returns.</w:t>
      </w:r>
    </w:p>
    <w:p w:rsidR="0068269B" w:rsidRDefault="0068269B" w:rsidP="0068269B">
      <w:pPr>
        <w:pStyle w:val="JEBodyText"/>
      </w:pPr>
      <w:r w:rsidRPr="0068269B">
        <w:rPr>
          <w:b/>
        </w:rPr>
        <w:t>Interest cover</w:t>
      </w:r>
      <w:r>
        <w:t xml:space="preserve"> has decreased significantly due to reduced return on pension scheme assets and reduced finance income (attributable to a reduction of central interest rates which fell by over 90% between January 2008 and December 2009).  Whilst not currently a concern, the liability of the pension fund deficit should be monitored.</w:t>
      </w:r>
    </w:p>
    <w:p w:rsidR="0068269B" w:rsidRDefault="0068269B" w:rsidP="0068269B">
      <w:pPr>
        <w:pStyle w:val="Heading2"/>
      </w:pPr>
      <w:bookmarkStart w:id="17" w:name="_Toc277012901"/>
      <w:r>
        <w:t>Shareholder Investment</w:t>
      </w:r>
      <w:bookmarkEnd w:id="17"/>
    </w:p>
    <w:tbl>
      <w:tblPr>
        <w:tblW w:w="8931" w:type="dxa"/>
        <w:tblInd w:w="108" w:type="dxa"/>
        <w:tblBorders>
          <w:bottom w:val="single" w:sz="4" w:space="0" w:color="C0C0C0"/>
          <w:insideH w:val="single" w:sz="4" w:space="0" w:color="C0C0C0"/>
        </w:tblBorders>
        <w:tblLayout w:type="fixed"/>
        <w:tblLook w:val="04A0"/>
      </w:tblPr>
      <w:tblGrid>
        <w:gridCol w:w="4111"/>
        <w:gridCol w:w="1701"/>
        <w:gridCol w:w="1559"/>
        <w:gridCol w:w="1560"/>
      </w:tblGrid>
      <w:tr w:rsidR="0068269B" w:rsidRPr="00AA4BA3">
        <w:trPr>
          <w:trHeight w:val="70"/>
        </w:trPr>
        <w:tc>
          <w:tcPr>
            <w:tcW w:w="4111" w:type="dxa"/>
            <w:vAlign w:val="center"/>
          </w:tcPr>
          <w:p w:rsidR="0068269B" w:rsidRPr="00AA4BA3" w:rsidRDefault="0068269B" w:rsidP="008E48EC">
            <w:pPr>
              <w:pStyle w:val="JETableHeader"/>
            </w:pPr>
          </w:p>
        </w:tc>
        <w:tc>
          <w:tcPr>
            <w:tcW w:w="1701" w:type="dxa"/>
            <w:vAlign w:val="center"/>
          </w:tcPr>
          <w:p w:rsidR="0068269B" w:rsidRPr="00AA4BA3" w:rsidRDefault="0068269B" w:rsidP="008E48EC">
            <w:pPr>
              <w:pStyle w:val="JETableHeader"/>
              <w:jc w:val="right"/>
            </w:pPr>
            <w:r w:rsidRPr="00AA4BA3">
              <w:t>2009</w:t>
            </w:r>
          </w:p>
        </w:tc>
        <w:tc>
          <w:tcPr>
            <w:tcW w:w="1559" w:type="dxa"/>
            <w:vAlign w:val="center"/>
          </w:tcPr>
          <w:p w:rsidR="0068269B" w:rsidRPr="00AA4BA3" w:rsidRDefault="0068269B" w:rsidP="008E48EC">
            <w:pPr>
              <w:pStyle w:val="JETableHeader"/>
              <w:jc w:val="right"/>
            </w:pPr>
            <w:r w:rsidRPr="00AA4BA3">
              <w:t>2008</w:t>
            </w:r>
          </w:p>
        </w:tc>
        <w:tc>
          <w:tcPr>
            <w:tcW w:w="1560" w:type="dxa"/>
            <w:vAlign w:val="center"/>
          </w:tcPr>
          <w:p w:rsidR="0068269B" w:rsidRPr="00AA4BA3" w:rsidRDefault="0068269B" w:rsidP="008E48EC">
            <w:pPr>
              <w:pStyle w:val="JETableHeader"/>
              <w:jc w:val="right"/>
            </w:pPr>
            <w:r w:rsidRPr="00AA4BA3">
              <w:t>Movement</w:t>
            </w:r>
          </w:p>
        </w:tc>
      </w:tr>
      <w:tr w:rsidR="0068269B" w:rsidRPr="00E45BB8">
        <w:trPr>
          <w:trHeight w:val="259"/>
        </w:trPr>
        <w:tc>
          <w:tcPr>
            <w:tcW w:w="4111" w:type="dxa"/>
          </w:tcPr>
          <w:p w:rsidR="0068269B" w:rsidRPr="0068269B" w:rsidRDefault="0068269B" w:rsidP="0068269B">
            <w:pPr>
              <w:pStyle w:val="JETableText"/>
              <w:rPr>
                <w:sz w:val="22"/>
              </w:rPr>
            </w:pPr>
            <w:r w:rsidRPr="0068269B">
              <w:rPr>
                <w:sz w:val="22"/>
              </w:rPr>
              <w:t>ROSE</w:t>
            </w:r>
          </w:p>
        </w:tc>
        <w:tc>
          <w:tcPr>
            <w:tcW w:w="1701" w:type="dxa"/>
          </w:tcPr>
          <w:p w:rsidR="0068269B" w:rsidRPr="0068269B" w:rsidRDefault="0068269B" w:rsidP="0068269B">
            <w:pPr>
              <w:pStyle w:val="JETableText"/>
              <w:jc w:val="right"/>
              <w:rPr>
                <w:sz w:val="22"/>
              </w:rPr>
            </w:pPr>
            <w:r w:rsidRPr="0068269B">
              <w:rPr>
                <w:sz w:val="22"/>
              </w:rPr>
              <w:t>35%</w:t>
            </w:r>
          </w:p>
        </w:tc>
        <w:tc>
          <w:tcPr>
            <w:tcW w:w="1559" w:type="dxa"/>
          </w:tcPr>
          <w:p w:rsidR="0068269B" w:rsidRPr="0068269B" w:rsidRDefault="0068269B" w:rsidP="0068269B">
            <w:pPr>
              <w:pStyle w:val="JETableText"/>
              <w:jc w:val="right"/>
              <w:rPr>
                <w:sz w:val="22"/>
              </w:rPr>
            </w:pPr>
            <w:r w:rsidRPr="0068269B">
              <w:rPr>
                <w:sz w:val="22"/>
              </w:rPr>
              <w:t>34%</w:t>
            </w:r>
          </w:p>
        </w:tc>
        <w:tc>
          <w:tcPr>
            <w:tcW w:w="1560" w:type="dxa"/>
          </w:tcPr>
          <w:p w:rsidR="0068269B" w:rsidRPr="0068269B" w:rsidRDefault="0068269B" w:rsidP="0068269B">
            <w:pPr>
              <w:pStyle w:val="JETableText"/>
              <w:jc w:val="right"/>
              <w:rPr>
                <w:sz w:val="22"/>
              </w:rPr>
            </w:pPr>
            <w:r w:rsidRPr="0068269B">
              <w:rPr>
                <w:sz w:val="22"/>
              </w:rPr>
              <w:t>2%</w:t>
            </w:r>
          </w:p>
        </w:tc>
      </w:tr>
      <w:tr w:rsidR="0068269B" w:rsidRPr="00E45BB8">
        <w:trPr>
          <w:trHeight w:val="259"/>
        </w:trPr>
        <w:tc>
          <w:tcPr>
            <w:tcW w:w="4111" w:type="dxa"/>
          </w:tcPr>
          <w:p w:rsidR="0068269B" w:rsidRPr="0068269B" w:rsidRDefault="0068269B" w:rsidP="0068269B">
            <w:pPr>
              <w:pStyle w:val="JETableText"/>
              <w:rPr>
                <w:sz w:val="22"/>
              </w:rPr>
            </w:pPr>
            <w:r w:rsidRPr="0068269B">
              <w:rPr>
                <w:sz w:val="22"/>
              </w:rPr>
              <w:t>PE ratio</w:t>
            </w:r>
          </w:p>
        </w:tc>
        <w:tc>
          <w:tcPr>
            <w:tcW w:w="1701" w:type="dxa"/>
          </w:tcPr>
          <w:p w:rsidR="0068269B" w:rsidRPr="0068269B" w:rsidRDefault="0068269B" w:rsidP="0068269B">
            <w:pPr>
              <w:pStyle w:val="JETableText"/>
              <w:jc w:val="right"/>
              <w:rPr>
                <w:sz w:val="22"/>
              </w:rPr>
            </w:pPr>
            <w:r w:rsidRPr="0068269B">
              <w:rPr>
                <w:sz w:val="22"/>
              </w:rPr>
              <w:t>11.0</w:t>
            </w:r>
          </w:p>
        </w:tc>
        <w:tc>
          <w:tcPr>
            <w:tcW w:w="1559" w:type="dxa"/>
          </w:tcPr>
          <w:p w:rsidR="0068269B" w:rsidRPr="0068269B" w:rsidRDefault="0068269B" w:rsidP="0068269B">
            <w:pPr>
              <w:pStyle w:val="JETableText"/>
              <w:jc w:val="right"/>
              <w:rPr>
                <w:sz w:val="22"/>
              </w:rPr>
            </w:pPr>
            <w:r w:rsidRPr="0068269B">
              <w:rPr>
                <w:sz w:val="22"/>
              </w:rPr>
              <w:t>10.2</w:t>
            </w:r>
          </w:p>
        </w:tc>
        <w:tc>
          <w:tcPr>
            <w:tcW w:w="1560" w:type="dxa"/>
          </w:tcPr>
          <w:p w:rsidR="0068269B" w:rsidRPr="0068269B" w:rsidRDefault="0068269B" w:rsidP="0068269B">
            <w:pPr>
              <w:pStyle w:val="JETableText"/>
              <w:jc w:val="right"/>
              <w:rPr>
                <w:sz w:val="22"/>
              </w:rPr>
            </w:pPr>
            <w:r w:rsidRPr="0068269B">
              <w:rPr>
                <w:sz w:val="22"/>
              </w:rPr>
              <w:t>8%</w:t>
            </w:r>
          </w:p>
        </w:tc>
      </w:tr>
      <w:tr w:rsidR="0068269B" w:rsidRPr="00E45BB8">
        <w:trPr>
          <w:trHeight w:val="259"/>
        </w:trPr>
        <w:tc>
          <w:tcPr>
            <w:tcW w:w="4111" w:type="dxa"/>
          </w:tcPr>
          <w:p w:rsidR="0068269B" w:rsidRPr="0068269B" w:rsidRDefault="0068269B" w:rsidP="0068269B">
            <w:pPr>
              <w:pStyle w:val="JETableText"/>
              <w:rPr>
                <w:sz w:val="22"/>
              </w:rPr>
            </w:pPr>
            <w:r w:rsidRPr="0068269B">
              <w:rPr>
                <w:sz w:val="22"/>
              </w:rPr>
              <w:t>Dividend cover</w:t>
            </w:r>
            <w:r>
              <w:rPr>
                <w:sz w:val="22"/>
              </w:rPr>
              <w:t xml:space="preserve"> </w:t>
            </w:r>
            <w:r w:rsidRPr="0068269B">
              <w:rPr>
                <w:sz w:val="22"/>
              </w:rPr>
              <w:t>(post-exceptional items)</w:t>
            </w:r>
          </w:p>
        </w:tc>
        <w:tc>
          <w:tcPr>
            <w:tcW w:w="1701" w:type="dxa"/>
          </w:tcPr>
          <w:p w:rsidR="0068269B" w:rsidRPr="0068269B" w:rsidRDefault="0068269B" w:rsidP="0068269B">
            <w:pPr>
              <w:pStyle w:val="JETableText"/>
              <w:jc w:val="right"/>
              <w:rPr>
                <w:sz w:val="22"/>
              </w:rPr>
            </w:pPr>
            <w:r w:rsidRPr="0068269B">
              <w:rPr>
                <w:sz w:val="22"/>
              </w:rPr>
              <w:t>1.88 times</w:t>
            </w:r>
          </w:p>
        </w:tc>
        <w:tc>
          <w:tcPr>
            <w:tcW w:w="1559" w:type="dxa"/>
          </w:tcPr>
          <w:p w:rsidR="0068269B" w:rsidRPr="0068269B" w:rsidRDefault="0068269B" w:rsidP="0068269B">
            <w:pPr>
              <w:pStyle w:val="JETableText"/>
              <w:jc w:val="right"/>
              <w:rPr>
                <w:sz w:val="22"/>
              </w:rPr>
            </w:pPr>
            <w:r w:rsidRPr="0068269B">
              <w:rPr>
                <w:sz w:val="22"/>
              </w:rPr>
              <w:t>0.72 times</w:t>
            </w:r>
          </w:p>
        </w:tc>
        <w:tc>
          <w:tcPr>
            <w:tcW w:w="1560" w:type="dxa"/>
          </w:tcPr>
          <w:p w:rsidR="0068269B" w:rsidRPr="0068269B" w:rsidRDefault="0068269B" w:rsidP="0068269B">
            <w:pPr>
              <w:pStyle w:val="JETableText"/>
              <w:jc w:val="right"/>
              <w:rPr>
                <w:sz w:val="22"/>
              </w:rPr>
            </w:pPr>
            <w:r w:rsidRPr="0068269B">
              <w:rPr>
                <w:sz w:val="22"/>
              </w:rPr>
              <w:t>160%</w:t>
            </w:r>
          </w:p>
        </w:tc>
      </w:tr>
      <w:tr w:rsidR="0068269B" w:rsidRPr="00E45BB8">
        <w:trPr>
          <w:trHeight w:val="259"/>
        </w:trPr>
        <w:tc>
          <w:tcPr>
            <w:tcW w:w="4111" w:type="dxa"/>
          </w:tcPr>
          <w:p w:rsidR="0068269B" w:rsidRPr="0068269B" w:rsidRDefault="0068269B" w:rsidP="0068269B">
            <w:pPr>
              <w:pStyle w:val="JETableText"/>
              <w:rPr>
                <w:sz w:val="22"/>
              </w:rPr>
            </w:pPr>
            <w:r w:rsidRPr="0068269B">
              <w:rPr>
                <w:sz w:val="22"/>
              </w:rPr>
              <w:t>EPS</w:t>
            </w:r>
          </w:p>
        </w:tc>
        <w:tc>
          <w:tcPr>
            <w:tcW w:w="1701" w:type="dxa"/>
          </w:tcPr>
          <w:p w:rsidR="0068269B" w:rsidRPr="0068269B" w:rsidRDefault="0068269B" w:rsidP="0068269B">
            <w:pPr>
              <w:pStyle w:val="JETableText"/>
              <w:jc w:val="right"/>
              <w:rPr>
                <w:sz w:val="22"/>
              </w:rPr>
            </w:pPr>
            <w:r w:rsidRPr="0068269B">
              <w:rPr>
                <w:sz w:val="22"/>
              </w:rPr>
              <w:t>23.44 pence</w:t>
            </w:r>
          </w:p>
        </w:tc>
        <w:tc>
          <w:tcPr>
            <w:tcW w:w="1559" w:type="dxa"/>
          </w:tcPr>
          <w:p w:rsidR="0068269B" w:rsidRPr="0068269B" w:rsidRDefault="0068269B" w:rsidP="0068269B">
            <w:pPr>
              <w:pStyle w:val="JETableText"/>
              <w:jc w:val="right"/>
              <w:rPr>
                <w:sz w:val="22"/>
              </w:rPr>
            </w:pPr>
            <w:r w:rsidRPr="0068269B">
              <w:rPr>
                <w:sz w:val="22"/>
              </w:rPr>
              <w:t>20.03 pence</w:t>
            </w:r>
          </w:p>
        </w:tc>
        <w:tc>
          <w:tcPr>
            <w:tcW w:w="1560" w:type="dxa"/>
          </w:tcPr>
          <w:p w:rsidR="0068269B" w:rsidRPr="0068269B" w:rsidRDefault="0068269B" w:rsidP="0068269B">
            <w:pPr>
              <w:pStyle w:val="JETableText"/>
              <w:jc w:val="right"/>
              <w:rPr>
                <w:sz w:val="22"/>
              </w:rPr>
            </w:pPr>
            <w:r w:rsidRPr="0068269B">
              <w:rPr>
                <w:sz w:val="22"/>
              </w:rPr>
              <w:t>17%</w:t>
            </w:r>
          </w:p>
        </w:tc>
      </w:tr>
    </w:tbl>
    <w:p w:rsidR="0068269B" w:rsidRDefault="0068269B" w:rsidP="0068269B"/>
    <w:p w:rsidR="0068269B" w:rsidRDefault="0068269B" w:rsidP="0068269B">
      <w:pPr>
        <w:pStyle w:val="JEBodyText"/>
      </w:pPr>
      <w:r>
        <w:t xml:space="preserve">Although </w:t>
      </w:r>
      <w:r w:rsidRPr="0068269B">
        <w:rPr>
          <w:b/>
        </w:rPr>
        <w:t>EPS</w:t>
      </w:r>
      <w:r>
        <w:t xml:space="preserve"> has increased, growth was lower than operating profit growth due to an increase in the effective rate of tax (due to timing differences and prior year adjustments).</w:t>
      </w:r>
    </w:p>
    <w:p w:rsidR="0068269B" w:rsidRDefault="0068269B" w:rsidP="0068269B">
      <w:pPr>
        <w:pStyle w:val="JEBodyText"/>
      </w:pPr>
      <w:r>
        <w:t xml:space="preserve">The rise in </w:t>
      </w:r>
      <w:r w:rsidRPr="0068269B">
        <w:rPr>
          <w:b/>
        </w:rPr>
        <w:t>PE ratio</w:t>
      </w:r>
      <w:r>
        <w:t xml:space="preserve"> reflected increased investor confidence. However the shares are listed in the relatively illiquid AIM stock market, which can exaggerate share price movements.</w:t>
      </w:r>
    </w:p>
    <w:p w:rsidR="0068269B" w:rsidRDefault="0068269B" w:rsidP="0068269B">
      <w:pPr>
        <w:pStyle w:val="JEBodyText"/>
      </w:pPr>
      <w:r w:rsidRPr="0068269B">
        <w:rPr>
          <w:b/>
        </w:rPr>
        <w:t>ROSE</w:t>
      </w:r>
      <w:r>
        <w:t xml:space="preserve"> increased slightly because of higher earnings. This improvement may explain the higher investor confidence reflected in the PE ratio.</w:t>
      </w:r>
    </w:p>
    <w:p w:rsidR="0068269B" w:rsidRDefault="0068269B" w:rsidP="000D19B9">
      <w:pPr>
        <w:pStyle w:val="JEBodyText"/>
        <w:keepNext/>
        <w:keepLines/>
      </w:pPr>
      <w:r w:rsidRPr="0068269B">
        <w:rPr>
          <w:b/>
        </w:rPr>
        <w:lastRenderedPageBreak/>
        <w:t xml:space="preserve">Dividend cover </w:t>
      </w:r>
      <w:r>
        <w:t>post-exceptional items improved from unsafe levels of below one to a much safer figure, enhancing investor confidence.  It should be noted that the majority of this improvement was due to exceptional items in 2008.</w:t>
      </w:r>
    </w:p>
    <w:p w:rsidR="0068269B" w:rsidRDefault="0068269B" w:rsidP="000D19B9">
      <w:pPr>
        <w:pStyle w:val="JEBodyText"/>
        <w:keepNext/>
        <w:keepLines/>
      </w:pPr>
      <w:r>
        <w:t>The overall increased dividend paid reflects the Board’s confidence in the business and its future growth prospects.</w:t>
      </w:r>
    </w:p>
    <w:p w:rsidR="0068269B" w:rsidRDefault="0068269B" w:rsidP="0068269B">
      <w:pPr>
        <w:pStyle w:val="Heading2"/>
      </w:pPr>
      <w:bookmarkStart w:id="18" w:name="_Toc277012902"/>
      <w:r>
        <w:t>Cashflow</w:t>
      </w:r>
      <w:bookmarkEnd w:id="18"/>
    </w:p>
    <w:p w:rsidR="0068269B" w:rsidRDefault="0068269B" w:rsidP="0068269B">
      <w:pPr>
        <w:pStyle w:val="JEBodyText"/>
      </w:pPr>
      <w:r>
        <w:t>Cash</w:t>
      </w:r>
      <w:r w:rsidR="00597EFE">
        <w:t xml:space="preserve"> balances</w:t>
      </w:r>
      <w:r>
        <w:t xml:space="preserve"> ha</w:t>
      </w:r>
      <w:r w:rsidR="00597EFE">
        <w:t>ve</w:t>
      </w:r>
      <w:r>
        <w:t xml:space="preserve"> increased 85% from £6.0m to £11.2m despite falls in interest received again due to reductions in central interest rates. </w:t>
      </w:r>
    </w:p>
    <w:p w:rsidR="0068269B" w:rsidRDefault="0068269B" w:rsidP="0068269B">
      <w:pPr>
        <w:pStyle w:val="JEBodyText"/>
      </w:pPr>
      <w:r>
        <w:t>This increase was due to:</w:t>
      </w:r>
    </w:p>
    <w:p w:rsidR="0068269B" w:rsidRDefault="0068269B" w:rsidP="0068269B">
      <w:pPr>
        <w:pStyle w:val="JEBodyBullet"/>
      </w:pPr>
      <w:r>
        <w:t>Increased operating profit.</w:t>
      </w:r>
    </w:p>
    <w:p w:rsidR="0068269B" w:rsidRDefault="0068269B" w:rsidP="0068269B">
      <w:pPr>
        <w:pStyle w:val="JEBodyBullet"/>
      </w:pPr>
      <w:r>
        <w:t xml:space="preserve">Lower levels of repurchase of company’s own shares. </w:t>
      </w:r>
    </w:p>
    <w:p w:rsidR="0068269B" w:rsidRDefault="0068269B" w:rsidP="0068269B">
      <w:pPr>
        <w:pStyle w:val="JEBodyBullet"/>
      </w:pPr>
      <w:r>
        <w:t>Significant cash outflow in 2008 for the joint-venture acquisition and settlement of pension obligations.</w:t>
      </w:r>
    </w:p>
    <w:p w:rsidR="0068269B" w:rsidRDefault="0068269B" w:rsidP="0068269B">
      <w:pPr>
        <w:pStyle w:val="JEBodyBullet"/>
      </w:pPr>
      <w:r>
        <w:t>This strong cash balance puts the company in a good financial position to enter new markets or use cash in new acquisitions.</w:t>
      </w:r>
    </w:p>
    <w:p w:rsidR="0068269B" w:rsidRDefault="000D19B9" w:rsidP="0068269B">
      <w:pPr>
        <w:pStyle w:val="Heading2"/>
      </w:pPr>
      <w:bookmarkStart w:id="19" w:name="_Toc277012903"/>
      <w:r>
        <w:t>Treatment of Exceptional I</w:t>
      </w:r>
      <w:r w:rsidR="0068269B">
        <w:t>tems</w:t>
      </w:r>
      <w:bookmarkEnd w:id="19"/>
    </w:p>
    <w:p w:rsidR="0068269B" w:rsidRDefault="0068269B" w:rsidP="0068269B">
      <w:pPr>
        <w:pStyle w:val="JEBodyBullet"/>
      </w:pPr>
      <w:r>
        <w:t>2009 (£0.3m), 2008 (£0.2m) dispense operation restructuring.</w:t>
      </w:r>
    </w:p>
    <w:p w:rsidR="0068269B" w:rsidRDefault="0068269B" w:rsidP="0068269B">
      <w:pPr>
        <w:pStyle w:val="JEBodyBullet"/>
      </w:pPr>
      <w:r>
        <w:t>2008 (£5.9m) soft drinks portfolio review.</w:t>
      </w:r>
    </w:p>
    <w:p w:rsidR="0068269B" w:rsidRDefault="0068269B" w:rsidP="0068269B">
      <w:pPr>
        <w:pStyle w:val="JEBodyText"/>
      </w:pPr>
      <w:r>
        <w:t xml:space="preserve">Analysis is pre-exceptional items to allow more relevant year-on-year comparisons.   </w:t>
      </w:r>
    </w:p>
    <w:p w:rsidR="0068269B" w:rsidRDefault="0068269B" w:rsidP="0068269B">
      <w:pPr>
        <w:pStyle w:val="JEBodyText"/>
      </w:pPr>
      <w:r>
        <w:t>If there were another dispense operation restructure cost in 2010 we would however look to re-assess this.</w:t>
      </w:r>
    </w:p>
    <w:p w:rsidR="0068269B" w:rsidRDefault="000D19B9" w:rsidP="0068269B">
      <w:pPr>
        <w:pStyle w:val="Heading2"/>
      </w:pPr>
      <w:bookmarkStart w:id="20" w:name="_Toc277012904"/>
      <w:r>
        <w:t>Additional Information to Improve A</w:t>
      </w:r>
      <w:r w:rsidR="0068269B">
        <w:t>nalysis</w:t>
      </w:r>
      <w:bookmarkEnd w:id="20"/>
    </w:p>
    <w:p w:rsidR="0068269B" w:rsidRDefault="0068269B" w:rsidP="0068269B">
      <w:pPr>
        <w:pStyle w:val="JEBodyBullet"/>
      </w:pPr>
      <w:r>
        <w:t xml:space="preserve">Industry benchmarking would allow better comparison to </w:t>
      </w:r>
      <w:r w:rsidR="00866DCA">
        <w:t>Nichols’ market sector.</w:t>
      </w:r>
    </w:p>
    <w:p w:rsidR="0068269B" w:rsidRDefault="0068269B" w:rsidP="0068269B">
      <w:pPr>
        <w:pStyle w:val="JEBodyBullet"/>
      </w:pPr>
      <w:r>
        <w:t>Analyst reports forecasting future performance for the drinks market sector.</w:t>
      </w:r>
    </w:p>
    <w:p w:rsidR="0068269B" w:rsidRDefault="0068269B" w:rsidP="0068269B">
      <w:pPr>
        <w:pStyle w:val="JEBodyBullet"/>
      </w:pPr>
      <w:r>
        <w:t>Board minutes to understand directors’ rationale for low gearing when indicating optimism about future performance and to analyse future strategy (currently only analysing past performance).</w:t>
      </w:r>
    </w:p>
    <w:p w:rsidR="0068269B" w:rsidRDefault="0068269B" w:rsidP="0068269B">
      <w:pPr>
        <w:pStyle w:val="JEBodyBullet"/>
      </w:pPr>
      <w:r>
        <w:t>Market valuation of fixed assets. Undervalued assets could overstate ROCE so independent valuations could be sought.</w:t>
      </w:r>
    </w:p>
    <w:p w:rsidR="0068269B" w:rsidRDefault="00050B3A" w:rsidP="0068269B">
      <w:pPr>
        <w:pStyle w:val="JEBodyBullet"/>
      </w:pPr>
      <w:r>
        <w:t>Detailed financials prior to 2008 to provide context around perceived improvements.</w:t>
      </w:r>
    </w:p>
    <w:p w:rsidR="000A0A25" w:rsidRPr="005064C7" w:rsidRDefault="0068269B">
      <w:pPr>
        <w:pStyle w:val="JEBodyBullet"/>
        <w:rPr>
          <w:lang w:val="en-US"/>
        </w:rPr>
        <w:sectPr w:rsidR="000A0A25" w:rsidRPr="005064C7" w:rsidSect="001A568E">
          <w:headerReference w:type="default" r:id="rId12"/>
          <w:footerReference w:type="default" r:id="rId13"/>
          <w:headerReference w:type="first" r:id="rId14"/>
          <w:pgSz w:w="11906" w:h="16838"/>
          <w:pgMar w:top="1134" w:right="1440" w:bottom="851" w:left="1440" w:header="709" w:footer="193" w:gutter="0"/>
          <w:cols w:space="708"/>
          <w:docGrid w:linePitch="360"/>
        </w:sectPr>
      </w:pPr>
      <w:r>
        <w:t>Information about potential restructuring costs following acquisitions.</w:t>
      </w:r>
    </w:p>
    <w:p w:rsidR="000A0A25" w:rsidRDefault="000A0A25" w:rsidP="0085512F">
      <w:pPr>
        <w:pStyle w:val="Appendix"/>
      </w:pPr>
      <w:bookmarkStart w:id="21" w:name="_Toc277012905"/>
      <w:r w:rsidRPr="00EC74B8">
        <w:lastRenderedPageBreak/>
        <w:t xml:space="preserve">Appendix </w:t>
      </w:r>
      <w:r w:rsidR="005E620B">
        <w:t>A</w:t>
      </w:r>
      <w:r w:rsidRPr="00EC74B8">
        <w:t xml:space="preserve"> </w:t>
      </w:r>
      <w:bookmarkStart w:id="22" w:name="OLE_LINK4"/>
      <w:r w:rsidRPr="00EC74B8">
        <w:t>–</w:t>
      </w:r>
      <w:bookmarkEnd w:id="22"/>
      <w:r w:rsidRPr="00EC74B8">
        <w:t xml:space="preserve"> Financial Calculations</w:t>
      </w:r>
      <w:bookmarkEnd w:id="21"/>
    </w:p>
    <w:p w:rsidR="000A0A25" w:rsidRDefault="000A0A25" w:rsidP="000A0A25">
      <w:pPr>
        <w:rPr>
          <w:lang w:val="en-US"/>
        </w:rPr>
      </w:pPr>
    </w:p>
    <w:tbl>
      <w:tblPr>
        <w:tblW w:w="14188" w:type="dxa"/>
        <w:tblInd w:w="93" w:type="dxa"/>
        <w:tblLook w:val="04A0"/>
      </w:tblPr>
      <w:tblGrid>
        <w:gridCol w:w="360"/>
        <w:gridCol w:w="2540"/>
        <w:gridCol w:w="240"/>
        <w:gridCol w:w="860"/>
        <w:gridCol w:w="660"/>
        <w:gridCol w:w="520"/>
        <w:gridCol w:w="300"/>
        <w:gridCol w:w="706"/>
        <w:gridCol w:w="360"/>
        <w:gridCol w:w="706"/>
        <w:gridCol w:w="296"/>
        <w:gridCol w:w="483"/>
        <w:gridCol w:w="310"/>
        <w:gridCol w:w="720"/>
        <w:gridCol w:w="739"/>
        <w:gridCol w:w="340"/>
        <w:gridCol w:w="706"/>
        <w:gridCol w:w="360"/>
        <w:gridCol w:w="706"/>
        <w:gridCol w:w="296"/>
        <w:gridCol w:w="483"/>
        <w:gridCol w:w="310"/>
        <w:gridCol w:w="828"/>
        <w:gridCol w:w="739"/>
        <w:gridCol w:w="222"/>
        <w:gridCol w:w="1206"/>
      </w:tblGrid>
      <w:tr w:rsidR="004F610A"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20"/>
                <w:szCs w:val="20"/>
                <w:lang w:eastAsia="en-GB"/>
              </w:rPr>
            </w:pPr>
            <w:r w:rsidRPr="004F610A">
              <w:rPr>
                <w:rFonts w:cs="Arial"/>
                <w:b/>
                <w:bCs/>
                <w:sz w:val="20"/>
                <w:szCs w:val="20"/>
                <w:lang w:eastAsia="en-GB"/>
              </w:rPr>
              <w:t>Profitability</w:t>
            </w: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620" w:type="dxa"/>
            <w:gridSpan w:val="8"/>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2009</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3620" w:type="dxa"/>
            <w:gridSpan w:val="8"/>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2008</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C56FD5" w:rsidP="004F610A">
            <w:pPr>
              <w:jc w:val="center"/>
              <w:rPr>
                <w:rFonts w:cs="Arial"/>
                <w:b/>
                <w:bCs/>
                <w:color w:val="AD4517"/>
                <w:sz w:val="20"/>
                <w:szCs w:val="20"/>
                <w:lang w:eastAsia="en-GB"/>
              </w:rPr>
            </w:pPr>
            <w:r>
              <w:rPr>
                <w:rFonts w:cs="Arial"/>
                <w:b/>
                <w:bCs/>
                <w:color w:val="AD4517"/>
                <w:sz w:val="20"/>
                <w:szCs w:val="20"/>
                <w:lang w:eastAsia="en-GB"/>
              </w:rPr>
              <w:t xml:space="preserve">Relative </w:t>
            </w:r>
            <w:r w:rsidR="004F610A" w:rsidRPr="004F610A">
              <w:rPr>
                <w:rFonts w:cs="Arial"/>
                <w:b/>
                <w:bCs/>
                <w:color w:val="AD4517"/>
                <w:sz w:val="20"/>
                <w:szCs w:val="20"/>
                <w:lang w:eastAsia="en-GB"/>
              </w:rPr>
              <w:t>Movement</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Return of capital employed (ROCE)</w:t>
            </w: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Operating profit</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12,501</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43%</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9,804</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39%</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9%</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Capital employed</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42,932</w:t>
            </w: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13,631</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36,613</w:t>
            </w: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11,625</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Asset turnover</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Sales revenue</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72,378</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2.47</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times</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56,221</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2.25</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times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10%</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Capital employed</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960" w:type="dxa"/>
            <w:gridSpan w:val="2"/>
            <w:tcBorders>
              <w:top w:val="single" w:sz="8" w:space="0" w:color="auto"/>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42,932</w:t>
            </w:r>
          </w:p>
        </w:tc>
        <w:tc>
          <w:tcPr>
            <w:tcW w:w="580" w:type="dxa"/>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640" w:type="dxa"/>
            <w:gridSpan w:val="2"/>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13,631</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960" w:type="dxa"/>
            <w:gridSpan w:val="2"/>
            <w:tcBorders>
              <w:top w:val="single" w:sz="8" w:space="0" w:color="auto"/>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36,613</w:t>
            </w:r>
          </w:p>
        </w:tc>
        <w:tc>
          <w:tcPr>
            <w:tcW w:w="580" w:type="dxa"/>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640" w:type="dxa"/>
            <w:gridSpan w:val="2"/>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11,625</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 xml:space="preserve">Operating profit margin </w:t>
            </w: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Operating profit</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12,501</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17</w:t>
            </w:r>
            <w:r w:rsidR="00FC49A9">
              <w:rPr>
                <w:rFonts w:cs="Arial"/>
                <w:b/>
                <w:bCs/>
                <w:color w:val="16365C"/>
                <w:sz w:val="20"/>
                <w:szCs w:val="20"/>
                <w:lang w:eastAsia="en-GB"/>
              </w:rPr>
              <w:t>.3</w:t>
            </w:r>
            <w:r w:rsidRPr="004F610A">
              <w:rPr>
                <w:rFonts w:cs="Arial"/>
                <w:b/>
                <w:bCs/>
                <w:color w:val="16365C"/>
                <w:sz w:val="20"/>
                <w:szCs w:val="20"/>
                <w:lang w:eastAsia="en-GB"/>
              </w:rPr>
              <w:t>%</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9,804</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17</w:t>
            </w:r>
            <w:r w:rsidR="00FC49A9">
              <w:rPr>
                <w:rFonts w:cs="Arial"/>
                <w:b/>
                <w:bCs/>
                <w:color w:val="4F6228"/>
                <w:sz w:val="20"/>
                <w:szCs w:val="20"/>
                <w:lang w:eastAsia="en-GB"/>
              </w:rPr>
              <w:t>.4</w:t>
            </w:r>
            <w:r w:rsidRPr="004F610A">
              <w:rPr>
                <w:rFonts w:cs="Arial"/>
                <w:b/>
                <w:bCs/>
                <w:color w:val="4F6228"/>
                <w:sz w:val="20"/>
                <w:szCs w:val="20"/>
                <w:lang w:eastAsia="en-GB"/>
              </w:rPr>
              <w:t>%</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040" w:type="dxa"/>
            <w:gridSpan w:val="3"/>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Sales revenue</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72,378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56,221</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Gross profit margin</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Gross profit</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36,180</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50%</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28,701</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51%</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-2%</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Sales revenue</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72,378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56,221</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20"/>
                <w:szCs w:val="20"/>
                <w:lang w:eastAsia="en-GB"/>
              </w:rPr>
            </w:pPr>
            <w:r w:rsidRPr="004F610A">
              <w:rPr>
                <w:rFonts w:cs="Arial"/>
                <w:b/>
                <w:bCs/>
                <w:sz w:val="20"/>
                <w:szCs w:val="20"/>
                <w:lang w:eastAsia="en-GB"/>
              </w:rPr>
              <w:t>Efficiency</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Inventory turnover period</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Inventory</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2,694</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365</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27</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days</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2,758</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365</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37</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days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-26%</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Cost of sales</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36,198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27,520</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Receivables collection period</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Trades receivables</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13,517</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365</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68</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days</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12,215</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365</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79</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days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-14%</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Credit sales revenue</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72,378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56,221</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Payables payment period</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Trades payables</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3,866</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365</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39</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days</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2,264</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365</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30</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days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30%</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Credit purchases</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1540" w:type="dxa"/>
            <w:gridSpan w:val="3"/>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36,198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1540" w:type="dxa"/>
            <w:gridSpan w:val="3"/>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27,520</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Cash operating cycle</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vMerge w:val="restart"/>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Inventory turnover pe</w:t>
            </w:r>
            <w:r>
              <w:rPr>
                <w:rFonts w:cs="Arial"/>
                <w:sz w:val="16"/>
                <w:szCs w:val="16"/>
                <w:lang w:eastAsia="en-GB"/>
              </w:rPr>
              <w:t>riod + receivables collection period</w:t>
            </w:r>
            <w:r w:rsidRPr="004F610A">
              <w:rPr>
                <w:rFonts w:cs="Arial"/>
                <w:sz w:val="16"/>
                <w:szCs w:val="16"/>
                <w:lang w:eastAsia="en-GB"/>
              </w:rPr>
              <w:t xml:space="preserve"> - payables payment p</w:t>
            </w:r>
            <w:r>
              <w:rPr>
                <w:rFonts w:cs="Arial"/>
                <w:sz w:val="16"/>
                <w:szCs w:val="16"/>
                <w:lang w:eastAsia="en-GB"/>
              </w:rPr>
              <w:t>eriod</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27</w:t>
            </w: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68</w:t>
            </w: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39</w:t>
            </w: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56</w:t>
            </w: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days</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37</w:t>
            </w: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79</w:t>
            </w: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30</w:t>
            </w: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86</w:t>
            </w: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days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-34%</w:t>
            </w:r>
          </w:p>
        </w:tc>
      </w:tr>
      <w:tr w:rsidR="00C56FD5" w:rsidRPr="004F610A">
        <w:trPr>
          <w:trHeight w:val="55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vMerge/>
            <w:tcBorders>
              <w:top w:val="nil"/>
              <w:left w:val="nil"/>
              <w:bottom w:val="nil"/>
              <w:right w:val="nil"/>
            </w:tcBorders>
            <w:vAlign w:val="center"/>
          </w:tcPr>
          <w:p w:rsidR="004F610A" w:rsidRPr="004F610A" w:rsidRDefault="004F610A" w:rsidP="004F610A">
            <w:pP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4F610A"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Non-current asset turnover</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Sales revenue</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72,378</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5.06</w:t>
            </w:r>
            <w:r w:rsidR="000C3B32">
              <w:rPr>
                <w:rFonts w:cs="Arial"/>
                <w:b/>
                <w:bCs/>
                <w:color w:val="16365C"/>
                <w:sz w:val="20"/>
                <w:szCs w:val="20"/>
                <w:lang w:eastAsia="en-GB"/>
              </w:rPr>
              <w:t xml:space="preserve"> times</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56,221</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3.95</w:t>
            </w:r>
            <w:r w:rsidR="000C3B32">
              <w:rPr>
                <w:rFonts w:cs="Arial"/>
                <w:b/>
                <w:bCs/>
                <w:color w:val="4F6228"/>
                <w:sz w:val="20"/>
                <w:szCs w:val="20"/>
                <w:lang w:eastAsia="en-GB"/>
              </w:rPr>
              <w:t xml:space="preserve"> times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28%</w:t>
            </w:r>
          </w:p>
        </w:tc>
      </w:tr>
      <w:tr w:rsidR="004F610A"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Non-current assets</w:t>
            </w: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14,293</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14,232</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20"/>
                <w:szCs w:val="20"/>
                <w:lang w:eastAsia="en-GB"/>
              </w:rPr>
            </w:pPr>
            <w:r w:rsidRPr="004F610A">
              <w:rPr>
                <w:rFonts w:cs="Arial"/>
                <w:b/>
                <w:bCs/>
                <w:sz w:val="20"/>
                <w:szCs w:val="20"/>
                <w:lang w:eastAsia="en-GB"/>
              </w:rPr>
              <w:t>Liquidity</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Current ratio</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Current assets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28,639</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2.10</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22,381</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1.93</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9%</w:t>
            </w: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Current liabilities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13,631</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11,625</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Acid test ra</w:t>
            </w:r>
            <w:r w:rsidR="000C3B32">
              <w:rPr>
                <w:rFonts w:cs="Arial"/>
                <w:b/>
                <w:bCs/>
                <w:sz w:val="16"/>
                <w:szCs w:val="16"/>
                <w:lang w:eastAsia="en-GB"/>
              </w:rPr>
              <w:t>t</w:t>
            </w:r>
            <w:r w:rsidRPr="004F610A">
              <w:rPr>
                <w:rFonts w:cs="Arial"/>
                <w:b/>
                <w:bCs/>
                <w:sz w:val="16"/>
                <w:szCs w:val="16"/>
                <w:lang w:eastAsia="en-GB"/>
              </w:rPr>
              <w:t>io</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Curr</w:t>
            </w:r>
            <w:r>
              <w:rPr>
                <w:rFonts w:cs="Arial"/>
                <w:sz w:val="16"/>
                <w:szCs w:val="16"/>
                <w:lang w:eastAsia="en-GB"/>
              </w:rPr>
              <w:t>ent</w:t>
            </w:r>
            <w:r w:rsidRPr="004F610A">
              <w:rPr>
                <w:rFonts w:cs="Arial"/>
                <w:sz w:val="16"/>
                <w:szCs w:val="16"/>
                <w:lang w:eastAsia="en-GB"/>
              </w:rPr>
              <w:t xml:space="preserve"> assets - Inventory</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96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28,639</w:t>
            </w:r>
          </w:p>
        </w:tc>
        <w:tc>
          <w:tcPr>
            <w:tcW w:w="580" w:type="dxa"/>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64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2,694</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1.90</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96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22,381</w:t>
            </w:r>
          </w:p>
        </w:tc>
        <w:tc>
          <w:tcPr>
            <w:tcW w:w="580" w:type="dxa"/>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64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2,758</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1.69</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13%</w:t>
            </w: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Current liabilities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13,631</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11,625</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rsidTr="00D378BB">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20"/>
                <w:szCs w:val="20"/>
                <w:lang w:eastAsia="en-GB"/>
              </w:rPr>
            </w:pPr>
            <w:r w:rsidRPr="004F610A">
              <w:rPr>
                <w:rFonts w:cs="Arial"/>
                <w:b/>
                <w:bCs/>
                <w:sz w:val="20"/>
                <w:szCs w:val="20"/>
                <w:lang w:eastAsia="en-GB"/>
              </w:rPr>
              <w:t>Financial Structure</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vMerge w:val="restart"/>
            <w:tcBorders>
              <w:top w:val="nil"/>
              <w:left w:val="nil"/>
              <w:bottom w:val="single" w:sz="8" w:space="0" w:color="000000"/>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Funds that requi</w:t>
            </w:r>
            <w:r w:rsidR="00D378BB">
              <w:rPr>
                <w:rFonts w:cs="Arial"/>
                <w:sz w:val="16"/>
                <w:szCs w:val="16"/>
                <w:lang w:eastAsia="en-GB"/>
              </w:rPr>
              <w:t>re  regular</w:t>
            </w:r>
            <w:r w:rsidRPr="004F610A">
              <w:rPr>
                <w:rFonts w:cs="Arial"/>
                <w:sz w:val="16"/>
                <w:szCs w:val="16"/>
                <w:lang w:eastAsia="en-GB"/>
              </w:rPr>
              <w:t xml:space="preserve"> payments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rsidTr="00D378BB">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Gearing ratio</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vMerge/>
            <w:tcBorders>
              <w:top w:val="single" w:sz="8" w:space="0" w:color="000000"/>
              <w:left w:val="nil"/>
              <w:bottom w:val="single" w:sz="8" w:space="0" w:color="000000"/>
              <w:right w:val="nil"/>
            </w:tcBorders>
            <w:vAlign w:val="center"/>
          </w:tcPr>
          <w:p w:rsidR="004F610A" w:rsidRPr="004F610A" w:rsidRDefault="004F610A" w:rsidP="004F610A">
            <w:pP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4,744</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16%</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3,567</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14%</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13%</w:t>
            </w:r>
          </w:p>
        </w:tc>
      </w:tr>
      <w:tr w:rsidR="00C56FD5" w:rsidRPr="004F610A" w:rsidTr="00D378BB">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single" w:sz="8" w:space="0" w:color="000000"/>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Funds from all sources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4,744</w:t>
            </w: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24,458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3,567</w:t>
            </w: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21,266</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Interest cover</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D378BB">
            <w:pPr>
              <w:jc w:val="center"/>
              <w:rPr>
                <w:rFonts w:cs="Arial"/>
                <w:sz w:val="16"/>
                <w:szCs w:val="16"/>
                <w:lang w:eastAsia="en-GB"/>
              </w:rPr>
            </w:pPr>
            <w:r w:rsidRPr="004F610A">
              <w:rPr>
                <w:rFonts w:cs="Arial"/>
                <w:sz w:val="16"/>
                <w:szCs w:val="16"/>
                <w:lang w:eastAsia="en-GB"/>
              </w:rPr>
              <w:t>Op</w:t>
            </w:r>
            <w:r>
              <w:rPr>
                <w:rFonts w:cs="Arial"/>
                <w:sz w:val="16"/>
                <w:szCs w:val="16"/>
                <w:lang w:eastAsia="en-GB"/>
              </w:rPr>
              <w:t xml:space="preserve">erating </w:t>
            </w:r>
            <w:r w:rsidRPr="004F610A">
              <w:rPr>
                <w:rFonts w:cs="Arial"/>
                <w:sz w:val="16"/>
                <w:szCs w:val="16"/>
                <w:lang w:eastAsia="en-GB"/>
              </w:rPr>
              <w:t>profit + Int</w:t>
            </w:r>
            <w:r w:rsidR="00D378BB">
              <w:rPr>
                <w:rFonts w:cs="Arial"/>
                <w:sz w:val="16"/>
                <w:szCs w:val="16"/>
                <w:lang w:eastAsia="en-GB"/>
              </w:rPr>
              <w:t>erest</w:t>
            </w:r>
            <w:r w:rsidRPr="004F610A">
              <w:rPr>
                <w:rFonts w:cs="Arial"/>
                <w:sz w:val="16"/>
                <w:szCs w:val="16"/>
                <w:lang w:eastAsia="en-GB"/>
              </w:rPr>
              <w:t xml:space="preserve"> receivable</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96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12,501</w:t>
            </w:r>
          </w:p>
        </w:tc>
        <w:tc>
          <w:tcPr>
            <w:tcW w:w="580" w:type="dxa"/>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64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78</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34.94</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times</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96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9,804</w:t>
            </w:r>
          </w:p>
        </w:tc>
        <w:tc>
          <w:tcPr>
            <w:tcW w:w="580" w:type="dxa"/>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640" w:type="dxa"/>
            <w:gridSpan w:val="2"/>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288</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186.89</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times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-81%</w:t>
            </w: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Interest payable</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360</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54</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25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510"/>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Default="004F610A" w:rsidP="004F610A">
            <w:pPr>
              <w:rPr>
                <w:rFonts w:cs="Arial"/>
                <w:b/>
                <w:bCs/>
                <w:sz w:val="20"/>
                <w:szCs w:val="20"/>
                <w:lang w:eastAsia="en-GB"/>
              </w:rPr>
            </w:pPr>
          </w:p>
          <w:p w:rsidR="004F610A" w:rsidRDefault="004F610A" w:rsidP="004F610A">
            <w:pPr>
              <w:rPr>
                <w:rFonts w:cs="Arial"/>
                <w:b/>
                <w:bCs/>
                <w:sz w:val="20"/>
                <w:szCs w:val="20"/>
                <w:lang w:eastAsia="en-GB"/>
              </w:rPr>
            </w:pPr>
          </w:p>
          <w:p w:rsidR="004F610A" w:rsidRDefault="004F610A" w:rsidP="004F610A">
            <w:pPr>
              <w:rPr>
                <w:rFonts w:cs="Arial"/>
                <w:b/>
                <w:bCs/>
                <w:sz w:val="20"/>
                <w:szCs w:val="20"/>
                <w:lang w:eastAsia="en-GB"/>
              </w:rPr>
            </w:pPr>
          </w:p>
          <w:p w:rsidR="004F610A" w:rsidRDefault="004F610A" w:rsidP="004F610A">
            <w:pPr>
              <w:rPr>
                <w:rFonts w:cs="Arial"/>
                <w:b/>
                <w:bCs/>
                <w:sz w:val="20"/>
                <w:szCs w:val="20"/>
                <w:lang w:eastAsia="en-GB"/>
              </w:rPr>
            </w:pPr>
          </w:p>
          <w:p w:rsidR="004F610A" w:rsidRDefault="004F610A" w:rsidP="004F610A">
            <w:pPr>
              <w:rPr>
                <w:rFonts w:cs="Arial"/>
                <w:b/>
                <w:bCs/>
                <w:sz w:val="20"/>
                <w:szCs w:val="20"/>
                <w:lang w:eastAsia="en-GB"/>
              </w:rPr>
            </w:pPr>
          </w:p>
          <w:p w:rsidR="004F610A" w:rsidRPr="004F610A" w:rsidRDefault="004F610A" w:rsidP="004F610A">
            <w:pPr>
              <w:rPr>
                <w:rFonts w:cs="Arial"/>
                <w:b/>
                <w:bCs/>
                <w:sz w:val="20"/>
                <w:szCs w:val="20"/>
                <w:lang w:eastAsia="en-GB"/>
              </w:rPr>
            </w:pPr>
            <w:r w:rsidRPr="004F610A">
              <w:rPr>
                <w:rFonts w:cs="Arial"/>
                <w:b/>
                <w:bCs/>
                <w:sz w:val="20"/>
                <w:szCs w:val="20"/>
                <w:lang w:eastAsia="en-GB"/>
              </w:rPr>
              <w:lastRenderedPageBreak/>
              <w:t>Shareholder investment ratios</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Return on shareholders' equity</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Earnings for the year</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8,568</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35%</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7,306</w:t>
            </w:r>
          </w:p>
        </w:tc>
        <w:tc>
          <w:tcPr>
            <w:tcW w:w="2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x</w:t>
            </w:r>
          </w:p>
        </w:tc>
        <w:tc>
          <w:tcPr>
            <w:tcW w:w="44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100</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34%</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2%</w:t>
            </w: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Total equity</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24,458</w:t>
            </w:r>
          </w:p>
        </w:tc>
        <w:tc>
          <w:tcPr>
            <w:tcW w:w="20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16365C"/>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1540" w:type="dxa"/>
            <w:gridSpan w:val="3"/>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21,266</w:t>
            </w:r>
          </w:p>
        </w:tc>
        <w:tc>
          <w:tcPr>
            <w:tcW w:w="20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440" w:type="dxa"/>
            <w:vMerge/>
            <w:tcBorders>
              <w:top w:val="nil"/>
              <w:left w:val="nil"/>
              <w:bottom w:val="nil"/>
              <w:right w:val="nil"/>
            </w:tcBorders>
            <w:vAlign w:val="center"/>
          </w:tcPr>
          <w:p w:rsidR="004F610A" w:rsidRPr="004F610A" w:rsidRDefault="004F610A" w:rsidP="004F610A">
            <w:pPr>
              <w:rPr>
                <w:rFonts w:cs="Arial"/>
                <w:color w:val="4F6228"/>
                <w:sz w:val="16"/>
                <w:szCs w:val="16"/>
                <w:lang w:eastAsia="en-GB"/>
              </w:rPr>
            </w:pP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P.E. ratio</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Market price share</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257</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10.96</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204</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10.18</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8%</w:t>
            </w: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EPS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23</w:t>
            </w:r>
            <w:r w:rsidR="00592FC2">
              <w:rPr>
                <w:rFonts w:cs="Arial"/>
                <w:color w:val="16365C"/>
                <w:sz w:val="16"/>
                <w:szCs w:val="16"/>
                <w:lang w:eastAsia="en-GB"/>
              </w:rPr>
              <w:t>.44</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20</w:t>
            </w:r>
            <w:r w:rsidR="00592FC2">
              <w:rPr>
                <w:rFonts w:cs="Arial"/>
                <w:color w:val="4F6228"/>
                <w:sz w:val="16"/>
                <w:szCs w:val="16"/>
                <w:lang w:eastAsia="en-GB"/>
              </w:rPr>
              <w:t>.03</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1220" w:type="dxa"/>
            <w:gridSpan w:val="2"/>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480"/>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Ordinary dividend cover</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Earnings for the year</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8,354</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r w:rsidRPr="004F610A">
              <w:rPr>
                <w:rFonts w:cs="Arial"/>
                <w:b/>
                <w:bCs/>
                <w:color w:val="16365C"/>
                <w:sz w:val="20"/>
                <w:szCs w:val="20"/>
                <w:lang w:eastAsia="en-GB"/>
              </w:rPr>
              <w:t>1.88</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times</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2180" w:type="dxa"/>
            <w:gridSpan w:val="5"/>
            <w:tcBorders>
              <w:top w:val="nil"/>
              <w:left w:val="nil"/>
              <w:bottom w:val="single" w:sz="8" w:space="0" w:color="auto"/>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2,957</w:t>
            </w:r>
          </w:p>
        </w:tc>
        <w:tc>
          <w:tcPr>
            <w:tcW w:w="22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720" w:type="dxa"/>
            <w:vMerge w:val="restart"/>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r w:rsidRPr="004F610A">
              <w:rPr>
                <w:rFonts w:cs="Arial"/>
                <w:b/>
                <w:bCs/>
                <w:color w:val="4F6228"/>
                <w:sz w:val="20"/>
                <w:szCs w:val="20"/>
                <w:lang w:eastAsia="en-GB"/>
              </w:rPr>
              <w:t>0.72</w:t>
            </w:r>
          </w:p>
        </w:tc>
        <w:tc>
          <w:tcPr>
            <w:tcW w:w="500"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times</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val="restart"/>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160%</w:t>
            </w:r>
          </w:p>
        </w:tc>
      </w:tr>
      <w:tr w:rsidR="00C56FD5" w:rsidRPr="004F610A">
        <w:trPr>
          <w:trHeight w:val="480"/>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i/>
                <w:iCs/>
                <w:sz w:val="16"/>
                <w:szCs w:val="16"/>
                <w:lang w:eastAsia="en-GB"/>
              </w:rPr>
            </w:pPr>
            <w:r w:rsidRPr="004F610A">
              <w:rPr>
                <w:rFonts w:cs="Arial"/>
                <w:b/>
                <w:bCs/>
                <w:i/>
                <w:iCs/>
                <w:sz w:val="16"/>
                <w:szCs w:val="16"/>
                <w:lang w:eastAsia="en-GB"/>
              </w:rPr>
              <w:t>(post exceptional items)</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Dividend for the year (interim + final)</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960" w:type="dxa"/>
            <w:gridSpan w:val="2"/>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1,482</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640" w:type="dxa"/>
            <w:gridSpan w:val="2"/>
            <w:tcBorders>
              <w:top w:val="single" w:sz="8" w:space="0" w:color="auto"/>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2,963</w:t>
            </w:r>
          </w:p>
        </w:tc>
        <w:tc>
          <w:tcPr>
            <w:tcW w:w="220" w:type="dxa"/>
            <w:vMerge/>
            <w:tcBorders>
              <w:top w:val="nil"/>
              <w:left w:val="nil"/>
              <w:bottom w:val="nil"/>
              <w:right w:val="nil"/>
            </w:tcBorders>
            <w:vAlign w:val="center"/>
          </w:tcPr>
          <w:p w:rsidR="004F610A" w:rsidRPr="004F610A" w:rsidRDefault="004F610A" w:rsidP="004F610A">
            <w:pPr>
              <w:rPr>
                <w:rFonts w:cs="Arial"/>
                <w:b/>
                <w:bCs/>
                <w:color w:val="16365C"/>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960" w:type="dxa"/>
            <w:gridSpan w:val="2"/>
            <w:tcBorders>
              <w:top w:val="single" w:sz="8" w:space="0" w:color="auto"/>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1,374</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640" w:type="dxa"/>
            <w:gridSpan w:val="2"/>
            <w:tcBorders>
              <w:top w:val="single" w:sz="8" w:space="0" w:color="auto"/>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2,711</w:t>
            </w:r>
          </w:p>
        </w:tc>
        <w:tc>
          <w:tcPr>
            <w:tcW w:w="220" w:type="dxa"/>
            <w:vMerge/>
            <w:tcBorders>
              <w:top w:val="nil"/>
              <w:left w:val="nil"/>
              <w:bottom w:val="nil"/>
              <w:right w:val="nil"/>
            </w:tcBorders>
            <w:vAlign w:val="center"/>
          </w:tcPr>
          <w:p w:rsidR="004F610A" w:rsidRPr="004F610A" w:rsidRDefault="004F610A" w:rsidP="004F610A">
            <w:pPr>
              <w:rPr>
                <w:rFonts w:cs="Arial"/>
                <w:b/>
                <w:bCs/>
                <w:color w:val="4F6228"/>
                <w:sz w:val="16"/>
                <w:szCs w:val="16"/>
                <w:lang w:eastAsia="en-GB"/>
              </w:rPr>
            </w:pPr>
          </w:p>
        </w:tc>
        <w:tc>
          <w:tcPr>
            <w:tcW w:w="72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500" w:type="dxa"/>
            <w:vMerge/>
            <w:tcBorders>
              <w:top w:val="nil"/>
              <w:left w:val="nil"/>
              <w:bottom w:val="nil"/>
              <w:right w:val="nil"/>
            </w:tcBorders>
            <w:vAlign w:val="center"/>
          </w:tcPr>
          <w:p w:rsidR="004F610A" w:rsidRPr="004F610A" w:rsidRDefault="004F610A" w:rsidP="004F610A">
            <w:pP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vMerge/>
            <w:tcBorders>
              <w:top w:val="nil"/>
              <w:left w:val="nil"/>
              <w:bottom w:val="nil"/>
              <w:right w:val="nil"/>
            </w:tcBorders>
            <w:vAlign w:val="center"/>
          </w:tcPr>
          <w:p w:rsidR="004F610A" w:rsidRPr="004F610A" w:rsidRDefault="004F610A" w:rsidP="004F610A">
            <w:pP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EPS</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single" w:sz="8" w:space="0" w:color="auto"/>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Earnings for the year</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620" w:type="dxa"/>
            <w:gridSpan w:val="8"/>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23.44</w:t>
            </w:r>
            <w:r w:rsidR="00C84F0F">
              <w:rPr>
                <w:rFonts w:cs="Arial"/>
                <w:b/>
                <w:bCs/>
                <w:color w:val="16365C"/>
                <w:sz w:val="20"/>
                <w:szCs w:val="20"/>
                <w:lang w:eastAsia="en-GB"/>
              </w:rPr>
              <w:t xml:space="preserve"> pence</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3620" w:type="dxa"/>
            <w:gridSpan w:val="8"/>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20.03</w:t>
            </w:r>
            <w:r w:rsidR="00C84F0F">
              <w:rPr>
                <w:rFonts w:cs="Arial"/>
                <w:b/>
                <w:bCs/>
                <w:color w:val="4F6228"/>
                <w:sz w:val="20"/>
                <w:szCs w:val="20"/>
                <w:lang w:eastAsia="en-GB"/>
              </w:rPr>
              <w:t xml:space="preserve"> pence</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17%</w:t>
            </w:r>
          </w:p>
        </w:tc>
      </w:tr>
      <w:tr w:rsidR="00C56FD5" w:rsidRPr="004F610A">
        <w:trPr>
          <w:trHeight w:val="6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Weighted average number of ordinary shares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20"/>
                <w:szCs w:val="20"/>
                <w:lang w:eastAsia="en-GB"/>
              </w:rPr>
            </w:pPr>
            <w:r w:rsidRPr="004F610A">
              <w:rPr>
                <w:rFonts w:cs="Arial"/>
                <w:b/>
                <w:bCs/>
                <w:sz w:val="20"/>
                <w:szCs w:val="20"/>
                <w:lang w:eastAsia="en-GB"/>
              </w:rPr>
              <w:t>Cash Flow</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C56FD5"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Free cash flow</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vMerge w:val="restart"/>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r w:rsidRPr="004F610A">
              <w:rPr>
                <w:rFonts w:cs="Arial"/>
                <w:sz w:val="16"/>
                <w:szCs w:val="16"/>
                <w:lang w:eastAsia="en-GB"/>
              </w:rPr>
              <w:t>Net cash inflow from  operating activities -  cash flows from investing activities</w:t>
            </w: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960" w:type="dxa"/>
            <w:gridSpan w:val="2"/>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11,026</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w:t>
            </w:r>
          </w:p>
        </w:tc>
        <w:tc>
          <w:tcPr>
            <w:tcW w:w="640" w:type="dxa"/>
            <w:gridSpan w:val="2"/>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r w:rsidRPr="004F610A">
              <w:rPr>
                <w:rFonts w:cs="Arial"/>
                <w:color w:val="16365C"/>
                <w:sz w:val="16"/>
                <w:szCs w:val="16"/>
                <w:lang w:eastAsia="en-GB"/>
              </w:rPr>
              <w:t>1,522</w:t>
            </w: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r w:rsidRPr="004F610A">
              <w:rPr>
                <w:rFonts w:cs="Arial"/>
                <w:b/>
                <w:bCs/>
                <w:color w:val="16365C"/>
                <w:sz w:val="16"/>
                <w:szCs w:val="16"/>
                <w:lang w:eastAsia="en-GB"/>
              </w:rPr>
              <w:t>=</w:t>
            </w:r>
          </w:p>
        </w:tc>
        <w:tc>
          <w:tcPr>
            <w:tcW w:w="1220" w:type="dxa"/>
            <w:gridSpan w:val="2"/>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9,504</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960" w:type="dxa"/>
            <w:gridSpan w:val="2"/>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6,819</w:t>
            </w: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w:t>
            </w:r>
          </w:p>
        </w:tc>
        <w:tc>
          <w:tcPr>
            <w:tcW w:w="640" w:type="dxa"/>
            <w:gridSpan w:val="2"/>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r w:rsidRPr="004F610A">
              <w:rPr>
                <w:rFonts w:cs="Arial"/>
                <w:color w:val="4F6228"/>
                <w:sz w:val="16"/>
                <w:szCs w:val="16"/>
                <w:lang w:eastAsia="en-GB"/>
              </w:rPr>
              <w:t>4,125</w:t>
            </w: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r w:rsidRPr="004F610A">
              <w:rPr>
                <w:rFonts w:cs="Arial"/>
                <w:b/>
                <w:bCs/>
                <w:color w:val="4F6228"/>
                <w:sz w:val="16"/>
                <w:szCs w:val="16"/>
                <w:lang w:eastAsia="en-GB"/>
              </w:rPr>
              <w:t>=</w:t>
            </w:r>
          </w:p>
        </w:tc>
        <w:tc>
          <w:tcPr>
            <w:tcW w:w="1220" w:type="dxa"/>
            <w:gridSpan w:val="2"/>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2,694</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253%</w:t>
            </w:r>
          </w:p>
        </w:tc>
      </w:tr>
      <w:tr w:rsidR="00C56FD5" w:rsidRPr="004F610A">
        <w:trPr>
          <w:trHeight w:val="570"/>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040" w:type="dxa"/>
            <w:gridSpan w:val="3"/>
            <w:vMerge/>
            <w:tcBorders>
              <w:top w:val="nil"/>
              <w:left w:val="nil"/>
              <w:bottom w:val="nil"/>
              <w:right w:val="nil"/>
            </w:tcBorders>
            <w:vAlign w:val="center"/>
          </w:tcPr>
          <w:p w:rsidR="004F610A" w:rsidRPr="004F610A" w:rsidRDefault="004F610A" w:rsidP="004F610A">
            <w:pP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4F610A"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r w:rsidRPr="004F610A">
              <w:rPr>
                <w:rFonts w:cs="Arial"/>
                <w:b/>
                <w:bCs/>
                <w:sz w:val="16"/>
                <w:szCs w:val="16"/>
                <w:lang w:eastAsia="en-GB"/>
              </w:rPr>
              <w:t>Cash and cash equivalents</w:t>
            </w: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620" w:type="dxa"/>
            <w:gridSpan w:val="8"/>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11,215</w:t>
            </w: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3620" w:type="dxa"/>
            <w:gridSpan w:val="8"/>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6,048</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85%</w:t>
            </w:r>
          </w:p>
        </w:tc>
      </w:tr>
      <w:tr w:rsidR="00C56FD5" w:rsidRPr="004F610A">
        <w:trPr>
          <w:trHeight w:val="345"/>
        </w:trPr>
        <w:tc>
          <w:tcPr>
            <w:tcW w:w="36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noWrap/>
            <w:vAlign w:val="center"/>
          </w:tcPr>
          <w:p w:rsidR="004F610A" w:rsidRPr="004F610A" w:rsidRDefault="004F610A" w:rsidP="004F610A">
            <w:pPr>
              <w:rPr>
                <w:rFonts w:cs="Arial"/>
                <w:b/>
                <w:bCs/>
                <w:sz w:val="16"/>
                <w:szCs w:val="16"/>
                <w:lang w:eastAsia="en-GB"/>
              </w:rPr>
            </w:pPr>
          </w:p>
        </w:tc>
        <w:tc>
          <w:tcPr>
            <w:tcW w:w="240" w:type="dxa"/>
            <w:tcBorders>
              <w:top w:val="nil"/>
              <w:left w:val="nil"/>
              <w:bottom w:val="nil"/>
              <w:right w:val="nil"/>
            </w:tcBorders>
            <w:shd w:val="clear" w:color="auto" w:fill="auto"/>
            <w:noWrap/>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noWrap/>
            <w:vAlign w:val="center"/>
          </w:tcPr>
          <w:p w:rsidR="004F610A" w:rsidRPr="004F610A" w:rsidRDefault="004F610A" w:rsidP="004F610A">
            <w:pPr>
              <w:jc w:val="center"/>
              <w:rPr>
                <w:rFonts w:cs="Arial"/>
                <w:i/>
                <w:iCs/>
                <w:sz w:val="16"/>
                <w:szCs w:val="16"/>
                <w:lang w:eastAsia="en-GB"/>
              </w:rPr>
            </w:pPr>
          </w:p>
        </w:tc>
        <w:tc>
          <w:tcPr>
            <w:tcW w:w="52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noWrap/>
            <w:vAlign w:val="center"/>
          </w:tcPr>
          <w:p w:rsidR="004F610A" w:rsidRPr="004F610A" w:rsidRDefault="004F610A" w:rsidP="004F610A">
            <w:pPr>
              <w:jc w:val="center"/>
              <w:rPr>
                <w:rFonts w:cs="Arial"/>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16365C"/>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16365C"/>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16365C"/>
                <w:sz w:val="20"/>
                <w:szCs w:val="20"/>
                <w:lang w:eastAsia="en-GB"/>
              </w:rPr>
            </w:pPr>
          </w:p>
        </w:tc>
        <w:tc>
          <w:tcPr>
            <w:tcW w:w="34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16"/>
                <w:szCs w:val="16"/>
                <w:lang w:eastAsia="en-GB"/>
              </w:rPr>
            </w:pPr>
          </w:p>
        </w:tc>
        <w:tc>
          <w:tcPr>
            <w:tcW w:w="6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36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58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0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440" w:type="dxa"/>
            <w:tcBorders>
              <w:top w:val="nil"/>
              <w:left w:val="nil"/>
              <w:bottom w:val="nil"/>
              <w:right w:val="nil"/>
            </w:tcBorders>
            <w:shd w:val="clear" w:color="auto" w:fill="auto"/>
            <w:noWrap/>
            <w:vAlign w:val="center"/>
          </w:tcPr>
          <w:p w:rsidR="004F610A" w:rsidRPr="004F610A" w:rsidRDefault="004F610A" w:rsidP="004F610A">
            <w:pPr>
              <w:jc w:val="center"/>
              <w:rPr>
                <w:rFonts w:cs="Arial"/>
                <w:color w:val="4F6228"/>
                <w:sz w:val="16"/>
                <w:szCs w:val="16"/>
                <w:lang w:eastAsia="en-GB"/>
              </w:rPr>
            </w:pPr>
          </w:p>
        </w:tc>
        <w:tc>
          <w:tcPr>
            <w:tcW w:w="22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16"/>
                <w:szCs w:val="16"/>
                <w:lang w:eastAsia="en-GB"/>
              </w:rPr>
            </w:pPr>
          </w:p>
        </w:tc>
        <w:tc>
          <w:tcPr>
            <w:tcW w:w="720" w:type="dxa"/>
            <w:tcBorders>
              <w:top w:val="nil"/>
              <w:left w:val="nil"/>
              <w:bottom w:val="nil"/>
              <w:right w:val="nil"/>
            </w:tcBorders>
            <w:shd w:val="clear" w:color="auto" w:fill="auto"/>
            <w:noWrap/>
            <w:vAlign w:val="center"/>
          </w:tcPr>
          <w:p w:rsidR="004F610A" w:rsidRPr="004F610A" w:rsidRDefault="004F610A" w:rsidP="004F610A">
            <w:pPr>
              <w:jc w:val="right"/>
              <w:rPr>
                <w:rFonts w:cs="Arial"/>
                <w:b/>
                <w:bCs/>
                <w:color w:val="4F6228"/>
                <w:sz w:val="20"/>
                <w:szCs w:val="20"/>
                <w:lang w:eastAsia="en-GB"/>
              </w:rPr>
            </w:pPr>
          </w:p>
        </w:tc>
        <w:tc>
          <w:tcPr>
            <w:tcW w:w="50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4F6228"/>
                <w:sz w:val="20"/>
                <w:szCs w:val="20"/>
                <w:lang w:eastAsia="en-GB"/>
              </w:rPr>
            </w:pP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p>
        </w:tc>
      </w:tr>
      <w:tr w:rsidR="004F610A" w:rsidRPr="004F610A">
        <w:trPr>
          <w:trHeight w:val="345"/>
        </w:trPr>
        <w:tc>
          <w:tcPr>
            <w:tcW w:w="36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2540" w:type="dxa"/>
            <w:tcBorders>
              <w:top w:val="nil"/>
              <w:left w:val="nil"/>
              <w:bottom w:val="nil"/>
              <w:right w:val="nil"/>
            </w:tcBorders>
            <w:shd w:val="clear" w:color="auto" w:fill="auto"/>
            <w:vAlign w:val="center"/>
          </w:tcPr>
          <w:p w:rsidR="004F610A" w:rsidRPr="004F610A" w:rsidRDefault="004F610A" w:rsidP="004F610A">
            <w:pPr>
              <w:rPr>
                <w:rFonts w:cs="Arial"/>
                <w:b/>
                <w:bCs/>
                <w:sz w:val="20"/>
                <w:szCs w:val="20"/>
                <w:lang w:eastAsia="en-GB"/>
              </w:rPr>
            </w:pPr>
            <w:r w:rsidRPr="004F610A">
              <w:rPr>
                <w:rFonts w:cs="Arial"/>
                <w:b/>
                <w:bCs/>
                <w:sz w:val="20"/>
                <w:szCs w:val="20"/>
                <w:lang w:eastAsia="en-GB"/>
              </w:rPr>
              <w:t xml:space="preserve">EBITDA </w:t>
            </w:r>
          </w:p>
        </w:tc>
        <w:tc>
          <w:tcPr>
            <w:tcW w:w="240" w:type="dxa"/>
            <w:tcBorders>
              <w:top w:val="nil"/>
              <w:left w:val="nil"/>
              <w:bottom w:val="nil"/>
              <w:right w:val="nil"/>
            </w:tcBorders>
            <w:shd w:val="clear" w:color="auto" w:fill="auto"/>
            <w:vAlign w:val="center"/>
          </w:tcPr>
          <w:p w:rsidR="004F610A" w:rsidRPr="004F610A" w:rsidRDefault="004F610A" w:rsidP="004F610A">
            <w:pPr>
              <w:rPr>
                <w:rFonts w:cs="Arial"/>
                <w:sz w:val="16"/>
                <w:szCs w:val="16"/>
                <w:lang w:eastAsia="en-GB"/>
              </w:rPr>
            </w:pPr>
          </w:p>
        </w:tc>
        <w:tc>
          <w:tcPr>
            <w:tcW w:w="8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66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52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00" w:type="dxa"/>
            <w:tcBorders>
              <w:top w:val="nil"/>
              <w:left w:val="nil"/>
              <w:bottom w:val="nil"/>
              <w:right w:val="nil"/>
            </w:tcBorders>
            <w:shd w:val="clear" w:color="auto" w:fill="auto"/>
            <w:vAlign w:val="center"/>
          </w:tcPr>
          <w:p w:rsidR="004F610A" w:rsidRPr="004F610A" w:rsidRDefault="004F610A" w:rsidP="004F610A">
            <w:pPr>
              <w:jc w:val="center"/>
              <w:rPr>
                <w:rFonts w:cs="Arial"/>
                <w:sz w:val="16"/>
                <w:szCs w:val="16"/>
                <w:lang w:eastAsia="en-GB"/>
              </w:rPr>
            </w:pPr>
          </w:p>
        </w:tc>
        <w:tc>
          <w:tcPr>
            <w:tcW w:w="3620" w:type="dxa"/>
            <w:gridSpan w:val="8"/>
            <w:tcBorders>
              <w:top w:val="nil"/>
              <w:left w:val="nil"/>
              <w:bottom w:val="nil"/>
              <w:right w:val="nil"/>
            </w:tcBorders>
            <w:shd w:val="clear" w:color="auto" w:fill="auto"/>
            <w:vAlign w:val="center"/>
          </w:tcPr>
          <w:p w:rsidR="004F610A" w:rsidRPr="004F610A" w:rsidRDefault="004F610A" w:rsidP="004F610A">
            <w:pPr>
              <w:jc w:val="center"/>
              <w:rPr>
                <w:rFonts w:cs="Arial"/>
                <w:b/>
                <w:bCs/>
                <w:color w:val="16365C"/>
                <w:sz w:val="20"/>
                <w:szCs w:val="20"/>
                <w:lang w:eastAsia="en-GB"/>
              </w:rPr>
            </w:pPr>
            <w:r w:rsidRPr="004F610A">
              <w:rPr>
                <w:rFonts w:cs="Arial"/>
                <w:b/>
                <w:bCs/>
                <w:color w:val="16365C"/>
                <w:sz w:val="20"/>
                <w:szCs w:val="20"/>
                <w:lang w:eastAsia="en-GB"/>
              </w:rPr>
              <w:t>12,219</w:t>
            </w:r>
          </w:p>
        </w:tc>
        <w:tc>
          <w:tcPr>
            <w:tcW w:w="340" w:type="dxa"/>
            <w:tcBorders>
              <w:top w:val="nil"/>
              <w:left w:val="nil"/>
              <w:bottom w:val="nil"/>
              <w:right w:val="nil"/>
            </w:tcBorders>
            <w:shd w:val="clear" w:color="auto" w:fill="auto"/>
            <w:vAlign w:val="center"/>
          </w:tcPr>
          <w:p w:rsidR="004F610A" w:rsidRPr="004F610A" w:rsidRDefault="004F610A" w:rsidP="004F610A">
            <w:pPr>
              <w:jc w:val="center"/>
              <w:rPr>
                <w:rFonts w:cs="Arial"/>
                <w:b/>
                <w:bCs/>
                <w:sz w:val="16"/>
                <w:szCs w:val="16"/>
                <w:lang w:eastAsia="en-GB"/>
              </w:rPr>
            </w:pPr>
          </w:p>
        </w:tc>
        <w:tc>
          <w:tcPr>
            <w:tcW w:w="3620" w:type="dxa"/>
            <w:gridSpan w:val="8"/>
            <w:tcBorders>
              <w:top w:val="nil"/>
              <w:left w:val="nil"/>
              <w:bottom w:val="nil"/>
              <w:right w:val="nil"/>
            </w:tcBorders>
            <w:shd w:val="clear" w:color="auto" w:fill="auto"/>
            <w:vAlign w:val="center"/>
          </w:tcPr>
          <w:p w:rsidR="004F610A" w:rsidRPr="004F610A" w:rsidRDefault="004F610A" w:rsidP="004F610A">
            <w:pPr>
              <w:jc w:val="center"/>
              <w:rPr>
                <w:rFonts w:cs="Arial"/>
                <w:b/>
                <w:bCs/>
                <w:color w:val="4F6228"/>
                <w:sz w:val="20"/>
                <w:szCs w:val="20"/>
                <w:lang w:eastAsia="en-GB"/>
              </w:rPr>
            </w:pPr>
            <w:r w:rsidRPr="004F610A">
              <w:rPr>
                <w:rFonts w:cs="Arial"/>
                <w:b/>
                <w:bCs/>
                <w:color w:val="4F6228"/>
                <w:sz w:val="20"/>
                <w:szCs w:val="20"/>
                <w:lang w:eastAsia="en-GB"/>
              </w:rPr>
              <w:t>10,038</w:t>
            </w:r>
          </w:p>
        </w:tc>
        <w:tc>
          <w:tcPr>
            <w:tcW w:w="180"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sz w:val="20"/>
                <w:szCs w:val="20"/>
                <w:lang w:eastAsia="en-GB"/>
              </w:rPr>
            </w:pPr>
          </w:p>
        </w:tc>
        <w:tc>
          <w:tcPr>
            <w:tcW w:w="948" w:type="dxa"/>
            <w:tcBorders>
              <w:top w:val="nil"/>
              <w:left w:val="nil"/>
              <w:bottom w:val="nil"/>
              <w:right w:val="nil"/>
            </w:tcBorders>
            <w:shd w:val="clear" w:color="auto" w:fill="auto"/>
            <w:noWrap/>
            <w:vAlign w:val="center"/>
          </w:tcPr>
          <w:p w:rsidR="004F610A" w:rsidRPr="004F610A" w:rsidRDefault="004F610A" w:rsidP="004F610A">
            <w:pPr>
              <w:jc w:val="center"/>
              <w:rPr>
                <w:rFonts w:cs="Arial"/>
                <w:b/>
                <w:bCs/>
                <w:color w:val="AD4517"/>
                <w:sz w:val="20"/>
                <w:szCs w:val="20"/>
                <w:lang w:eastAsia="en-GB"/>
              </w:rPr>
            </w:pPr>
            <w:r w:rsidRPr="004F610A">
              <w:rPr>
                <w:rFonts w:cs="Arial"/>
                <w:b/>
                <w:bCs/>
                <w:color w:val="AD4517"/>
                <w:sz w:val="20"/>
                <w:szCs w:val="20"/>
                <w:lang w:eastAsia="en-GB"/>
              </w:rPr>
              <w:t>22%</w:t>
            </w:r>
          </w:p>
        </w:tc>
      </w:tr>
    </w:tbl>
    <w:p w:rsidR="004F610A" w:rsidRPr="007F6EF2" w:rsidRDefault="004F610A" w:rsidP="000A0A25">
      <w:pPr>
        <w:rPr>
          <w:lang w:val="en-US"/>
        </w:rPr>
        <w:sectPr w:rsidR="004F610A" w:rsidRPr="007F6EF2">
          <w:pgSz w:w="16838" w:h="11906" w:orient="landscape"/>
          <w:pgMar w:top="431" w:right="363" w:bottom="431" w:left="363" w:header="709" w:footer="709" w:gutter="0"/>
          <w:cols w:space="708"/>
          <w:docGrid w:linePitch="360"/>
        </w:sectPr>
      </w:pPr>
    </w:p>
    <w:p w:rsidR="000A0A25" w:rsidRPr="0021596D" w:rsidRDefault="000A0A25" w:rsidP="0085512F">
      <w:pPr>
        <w:pStyle w:val="Appendix"/>
      </w:pPr>
      <w:bookmarkStart w:id="23" w:name="_Toc277012906"/>
      <w:r>
        <w:lastRenderedPageBreak/>
        <w:t xml:space="preserve">Appendix </w:t>
      </w:r>
      <w:r w:rsidR="005E620B">
        <w:t>B</w:t>
      </w:r>
      <w:r>
        <w:t xml:space="preserve"> </w:t>
      </w:r>
      <w:r w:rsidRPr="00EC74B8">
        <w:t>–</w:t>
      </w:r>
      <w:r>
        <w:t xml:space="preserve"> Assumptions</w:t>
      </w:r>
      <w:bookmarkEnd w:id="23"/>
    </w:p>
    <w:p w:rsidR="000A0A25" w:rsidRDefault="000A0A25" w:rsidP="008E48EC">
      <w:pPr>
        <w:pStyle w:val="JEBodyBullet"/>
      </w:pPr>
      <w:r w:rsidRPr="005064C7">
        <w:t>Unless stated otherwise, all calculations and interpretations are stated before exceptional items;</w:t>
      </w:r>
    </w:p>
    <w:p w:rsidR="000A0A25" w:rsidRPr="005A11F8" w:rsidRDefault="000A0A25" w:rsidP="008E48EC">
      <w:pPr>
        <w:pStyle w:val="JEBodyBullet"/>
      </w:pPr>
      <w:r>
        <w:t xml:space="preserve">Payables and Receivables days have been calculated assuming 100% credit sales and purchases spread over 365 days as opposed to the </w:t>
      </w:r>
      <w:r w:rsidR="00597EFE">
        <w:t>use of the information</w:t>
      </w:r>
      <w:r>
        <w:t xml:space="preserve"> supplied in the financial statements;</w:t>
      </w:r>
    </w:p>
    <w:p w:rsidR="000A0A25" w:rsidRPr="005A11F8" w:rsidRDefault="000A0A25" w:rsidP="008E48EC">
      <w:pPr>
        <w:pStyle w:val="JEBodyBullet"/>
      </w:pPr>
      <w:r w:rsidRPr="005064C7">
        <w:t>All calculations and interpretations are based on Group figures and on information in Nic</w:t>
      </w:r>
      <w:r>
        <w:t>hols’ Financial Statement 2009.</w:t>
      </w:r>
      <w:r w:rsidRPr="005A11F8">
        <w:br w:type="page"/>
      </w:r>
    </w:p>
    <w:p w:rsidR="000A0A25" w:rsidRPr="005064C7" w:rsidRDefault="000A0A25" w:rsidP="0085512F">
      <w:pPr>
        <w:pStyle w:val="Appendix"/>
      </w:pPr>
      <w:bookmarkStart w:id="24" w:name="_Toc277012907"/>
      <w:r w:rsidRPr="005064C7">
        <w:lastRenderedPageBreak/>
        <w:t xml:space="preserve">Appendix </w:t>
      </w:r>
      <w:r w:rsidR="005E620B">
        <w:t>C</w:t>
      </w:r>
      <w:r w:rsidRPr="005064C7">
        <w:t xml:space="preserve"> – Acronyms</w:t>
      </w:r>
      <w:bookmarkEnd w:id="24"/>
    </w:p>
    <w:p w:rsidR="000A0A25" w:rsidRPr="005064C7" w:rsidRDefault="000A0A25" w:rsidP="000A0A25">
      <w:pPr>
        <w:rPr>
          <w:sz w:val="22"/>
          <w:lang w:val="en-US"/>
        </w:rPr>
      </w:pPr>
      <w:r w:rsidRPr="005064C7">
        <w:rPr>
          <w:sz w:val="22"/>
          <w:lang w:val="en-US"/>
        </w:rPr>
        <w:t xml:space="preserve"> </w:t>
      </w:r>
    </w:p>
    <w:tbl>
      <w:tblPr>
        <w:tblW w:w="821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tblPr>
      <w:tblGrid>
        <w:gridCol w:w="3135"/>
        <w:gridCol w:w="5078"/>
      </w:tblGrid>
      <w:tr w:rsidR="000A0A25" w:rsidRPr="005064C7">
        <w:trPr>
          <w:trHeight w:hRule="exact" w:val="284"/>
          <w:jc w:val="center"/>
        </w:trPr>
        <w:tc>
          <w:tcPr>
            <w:tcW w:w="3135" w:type="dxa"/>
          </w:tcPr>
          <w:p w:rsidR="000A0A25" w:rsidRPr="005064C7" w:rsidRDefault="000A0A25" w:rsidP="008E48EC">
            <w:pPr>
              <w:rPr>
                <w:b/>
                <w:sz w:val="22"/>
              </w:rPr>
            </w:pPr>
            <w:r w:rsidRPr="005064C7">
              <w:rPr>
                <w:b/>
                <w:sz w:val="22"/>
              </w:rPr>
              <w:t>Acronym</w:t>
            </w:r>
          </w:p>
        </w:tc>
        <w:tc>
          <w:tcPr>
            <w:tcW w:w="5078" w:type="dxa"/>
          </w:tcPr>
          <w:p w:rsidR="000A0A25" w:rsidRPr="005064C7" w:rsidRDefault="000A0A25" w:rsidP="008E48EC">
            <w:pPr>
              <w:rPr>
                <w:b/>
                <w:sz w:val="22"/>
              </w:rPr>
            </w:pPr>
            <w:r w:rsidRPr="005064C7">
              <w:rPr>
                <w:b/>
                <w:sz w:val="22"/>
              </w:rPr>
              <w:t>Meaning</w:t>
            </w:r>
          </w:p>
        </w:tc>
      </w:tr>
      <w:tr w:rsidR="000A0A25" w:rsidRPr="005064C7">
        <w:trPr>
          <w:trHeight w:hRule="exact" w:val="284"/>
          <w:jc w:val="center"/>
        </w:trPr>
        <w:tc>
          <w:tcPr>
            <w:tcW w:w="3135" w:type="dxa"/>
          </w:tcPr>
          <w:p w:rsidR="000A0A25" w:rsidRPr="005064C7" w:rsidRDefault="000A0A25" w:rsidP="008E48EC">
            <w:pPr>
              <w:rPr>
                <w:sz w:val="22"/>
              </w:rPr>
            </w:pPr>
            <w:r w:rsidRPr="005064C7">
              <w:rPr>
                <w:sz w:val="22"/>
              </w:rPr>
              <w:t>ROSE</w:t>
            </w:r>
          </w:p>
        </w:tc>
        <w:tc>
          <w:tcPr>
            <w:tcW w:w="5078" w:type="dxa"/>
          </w:tcPr>
          <w:p w:rsidR="000A0A25" w:rsidRPr="005064C7" w:rsidRDefault="000A0A25" w:rsidP="008E48EC">
            <w:pPr>
              <w:rPr>
                <w:sz w:val="22"/>
              </w:rPr>
            </w:pPr>
            <w:r>
              <w:rPr>
                <w:sz w:val="22"/>
              </w:rPr>
              <w:t>Return On Shareholders’ Equity</w:t>
            </w:r>
          </w:p>
        </w:tc>
      </w:tr>
      <w:tr w:rsidR="000A0A25" w:rsidRPr="005064C7">
        <w:trPr>
          <w:trHeight w:hRule="exact" w:val="284"/>
          <w:jc w:val="center"/>
        </w:trPr>
        <w:tc>
          <w:tcPr>
            <w:tcW w:w="3135" w:type="dxa"/>
          </w:tcPr>
          <w:p w:rsidR="000A0A25" w:rsidRPr="005064C7" w:rsidRDefault="000A0A25" w:rsidP="008E48EC">
            <w:pPr>
              <w:rPr>
                <w:sz w:val="22"/>
              </w:rPr>
            </w:pPr>
            <w:r w:rsidRPr="005064C7">
              <w:rPr>
                <w:sz w:val="22"/>
              </w:rPr>
              <w:t>PE</w:t>
            </w:r>
          </w:p>
        </w:tc>
        <w:tc>
          <w:tcPr>
            <w:tcW w:w="5078" w:type="dxa"/>
          </w:tcPr>
          <w:p w:rsidR="000A0A25" w:rsidRPr="005064C7" w:rsidRDefault="000A0A25" w:rsidP="008E48EC">
            <w:pPr>
              <w:rPr>
                <w:sz w:val="22"/>
              </w:rPr>
            </w:pPr>
            <w:r>
              <w:rPr>
                <w:sz w:val="22"/>
              </w:rPr>
              <w:t>Price/Earnings</w:t>
            </w:r>
          </w:p>
        </w:tc>
      </w:tr>
      <w:tr w:rsidR="000A0A25" w:rsidRPr="005064C7">
        <w:trPr>
          <w:trHeight w:hRule="exact" w:val="284"/>
          <w:jc w:val="center"/>
        </w:trPr>
        <w:tc>
          <w:tcPr>
            <w:tcW w:w="3135" w:type="dxa"/>
          </w:tcPr>
          <w:p w:rsidR="000A0A25" w:rsidRPr="005064C7" w:rsidRDefault="000A0A25" w:rsidP="008E48EC">
            <w:pPr>
              <w:rPr>
                <w:sz w:val="22"/>
              </w:rPr>
            </w:pPr>
            <w:r w:rsidRPr="005064C7">
              <w:rPr>
                <w:sz w:val="22"/>
              </w:rPr>
              <w:t>ROCE</w:t>
            </w:r>
          </w:p>
        </w:tc>
        <w:tc>
          <w:tcPr>
            <w:tcW w:w="5078" w:type="dxa"/>
          </w:tcPr>
          <w:p w:rsidR="000A0A25" w:rsidRPr="005064C7" w:rsidRDefault="000A0A25" w:rsidP="008E48EC">
            <w:pPr>
              <w:rPr>
                <w:sz w:val="22"/>
              </w:rPr>
            </w:pPr>
            <w:r>
              <w:rPr>
                <w:sz w:val="22"/>
              </w:rPr>
              <w:t>Return on Capital Employed</w:t>
            </w:r>
          </w:p>
        </w:tc>
      </w:tr>
      <w:tr w:rsidR="000A0A25" w:rsidRPr="005064C7">
        <w:trPr>
          <w:trHeight w:hRule="exact" w:val="284"/>
          <w:jc w:val="center"/>
        </w:trPr>
        <w:tc>
          <w:tcPr>
            <w:tcW w:w="3135" w:type="dxa"/>
          </w:tcPr>
          <w:p w:rsidR="000A0A25" w:rsidRPr="005064C7" w:rsidRDefault="000A0A25" w:rsidP="008E48EC">
            <w:pPr>
              <w:rPr>
                <w:sz w:val="22"/>
              </w:rPr>
            </w:pPr>
            <w:r w:rsidRPr="005064C7">
              <w:rPr>
                <w:sz w:val="22"/>
              </w:rPr>
              <w:t>EPS</w:t>
            </w:r>
          </w:p>
        </w:tc>
        <w:tc>
          <w:tcPr>
            <w:tcW w:w="5078" w:type="dxa"/>
            <w:noWrap/>
          </w:tcPr>
          <w:p w:rsidR="000A0A25" w:rsidRPr="005064C7" w:rsidRDefault="000A0A25" w:rsidP="008E48EC">
            <w:pPr>
              <w:rPr>
                <w:sz w:val="22"/>
              </w:rPr>
            </w:pPr>
            <w:r>
              <w:rPr>
                <w:sz w:val="22"/>
              </w:rPr>
              <w:t>Earnings Per Share</w:t>
            </w:r>
          </w:p>
        </w:tc>
      </w:tr>
    </w:tbl>
    <w:p w:rsidR="000A0A25" w:rsidRPr="005064C7" w:rsidRDefault="000A0A25" w:rsidP="000A0A25">
      <w:pPr>
        <w:rPr>
          <w:sz w:val="22"/>
          <w:lang w:val="en-US"/>
        </w:rPr>
      </w:pPr>
    </w:p>
    <w:p w:rsidR="000A0A25" w:rsidRPr="005064C7" w:rsidRDefault="000A0A25" w:rsidP="000A0A25">
      <w:pPr>
        <w:rPr>
          <w:rFonts w:cs="Calibri"/>
          <w:b/>
          <w:sz w:val="22"/>
          <w:szCs w:val="20"/>
        </w:rPr>
      </w:pPr>
    </w:p>
    <w:p w:rsidR="000A0A25" w:rsidRPr="005064C7" w:rsidRDefault="000A0A25" w:rsidP="000A0A25">
      <w:pPr>
        <w:rPr>
          <w:rFonts w:cs="Calibri"/>
          <w:sz w:val="22"/>
          <w:szCs w:val="20"/>
        </w:rPr>
      </w:pPr>
    </w:p>
    <w:p w:rsidR="000A0A25" w:rsidRPr="0068269B" w:rsidRDefault="000A0A25" w:rsidP="000A0A25">
      <w:pPr>
        <w:pStyle w:val="JEBodyBullet"/>
        <w:numPr>
          <w:ilvl w:val="0"/>
          <w:numId w:val="0"/>
        </w:numPr>
        <w:ind w:left="720" w:hanging="360"/>
      </w:pPr>
    </w:p>
    <w:sectPr w:rsidR="000A0A25" w:rsidRPr="0068269B" w:rsidSect="00D408FE">
      <w:headerReference w:type="even" r:id="rId15"/>
      <w:footerReference w:type="default" r:id="rId16"/>
      <w:headerReference w:type="first" r:id="rId17"/>
      <w:footerReference w:type="first" r:id="rId18"/>
      <w:pgSz w:w="11909" w:h="16834" w:code="9"/>
      <w:pgMar w:top="1440" w:right="1418" w:bottom="1151" w:left="1418" w:header="578" w:footer="578"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24C" w:rsidRDefault="0078224C">
      <w:r>
        <w:separator/>
      </w:r>
    </w:p>
  </w:endnote>
  <w:endnote w:type="continuationSeparator" w:id="0">
    <w:p w:rsidR="0078224C" w:rsidRDefault="007822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0B" w:rsidRPr="00DD55FC" w:rsidRDefault="00A0402E" w:rsidP="00D85996">
    <w:pPr>
      <w:pStyle w:val="Footer"/>
    </w:pPr>
    <w:r>
      <w:fldChar w:fldCharType="begin"/>
    </w:r>
    <w:r w:rsidR="00B37CB9">
      <w:instrText xml:space="preserve"> FILENAME  </w:instrText>
    </w:r>
    <w:r>
      <w:fldChar w:fldCharType="separate"/>
    </w:r>
    <w:r w:rsidR="006C07D3">
      <w:t xml:space="preserve">Accounting as Information System Coursework - John Ellis Group </w:t>
    </w:r>
    <w:r>
      <w:fldChar w:fldCharType="end"/>
    </w:r>
    <w:r w:rsidR="005E620B">
      <w:tab/>
    </w:r>
    <w:r w:rsidR="005E620B" w:rsidRPr="00DD55FC">
      <w:t xml:space="preserve"> Page </w:t>
    </w:r>
    <w:r w:rsidRPr="00DD55FC">
      <w:rPr>
        <w:rStyle w:val="PageNumber"/>
        <w:sz w:val="18"/>
        <w:szCs w:val="14"/>
      </w:rPr>
      <w:fldChar w:fldCharType="begin"/>
    </w:r>
    <w:r w:rsidR="005E620B" w:rsidRPr="00DD55FC">
      <w:rPr>
        <w:rStyle w:val="PageNumber"/>
        <w:sz w:val="18"/>
        <w:szCs w:val="14"/>
      </w:rPr>
      <w:instrText xml:space="preserve"> PAGE </w:instrText>
    </w:r>
    <w:r w:rsidRPr="00DD55FC">
      <w:rPr>
        <w:rStyle w:val="PageNumber"/>
        <w:sz w:val="18"/>
        <w:szCs w:val="14"/>
      </w:rPr>
      <w:fldChar w:fldCharType="separate"/>
    </w:r>
    <w:r w:rsidR="00351B96">
      <w:rPr>
        <w:rStyle w:val="PageNumber"/>
        <w:sz w:val="18"/>
        <w:szCs w:val="14"/>
      </w:rPr>
      <w:t>1</w:t>
    </w:r>
    <w:r w:rsidRPr="00DD55FC">
      <w:rPr>
        <w:rStyle w:val="PageNumber"/>
        <w:sz w:val="18"/>
        <w:szCs w:val="14"/>
      </w:rPr>
      <w:fldChar w:fldCharType="end"/>
    </w:r>
    <w:r w:rsidR="005E620B" w:rsidRPr="00DD55FC">
      <w:rPr>
        <w:rStyle w:val="PageNumber"/>
        <w:sz w:val="18"/>
        <w:szCs w:val="14"/>
      </w:rPr>
      <w:t xml:space="preserve"> of </w:t>
    </w:r>
    <w:r w:rsidRPr="00DD55FC">
      <w:rPr>
        <w:rStyle w:val="PageNumber"/>
        <w:sz w:val="18"/>
        <w:szCs w:val="14"/>
      </w:rPr>
      <w:fldChar w:fldCharType="begin"/>
    </w:r>
    <w:r w:rsidR="005E620B" w:rsidRPr="00DD55FC">
      <w:rPr>
        <w:rStyle w:val="PageNumber"/>
        <w:sz w:val="18"/>
        <w:szCs w:val="14"/>
      </w:rPr>
      <w:instrText xml:space="preserve"> NUMPAGES  \# "0" </w:instrText>
    </w:r>
    <w:r w:rsidRPr="00DD55FC">
      <w:rPr>
        <w:rStyle w:val="PageNumber"/>
        <w:sz w:val="18"/>
        <w:szCs w:val="14"/>
      </w:rPr>
      <w:fldChar w:fldCharType="separate"/>
    </w:r>
    <w:r w:rsidR="00351B96">
      <w:rPr>
        <w:rStyle w:val="PageNumber"/>
        <w:sz w:val="18"/>
        <w:szCs w:val="14"/>
      </w:rPr>
      <w:t>11</w:t>
    </w:r>
    <w:r w:rsidRPr="00DD55FC">
      <w:rPr>
        <w:rStyle w:val="PageNumber"/>
        <w:sz w:val="18"/>
        <w:szCs w:val="14"/>
      </w:rPr>
      <w:fldChar w:fldCharType="end"/>
    </w:r>
  </w:p>
  <w:p w:rsidR="005E620B" w:rsidRPr="00DD55FC" w:rsidRDefault="005E620B" w:rsidP="00D85996">
    <w:pPr>
      <w:pStyle w:val="Footer"/>
    </w:pPr>
    <w:r w:rsidRPr="00DD55FC">
      <w:tab/>
    </w:r>
  </w:p>
  <w:p w:rsidR="005E620B" w:rsidRDefault="005E620B" w:rsidP="00D859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0B" w:rsidRPr="00D85996" w:rsidRDefault="00A0402E" w:rsidP="00D85996">
    <w:pPr>
      <w:pStyle w:val="Footer"/>
    </w:pPr>
    <w:r>
      <w:fldChar w:fldCharType="begin"/>
    </w:r>
    <w:r w:rsidR="00B37CB9">
      <w:instrText xml:space="preserve"> FILENAME  </w:instrText>
    </w:r>
    <w:r>
      <w:fldChar w:fldCharType="separate"/>
    </w:r>
    <w:r w:rsidR="006C07D3">
      <w:t>Accounting as Information System C</w:t>
    </w:r>
    <w:r w:rsidR="00351B96">
      <w:t xml:space="preserve">oursework - John Ellis Group </w:t>
    </w:r>
    <w:r>
      <w:fldChar w:fldCharType="end"/>
    </w:r>
    <w:r w:rsidR="005E620B" w:rsidRPr="00D85996">
      <w:tab/>
      <w:t xml:space="preserve">Page </w:t>
    </w:r>
    <w:r w:rsidRPr="00D85996">
      <w:rPr>
        <w:rStyle w:val="PageNumber"/>
        <w:sz w:val="18"/>
        <w:szCs w:val="18"/>
      </w:rPr>
      <w:fldChar w:fldCharType="begin"/>
    </w:r>
    <w:r w:rsidR="005E620B" w:rsidRPr="00D85996">
      <w:rPr>
        <w:rStyle w:val="PageNumber"/>
        <w:sz w:val="18"/>
        <w:szCs w:val="18"/>
      </w:rPr>
      <w:instrText xml:space="preserve"> PAGE </w:instrText>
    </w:r>
    <w:r w:rsidRPr="00D85996">
      <w:rPr>
        <w:rStyle w:val="PageNumber"/>
        <w:sz w:val="18"/>
        <w:szCs w:val="18"/>
      </w:rPr>
      <w:fldChar w:fldCharType="separate"/>
    </w:r>
    <w:r w:rsidR="00351B96">
      <w:rPr>
        <w:rStyle w:val="PageNumber"/>
        <w:sz w:val="18"/>
        <w:szCs w:val="18"/>
      </w:rPr>
      <w:t>11</w:t>
    </w:r>
    <w:r w:rsidRPr="00D85996">
      <w:rPr>
        <w:rStyle w:val="PageNumber"/>
        <w:sz w:val="18"/>
        <w:szCs w:val="18"/>
      </w:rPr>
      <w:fldChar w:fldCharType="end"/>
    </w:r>
    <w:r w:rsidR="005E620B" w:rsidRPr="00D85996">
      <w:rPr>
        <w:rStyle w:val="PageNumber"/>
        <w:sz w:val="18"/>
        <w:szCs w:val="18"/>
      </w:rPr>
      <w:t xml:space="preserve"> of </w:t>
    </w:r>
    <w:r w:rsidRPr="00D85996">
      <w:rPr>
        <w:rStyle w:val="PageNumber"/>
        <w:sz w:val="18"/>
        <w:szCs w:val="18"/>
      </w:rPr>
      <w:fldChar w:fldCharType="begin"/>
    </w:r>
    <w:r w:rsidR="005E620B" w:rsidRPr="00D85996">
      <w:rPr>
        <w:rStyle w:val="PageNumber"/>
        <w:sz w:val="18"/>
        <w:szCs w:val="18"/>
      </w:rPr>
      <w:instrText xml:space="preserve"> NUMPAGES  \# "0" </w:instrText>
    </w:r>
    <w:r w:rsidRPr="00D85996">
      <w:rPr>
        <w:rStyle w:val="PageNumber"/>
        <w:sz w:val="18"/>
        <w:szCs w:val="18"/>
      </w:rPr>
      <w:fldChar w:fldCharType="separate"/>
    </w:r>
    <w:r w:rsidR="00351B96">
      <w:rPr>
        <w:rStyle w:val="PageNumber"/>
        <w:sz w:val="18"/>
        <w:szCs w:val="18"/>
      </w:rPr>
      <w:t>11</w:t>
    </w:r>
    <w:r w:rsidRPr="00D85996">
      <w:rPr>
        <w:rStyle w:val="PageNumber"/>
        <w:sz w:val="18"/>
        <w:szCs w:val="18"/>
      </w:rPr>
      <w:fldChar w:fldCharType="end"/>
    </w:r>
    <w:r w:rsidR="005E620B" w:rsidRPr="00D85996">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44" w:type="dxa"/>
      <w:jc w:val="center"/>
      <w:tblInd w:w="17770" w:type="dxa"/>
      <w:tblLayout w:type="fixed"/>
      <w:tblCellMar>
        <w:right w:w="57" w:type="dxa"/>
      </w:tblCellMar>
      <w:tblLook w:val="01E0"/>
    </w:tblPr>
    <w:tblGrid>
      <w:gridCol w:w="7782"/>
      <w:gridCol w:w="2962"/>
    </w:tblGrid>
    <w:tr w:rsidR="005E620B" w:rsidRPr="00D42A69" w:rsidTr="00D378BB">
      <w:trPr>
        <w:trHeight w:val="431"/>
        <w:jc w:val="center"/>
      </w:trPr>
      <w:tc>
        <w:tcPr>
          <w:tcW w:w="7782" w:type="dxa"/>
          <w:vAlign w:val="center"/>
        </w:tcPr>
        <w:p w:rsidR="005E620B" w:rsidRPr="00D85996" w:rsidRDefault="00A0402E" w:rsidP="00351B96">
          <w:pPr>
            <w:pStyle w:val="Footer"/>
          </w:pPr>
          <w:r>
            <w:fldChar w:fldCharType="begin"/>
          </w:r>
          <w:r w:rsidR="00B37CB9">
            <w:instrText xml:space="preserve"> FILENAME  </w:instrText>
          </w:r>
          <w:r>
            <w:fldChar w:fldCharType="separate"/>
          </w:r>
          <w:r w:rsidR="006C07D3">
            <w:t xml:space="preserve">Accounting as Information System </w:t>
          </w:r>
          <w:r w:rsidR="00351B96">
            <w:t xml:space="preserve">Coursework - John Ellis Group </w:t>
          </w:r>
          <w:r>
            <w:fldChar w:fldCharType="end"/>
          </w:r>
          <w:r w:rsidR="005E620B" w:rsidRPr="00D85996">
            <w:tab/>
            <w:t xml:space="preserve">Page </w:t>
          </w:r>
          <w:r w:rsidRPr="00D85996">
            <w:rPr>
              <w:rStyle w:val="PageNumber"/>
              <w:sz w:val="18"/>
              <w:szCs w:val="18"/>
            </w:rPr>
            <w:fldChar w:fldCharType="begin"/>
          </w:r>
          <w:r w:rsidR="005E620B" w:rsidRPr="00D85996">
            <w:rPr>
              <w:rStyle w:val="PageNumber"/>
              <w:sz w:val="18"/>
              <w:szCs w:val="18"/>
            </w:rPr>
            <w:instrText xml:space="preserve"> PAGE </w:instrText>
          </w:r>
          <w:r w:rsidRPr="00D85996">
            <w:rPr>
              <w:rStyle w:val="PageNumber"/>
              <w:sz w:val="18"/>
              <w:szCs w:val="18"/>
            </w:rPr>
            <w:fldChar w:fldCharType="separate"/>
          </w:r>
          <w:r w:rsidR="00351B96">
            <w:rPr>
              <w:rStyle w:val="PageNumber"/>
              <w:sz w:val="18"/>
              <w:szCs w:val="18"/>
            </w:rPr>
            <w:t>10</w:t>
          </w:r>
          <w:r w:rsidRPr="00D85996">
            <w:rPr>
              <w:rStyle w:val="PageNumber"/>
              <w:sz w:val="18"/>
              <w:szCs w:val="18"/>
            </w:rPr>
            <w:fldChar w:fldCharType="end"/>
          </w:r>
          <w:r w:rsidR="005E620B" w:rsidRPr="00D85996">
            <w:rPr>
              <w:rStyle w:val="PageNumber"/>
              <w:sz w:val="18"/>
              <w:szCs w:val="18"/>
            </w:rPr>
            <w:t xml:space="preserve"> of </w:t>
          </w:r>
          <w:r w:rsidRPr="00D85996">
            <w:rPr>
              <w:rStyle w:val="PageNumber"/>
              <w:sz w:val="18"/>
              <w:szCs w:val="18"/>
            </w:rPr>
            <w:fldChar w:fldCharType="begin"/>
          </w:r>
          <w:r w:rsidR="005E620B" w:rsidRPr="00D85996">
            <w:rPr>
              <w:rStyle w:val="PageNumber"/>
              <w:sz w:val="18"/>
              <w:szCs w:val="18"/>
            </w:rPr>
            <w:instrText xml:space="preserve"> NUMPAGES  \# "0" </w:instrText>
          </w:r>
          <w:r w:rsidRPr="00D85996">
            <w:rPr>
              <w:rStyle w:val="PageNumber"/>
              <w:sz w:val="18"/>
              <w:szCs w:val="18"/>
            </w:rPr>
            <w:fldChar w:fldCharType="separate"/>
          </w:r>
          <w:r w:rsidR="00351B96">
            <w:rPr>
              <w:rStyle w:val="PageNumber"/>
              <w:sz w:val="18"/>
              <w:szCs w:val="18"/>
            </w:rPr>
            <w:t>11</w:t>
          </w:r>
          <w:r w:rsidRPr="00D85996">
            <w:rPr>
              <w:rStyle w:val="PageNumber"/>
              <w:sz w:val="18"/>
              <w:szCs w:val="18"/>
            </w:rPr>
            <w:fldChar w:fldCharType="end"/>
          </w:r>
          <w:r w:rsidR="005E620B" w:rsidRPr="00D85996">
            <w:tab/>
          </w:r>
        </w:p>
      </w:tc>
      <w:tc>
        <w:tcPr>
          <w:tcW w:w="2962" w:type="dxa"/>
          <w:vAlign w:val="center"/>
        </w:tcPr>
        <w:p w:rsidR="005E620B" w:rsidRPr="00D85996" w:rsidRDefault="005E620B" w:rsidP="00D85996">
          <w:pPr>
            <w:pStyle w:val="Footer"/>
          </w:pPr>
          <w:r w:rsidRPr="00D85996">
            <w:t xml:space="preserve">Page </w:t>
          </w:r>
          <w:r w:rsidR="00A0402E" w:rsidRPr="00D85996">
            <w:rPr>
              <w:rStyle w:val="PageNumber"/>
              <w:sz w:val="18"/>
              <w:szCs w:val="18"/>
            </w:rPr>
            <w:fldChar w:fldCharType="begin"/>
          </w:r>
          <w:r w:rsidRPr="00D85996">
            <w:rPr>
              <w:rStyle w:val="PageNumber"/>
              <w:sz w:val="18"/>
              <w:szCs w:val="18"/>
            </w:rPr>
            <w:instrText xml:space="preserve"> PAGE </w:instrText>
          </w:r>
          <w:r w:rsidR="00A0402E" w:rsidRPr="00D85996">
            <w:rPr>
              <w:rStyle w:val="PageNumber"/>
              <w:sz w:val="18"/>
              <w:szCs w:val="18"/>
            </w:rPr>
            <w:fldChar w:fldCharType="separate"/>
          </w:r>
          <w:r w:rsidR="00351B96">
            <w:rPr>
              <w:rStyle w:val="PageNumber"/>
              <w:sz w:val="18"/>
              <w:szCs w:val="18"/>
            </w:rPr>
            <w:t>10</w:t>
          </w:r>
          <w:r w:rsidR="00A0402E" w:rsidRPr="00D85996">
            <w:rPr>
              <w:rStyle w:val="PageNumber"/>
              <w:sz w:val="18"/>
              <w:szCs w:val="18"/>
            </w:rPr>
            <w:fldChar w:fldCharType="end"/>
          </w:r>
          <w:r w:rsidRPr="00D85996">
            <w:rPr>
              <w:rStyle w:val="PageNumber"/>
              <w:sz w:val="18"/>
              <w:szCs w:val="18"/>
            </w:rPr>
            <w:t xml:space="preserve"> of </w:t>
          </w:r>
          <w:r w:rsidR="00A0402E" w:rsidRPr="00D85996">
            <w:rPr>
              <w:rStyle w:val="PageNumber"/>
              <w:sz w:val="18"/>
              <w:szCs w:val="18"/>
            </w:rPr>
            <w:fldChar w:fldCharType="begin"/>
          </w:r>
          <w:r w:rsidRPr="00D85996">
            <w:rPr>
              <w:rStyle w:val="PageNumber"/>
              <w:sz w:val="18"/>
              <w:szCs w:val="18"/>
            </w:rPr>
            <w:instrText xml:space="preserve"> NUMPAGES  \# "0" </w:instrText>
          </w:r>
          <w:r w:rsidR="00A0402E" w:rsidRPr="00D85996">
            <w:rPr>
              <w:rStyle w:val="PageNumber"/>
              <w:sz w:val="18"/>
              <w:szCs w:val="18"/>
            </w:rPr>
            <w:fldChar w:fldCharType="separate"/>
          </w:r>
          <w:r w:rsidR="00351B96">
            <w:rPr>
              <w:rStyle w:val="PageNumber"/>
              <w:sz w:val="18"/>
              <w:szCs w:val="18"/>
            </w:rPr>
            <w:t>11</w:t>
          </w:r>
          <w:r w:rsidR="00A0402E" w:rsidRPr="00D85996">
            <w:rPr>
              <w:rStyle w:val="PageNumber"/>
              <w:sz w:val="18"/>
              <w:szCs w:val="18"/>
            </w:rPr>
            <w:fldChar w:fldCharType="end"/>
          </w:r>
        </w:p>
      </w:tc>
    </w:tr>
  </w:tbl>
  <w:p w:rsidR="005E620B" w:rsidRDefault="005E620B" w:rsidP="00D859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24C" w:rsidRDefault="0078224C">
      <w:r>
        <w:separator/>
      </w:r>
    </w:p>
  </w:footnote>
  <w:footnote w:type="continuationSeparator" w:id="0">
    <w:p w:rsidR="0078224C" w:rsidRDefault="007822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0B" w:rsidRDefault="005E620B" w:rsidP="00181F99">
    <w:pPr>
      <w:pStyle w:val="Header"/>
      <w:tabs>
        <w:tab w:val="clear" w:pos="4153"/>
        <w:tab w:val="clear" w:pos="8306"/>
        <w:tab w:val="right" w:pos="9072"/>
      </w:tabs>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0B" w:rsidRDefault="005E620B" w:rsidP="00E26394">
    <w:pPr>
      <w:pStyle w:val="Header"/>
      <w:tabs>
        <w:tab w:val="clear" w:pos="4153"/>
        <w:tab w:val="clear" w:pos="8306"/>
        <w:tab w:val="right" w:pos="8789"/>
      </w:tabs>
    </w:pPr>
    <w:r>
      <w:rPr>
        <w:noProof/>
        <w:lang w:eastAsia="en-GB"/>
      </w:rPr>
      <w:tab/>
    </w:r>
    <w:r w:rsidRPr="00E26394">
      <w:rPr>
        <w:noProof/>
        <w:lang w:eastAsia="en-GB"/>
      </w:rPr>
      <w:t xml:space="preserve"> </w:t>
    </w:r>
  </w:p>
  <w:p w:rsidR="005E620B" w:rsidRDefault="005E62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0B" w:rsidRDefault="005E620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0B" w:rsidRDefault="005E620B" w:rsidP="00E26394">
    <w:pPr>
      <w:pStyle w:val="Header"/>
      <w:tabs>
        <w:tab w:val="clear" w:pos="4153"/>
        <w:tab w:val="clear" w:pos="8306"/>
        <w:tab w:val="right" w:pos="9072"/>
      </w:tabs>
    </w:pPr>
    <w:r>
      <w:rPr>
        <w:noProof/>
        <w:lang w:eastAsia="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A8B"/>
    <w:multiLevelType w:val="hybridMultilevel"/>
    <w:tmpl w:val="BFF82BB8"/>
    <w:lvl w:ilvl="0" w:tplc="5D723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3F62"/>
    <w:multiLevelType w:val="hybridMultilevel"/>
    <w:tmpl w:val="832EF2B6"/>
    <w:lvl w:ilvl="0" w:tplc="44A009E2">
      <w:numFmt w:val="bullet"/>
      <w:lvlText w:val="-"/>
      <w:lvlJc w:val="left"/>
      <w:pPr>
        <w:tabs>
          <w:tab w:val="num" w:pos="0"/>
        </w:tabs>
        <w:ind w:left="360" w:hanging="360"/>
      </w:pPr>
      <w:rPr>
        <w:rFonts w:ascii="Times New Roman" w:eastAsia="Times New Roman" w:hAnsi="Times New Roman"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74474B"/>
    <w:multiLevelType w:val="hybridMultilevel"/>
    <w:tmpl w:val="4FA603AC"/>
    <w:lvl w:ilvl="0" w:tplc="44A009E2">
      <w:numFmt w:val="bullet"/>
      <w:lvlText w:val="-"/>
      <w:lvlJc w:val="left"/>
      <w:pPr>
        <w:ind w:left="1440" w:hanging="360"/>
      </w:pPr>
      <w:rPr>
        <w:rFonts w:ascii="Times New Roman" w:eastAsia="Times New Roman" w:hAnsi="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E4E7FEC"/>
    <w:multiLevelType w:val="hybridMultilevel"/>
    <w:tmpl w:val="AF5E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8502D"/>
    <w:multiLevelType w:val="hybridMultilevel"/>
    <w:tmpl w:val="F63CF066"/>
    <w:lvl w:ilvl="0" w:tplc="44A009E2">
      <w:numFmt w:val="bullet"/>
      <w:lvlText w:val="-"/>
      <w:lvlJc w:val="left"/>
      <w:pPr>
        <w:tabs>
          <w:tab w:val="num" w:pos="720"/>
        </w:tabs>
        <w:ind w:left="720" w:hanging="360"/>
      </w:pPr>
      <w:rPr>
        <w:rFonts w:ascii="Times New Roman" w:eastAsia="Times New Roman" w:hAnsi="Times New Roman" w:hint="default"/>
      </w:rPr>
    </w:lvl>
    <w:lvl w:ilvl="1" w:tplc="FB84B3C4">
      <w:start w:val="1"/>
      <w:numFmt w:val="decimal"/>
      <w:lvlText w:val="%2."/>
      <w:lvlJc w:val="left"/>
      <w:pPr>
        <w:tabs>
          <w:tab w:val="num" w:pos="1440"/>
        </w:tabs>
        <w:ind w:left="1440" w:hanging="360"/>
      </w:pPr>
      <w:rPr>
        <w:rFonts w:cs="Times New Roman"/>
        <w:i w:val="0"/>
      </w:rPr>
    </w:lvl>
    <w:lvl w:ilvl="2" w:tplc="59603D34">
      <w:numFmt w:val="none"/>
      <w:lvlText w:val=""/>
      <w:lvlJc w:val="left"/>
      <w:pPr>
        <w:tabs>
          <w:tab w:val="num" w:pos="360"/>
        </w:tabs>
      </w:pPr>
      <w:rPr>
        <w:rFonts w:cs="Times New Roman"/>
      </w:rPr>
    </w:lvl>
    <w:lvl w:ilvl="3" w:tplc="4DC60A2A">
      <w:start w:val="1"/>
      <w:numFmt w:val="bullet"/>
      <w:lvlText w:val=""/>
      <w:lvlJc w:val="left"/>
      <w:pPr>
        <w:tabs>
          <w:tab w:val="num" w:pos="2880"/>
        </w:tabs>
        <w:ind w:left="2880" w:hanging="360"/>
      </w:pPr>
      <w:rPr>
        <w:rFonts w:ascii="Symbol" w:hAnsi="Symbol" w:hint="default"/>
      </w:rPr>
    </w:lvl>
    <w:lvl w:ilvl="4" w:tplc="5C6E7FD0">
      <w:start w:val="1"/>
      <w:numFmt w:val="bullet"/>
      <w:lvlText w:val="o"/>
      <w:lvlJc w:val="left"/>
      <w:pPr>
        <w:tabs>
          <w:tab w:val="num" w:pos="3600"/>
        </w:tabs>
        <w:ind w:left="3600" w:hanging="360"/>
      </w:pPr>
      <w:rPr>
        <w:rFonts w:ascii="Courier New" w:hAnsi="Courier New" w:hint="default"/>
      </w:rPr>
    </w:lvl>
    <w:lvl w:ilvl="5" w:tplc="D2C41ECA">
      <w:start w:val="1"/>
      <w:numFmt w:val="bullet"/>
      <w:lvlText w:val=""/>
      <w:lvlJc w:val="left"/>
      <w:pPr>
        <w:tabs>
          <w:tab w:val="num" w:pos="4320"/>
        </w:tabs>
        <w:ind w:left="4320" w:hanging="360"/>
      </w:pPr>
      <w:rPr>
        <w:rFonts w:ascii="Wingdings" w:hAnsi="Wingdings" w:hint="default"/>
      </w:rPr>
    </w:lvl>
    <w:lvl w:ilvl="6" w:tplc="6DB8C3BA">
      <w:start w:val="1"/>
      <w:numFmt w:val="bullet"/>
      <w:lvlText w:val=""/>
      <w:lvlJc w:val="left"/>
      <w:pPr>
        <w:tabs>
          <w:tab w:val="num" w:pos="5040"/>
        </w:tabs>
        <w:ind w:left="5040" w:hanging="360"/>
      </w:pPr>
      <w:rPr>
        <w:rFonts w:ascii="Symbol" w:hAnsi="Symbol" w:hint="default"/>
      </w:rPr>
    </w:lvl>
    <w:lvl w:ilvl="7" w:tplc="39BC39AE">
      <w:start w:val="1"/>
      <w:numFmt w:val="bullet"/>
      <w:lvlText w:val="o"/>
      <w:lvlJc w:val="left"/>
      <w:pPr>
        <w:tabs>
          <w:tab w:val="num" w:pos="5760"/>
        </w:tabs>
        <w:ind w:left="5760" w:hanging="360"/>
      </w:pPr>
      <w:rPr>
        <w:rFonts w:ascii="Courier New" w:hAnsi="Courier New" w:hint="default"/>
      </w:rPr>
    </w:lvl>
    <w:lvl w:ilvl="8" w:tplc="415A67C0">
      <w:start w:val="1"/>
      <w:numFmt w:val="bullet"/>
      <w:lvlText w:val=""/>
      <w:lvlJc w:val="left"/>
      <w:pPr>
        <w:tabs>
          <w:tab w:val="num" w:pos="6480"/>
        </w:tabs>
        <w:ind w:left="6480" w:hanging="360"/>
      </w:pPr>
      <w:rPr>
        <w:rFonts w:ascii="Wingdings" w:hAnsi="Wingdings" w:hint="default"/>
      </w:rPr>
    </w:lvl>
  </w:abstractNum>
  <w:abstractNum w:abstractNumId="5">
    <w:nsid w:val="14F947EA"/>
    <w:multiLevelType w:val="hybridMultilevel"/>
    <w:tmpl w:val="5762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C566C"/>
    <w:multiLevelType w:val="hybridMultilevel"/>
    <w:tmpl w:val="62F2469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64FC6"/>
    <w:multiLevelType w:val="hybridMultilevel"/>
    <w:tmpl w:val="2908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E371D"/>
    <w:multiLevelType w:val="hybridMultilevel"/>
    <w:tmpl w:val="01C63FB8"/>
    <w:lvl w:ilvl="0" w:tplc="CE0C46B0">
      <w:start w:val="1"/>
      <w:numFmt w:val="bullet"/>
      <w:pStyle w:val="J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925672"/>
    <w:multiLevelType w:val="hybridMultilevel"/>
    <w:tmpl w:val="46C695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32592EAB"/>
    <w:multiLevelType w:val="hybridMultilevel"/>
    <w:tmpl w:val="42063A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11">
    <w:nsid w:val="33B021EF"/>
    <w:multiLevelType w:val="hybridMultilevel"/>
    <w:tmpl w:val="01046E84"/>
    <w:lvl w:ilvl="0" w:tplc="5D723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8B76BF"/>
    <w:multiLevelType w:val="hybridMultilevel"/>
    <w:tmpl w:val="B180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21267"/>
    <w:multiLevelType w:val="hybridMultilevel"/>
    <w:tmpl w:val="43A0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60320"/>
    <w:multiLevelType w:val="hybridMultilevel"/>
    <w:tmpl w:val="396E797A"/>
    <w:lvl w:ilvl="0" w:tplc="15803D78">
      <w:start w:val="1"/>
      <w:numFmt w:val="bullet"/>
      <w:lvlText w:val=""/>
      <w:lvlJc w:val="left"/>
      <w:pPr>
        <w:tabs>
          <w:tab w:val="num" w:pos="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82817AE"/>
    <w:multiLevelType w:val="hybridMultilevel"/>
    <w:tmpl w:val="223CDF9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hint="default"/>
      </w:rPr>
    </w:lvl>
    <w:lvl w:ilvl="8" w:tplc="08090005">
      <w:start w:val="1"/>
      <w:numFmt w:val="bullet"/>
      <w:lvlText w:val=""/>
      <w:lvlJc w:val="left"/>
      <w:pPr>
        <w:ind w:left="7920" w:hanging="360"/>
      </w:pPr>
      <w:rPr>
        <w:rFonts w:ascii="Wingdings" w:hAnsi="Wingdings" w:hint="default"/>
      </w:rPr>
    </w:lvl>
  </w:abstractNum>
  <w:abstractNum w:abstractNumId="16">
    <w:nsid w:val="3A2B47F0"/>
    <w:multiLevelType w:val="hybridMultilevel"/>
    <w:tmpl w:val="1B0C2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14077"/>
    <w:multiLevelType w:val="hybridMultilevel"/>
    <w:tmpl w:val="BF0EFAD0"/>
    <w:lvl w:ilvl="0" w:tplc="15803D78">
      <w:start w:val="1"/>
      <w:numFmt w:val="bullet"/>
      <w:lvlText w:val=""/>
      <w:lvlJc w:val="left"/>
      <w:pPr>
        <w:tabs>
          <w:tab w:val="num" w:pos="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A5250C"/>
    <w:multiLevelType w:val="hybridMultilevel"/>
    <w:tmpl w:val="D38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A3CB7"/>
    <w:multiLevelType w:val="hybridMultilevel"/>
    <w:tmpl w:val="DB1090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3C9335A"/>
    <w:multiLevelType w:val="hybridMultilevel"/>
    <w:tmpl w:val="9B72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E0EA0"/>
    <w:multiLevelType w:val="hybridMultilevel"/>
    <w:tmpl w:val="A016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FB3F4E"/>
    <w:multiLevelType w:val="hybridMultilevel"/>
    <w:tmpl w:val="A6BA9D7C"/>
    <w:lvl w:ilvl="0" w:tplc="44A009E2">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2A5CCD"/>
    <w:multiLevelType w:val="multilevel"/>
    <w:tmpl w:val="110E81B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1080"/>
        </w:tabs>
        <w:ind w:left="284" w:hanging="284"/>
      </w:pPr>
      <w:rPr>
        <w:rFonts w:hint="default"/>
      </w:rPr>
    </w:lvl>
    <w:lvl w:ilvl="3">
      <w:start w:val="1"/>
      <w:numFmt w:val="decimal"/>
      <w:pStyle w:val="Heading4"/>
      <w:lvlText w:val="%1.%2.%3.%4"/>
      <w:lvlJc w:val="left"/>
      <w:pPr>
        <w:tabs>
          <w:tab w:val="num" w:pos="1440"/>
        </w:tabs>
        <w:ind w:left="284" w:hanging="284"/>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4">
    <w:nsid w:val="4BDE4EC7"/>
    <w:multiLevelType w:val="hybridMultilevel"/>
    <w:tmpl w:val="FA02B248"/>
    <w:lvl w:ilvl="0" w:tplc="44A009E2">
      <w:numFmt w:val="bullet"/>
      <w:lvlText w:val="-"/>
      <w:lvlJc w:val="left"/>
      <w:pPr>
        <w:tabs>
          <w:tab w:val="num" w:pos="0"/>
        </w:tabs>
        <w:ind w:left="360" w:hanging="360"/>
      </w:pPr>
      <w:rPr>
        <w:rFonts w:ascii="Times New Roman" w:eastAsia="Times New Roman" w:hAnsi="Times New Roman"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DC36A85"/>
    <w:multiLevelType w:val="hybridMultilevel"/>
    <w:tmpl w:val="72BC0F0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nsid w:val="52415FEC"/>
    <w:multiLevelType w:val="hybridMultilevel"/>
    <w:tmpl w:val="40264840"/>
    <w:lvl w:ilvl="0" w:tplc="3F46F2B2">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7">
    <w:nsid w:val="581E3C67"/>
    <w:multiLevelType w:val="hybridMultilevel"/>
    <w:tmpl w:val="FA288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31221A"/>
    <w:multiLevelType w:val="hybridMultilevel"/>
    <w:tmpl w:val="190EA1CC"/>
    <w:lvl w:ilvl="0" w:tplc="04090001">
      <w:start w:val="1"/>
      <w:numFmt w:val="bullet"/>
      <w:pStyle w:val="Table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EC5148"/>
    <w:multiLevelType w:val="hybridMultilevel"/>
    <w:tmpl w:val="EDB4AA20"/>
    <w:lvl w:ilvl="0" w:tplc="04090001">
      <w:start w:val="1"/>
      <w:numFmt w:val="decimal"/>
      <w:lvlText w:val="%1."/>
      <w:lvlJc w:val="left"/>
      <w:pPr>
        <w:ind w:left="720" w:hanging="360"/>
      </w:pPr>
      <w:rPr>
        <w:rFonts w:cs="Times New Roman"/>
      </w:r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nsid w:val="67D10665"/>
    <w:multiLevelType w:val="hybridMultilevel"/>
    <w:tmpl w:val="EF2E706A"/>
    <w:lvl w:ilvl="0" w:tplc="089CB8C2">
      <w:start w:val="1"/>
      <w:numFmt w:val="bullet"/>
      <w:lvlText w:val=""/>
      <w:lvlJc w:val="left"/>
      <w:pPr>
        <w:ind w:left="720" w:hanging="360"/>
      </w:pPr>
      <w:rPr>
        <w:rFonts w:ascii="Symbol" w:hAnsi="Symbol" w:hint="default"/>
      </w:rPr>
    </w:lvl>
    <w:lvl w:ilvl="1" w:tplc="A2AE9460" w:tentative="1">
      <w:start w:val="1"/>
      <w:numFmt w:val="bullet"/>
      <w:lvlText w:val="o"/>
      <w:lvlJc w:val="left"/>
      <w:pPr>
        <w:ind w:left="1440" w:hanging="360"/>
      </w:pPr>
      <w:rPr>
        <w:rFonts w:ascii="Courier New" w:hAnsi="Courier New" w:hint="default"/>
      </w:rPr>
    </w:lvl>
    <w:lvl w:ilvl="2" w:tplc="C2305CCE" w:tentative="1">
      <w:start w:val="1"/>
      <w:numFmt w:val="bullet"/>
      <w:lvlText w:val=""/>
      <w:lvlJc w:val="left"/>
      <w:pPr>
        <w:ind w:left="2160" w:hanging="360"/>
      </w:pPr>
      <w:rPr>
        <w:rFonts w:ascii="Wingdings" w:hAnsi="Wingdings" w:hint="default"/>
      </w:rPr>
    </w:lvl>
    <w:lvl w:ilvl="3" w:tplc="ACB41E80" w:tentative="1">
      <w:start w:val="1"/>
      <w:numFmt w:val="bullet"/>
      <w:lvlText w:val=""/>
      <w:lvlJc w:val="left"/>
      <w:pPr>
        <w:ind w:left="2880" w:hanging="360"/>
      </w:pPr>
      <w:rPr>
        <w:rFonts w:ascii="Symbol" w:hAnsi="Symbol" w:hint="default"/>
      </w:rPr>
    </w:lvl>
    <w:lvl w:ilvl="4" w:tplc="84205ABC" w:tentative="1">
      <w:start w:val="1"/>
      <w:numFmt w:val="bullet"/>
      <w:lvlText w:val="o"/>
      <w:lvlJc w:val="left"/>
      <w:pPr>
        <w:ind w:left="3600" w:hanging="360"/>
      </w:pPr>
      <w:rPr>
        <w:rFonts w:ascii="Courier New" w:hAnsi="Courier New" w:hint="default"/>
      </w:rPr>
    </w:lvl>
    <w:lvl w:ilvl="5" w:tplc="7AF801C0" w:tentative="1">
      <w:start w:val="1"/>
      <w:numFmt w:val="bullet"/>
      <w:lvlText w:val=""/>
      <w:lvlJc w:val="left"/>
      <w:pPr>
        <w:ind w:left="4320" w:hanging="360"/>
      </w:pPr>
      <w:rPr>
        <w:rFonts w:ascii="Wingdings" w:hAnsi="Wingdings" w:hint="default"/>
      </w:rPr>
    </w:lvl>
    <w:lvl w:ilvl="6" w:tplc="7DBABFB8" w:tentative="1">
      <w:start w:val="1"/>
      <w:numFmt w:val="bullet"/>
      <w:lvlText w:val=""/>
      <w:lvlJc w:val="left"/>
      <w:pPr>
        <w:ind w:left="5040" w:hanging="360"/>
      </w:pPr>
      <w:rPr>
        <w:rFonts w:ascii="Symbol" w:hAnsi="Symbol" w:hint="default"/>
      </w:rPr>
    </w:lvl>
    <w:lvl w:ilvl="7" w:tplc="9B4E8CEE" w:tentative="1">
      <w:start w:val="1"/>
      <w:numFmt w:val="bullet"/>
      <w:lvlText w:val="o"/>
      <w:lvlJc w:val="left"/>
      <w:pPr>
        <w:ind w:left="5760" w:hanging="360"/>
      </w:pPr>
      <w:rPr>
        <w:rFonts w:ascii="Courier New" w:hAnsi="Courier New" w:hint="default"/>
      </w:rPr>
    </w:lvl>
    <w:lvl w:ilvl="8" w:tplc="04185C4C" w:tentative="1">
      <w:start w:val="1"/>
      <w:numFmt w:val="bullet"/>
      <w:lvlText w:val=""/>
      <w:lvlJc w:val="left"/>
      <w:pPr>
        <w:ind w:left="6480" w:hanging="360"/>
      </w:pPr>
      <w:rPr>
        <w:rFonts w:ascii="Wingdings" w:hAnsi="Wingdings" w:hint="default"/>
      </w:rPr>
    </w:lvl>
  </w:abstractNum>
  <w:abstractNum w:abstractNumId="31">
    <w:nsid w:val="69DF4C3F"/>
    <w:multiLevelType w:val="hybridMultilevel"/>
    <w:tmpl w:val="9596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4786B"/>
    <w:multiLevelType w:val="hybridMultilevel"/>
    <w:tmpl w:val="F8A8DB4A"/>
    <w:lvl w:ilvl="0" w:tplc="04090001">
      <w:start w:val="1"/>
      <w:numFmt w:val="bullet"/>
      <w:pStyle w:val="JE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8E2B6A"/>
    <w:multiLevelType w:val="hybridMultilevel"/>
    <w:tmpl w:val="F24E3120"/>
    <w:lvl w:ilvl="0" w:tplc="2F5084C6">
      <w:start w:val="1"/>
      <w:numFmt w:val="bullet"/>
      <w:lvlText w:val=""/>
      <w:lvlJc w:val="left"/>
      <w:pPr>
        <w:tabs>
          <w:tab w:val="num" w:pos="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0"/>
  </w:num>
  <w:num w:numId="3">
    <w:abstractNumId w:val="19"/>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28"/>
  </w:num>
  <w:num w:numId="14">
    <w:abstractNumId w:val="28"/>
  </w:num>
  <w:num w:numId="15">
    <w:abstractNumId w:val="29"/>
  </w:num>
  <w:num w:numId="16">
    <w:abstractNumId w:val="16"/>
  </w:num>
  <w:num w:numId="17">
    <w:abstractNumId w:val="20"/>
  </w:num>
  <w:num w:numId="18">
    <w:abstractNumId w:val="11"/>
  </w:num>
  <w:num w:numId="19">
    <w:abstractNumId w:val="32"/>
  </w:num>
  <w:num w:numId="20">
    <w:abstractNumId w:val="26"/>
  </w:num>
  <w:num w:numId="21">
    <w:abstractNumId w:val="12"/>
  </w:num>
  <w:num w:numId="22">
    <w:abstractNumId w:val="21"/>
  </w:num>
  <w:num w:numId="23">
    <w:abstractNumId w:val="18"/>
  </w:num>
  <w:num w:numId="24">
    <w:abstractNumId w:val="31"/>
  </w:num>
  <w:num w:numId="25">
    <w:abstractNumId w:val="5"/>
  </w:num>
  <w:num w:numId="26">
    <w:abstractNumId w:val="6"/>
  </w:num>
  <w:num w:numId="27">
    <w:abstractNumId w:val="33"/>
  </w:num>
  <w:num w:numId="28">
    <w:abstractNumId w:val="17"/>
  </w:num>
  <w:num w:numId="29">
    <w:abstractNumId w:val="4"/>
    <w:lvlOverride w:ilvl="0"/>
    <w:lvlOverride w:ilvl="1">
      <w:startOverride w:val="1"/>
    </w:lvlOverride>
    <w:lvlOverride w:ilvl="2"/>
    <w:lvlOverride w:ilvl="3"/>
    <w:lvlOverride w:ilvl="4"/>
    <w:lvlOverride w:ilvl="5"/>
    <w:lvlOverride w:ilvl="6"/>
    <w:lvlOverride w:ilvl="7"/>
    <w:lvlOverride w:ilvl="8"/>
  </w:num>
  <w:num w:numId="30">
    <w:abstractNumId w:val="14"/>
  </w:num>
  <w:num w:numId="31">
    <w:abstractNumId w:val="15"/>
  </w:num>
  <w:num w:numId="32">
    <w:abstractNumId w:val="10"/>
  </w:num>
  <w:num w:numId="33">
    <w:abstractNumId w:val="9"/>
  </w:num>
  <w:num w:numId="34">
    <w:abstractNumId w:val="2"/>
  </w:num>
  <w:num w:numId="35">
    <w:abstractNumId w:val="4"/>
  </w:num>
  <w:num w:numId="36">
    <w:abstractNumId w:val="24"/>
  </w:num>
  <w:num w:numId="37">
    <w:abstractNumId w:val="1"/>
  </w:num>
  <w:num w:numId="38">
    <w:abstractNumId w:val="22"/>
  </w:num>
  <w:num w:numId="39">
    <w:abstractNumId w:val="25"/>
  </w:num>
  <w:num w:numId="40">
    <w:abstractNumId w:val="30"/>
  </w:num>
  <w:num w:numId="41">
    <w:abstractNumId w:val="27"/>
  </w:num>
  <w:num w:numId="42">
    <w:abstractNumId w:val="3"/>
  </w:num>
  <w:num w:numId="43">
    <w:abstractNumId w:val="13"/>
  </w:num>
  <w:num w:numId="44">
    <w:abstractNumId w:val="7"/>
  </w:num>
  <w:num w:numId="45">
    <w:abstractNumId w:val="8"/>
  </w:num>
  <w:num w:numId="46">
    <w:abstractNumId w:val="23"/>
  </w:num>
  <w:num w:numId="47">
    <w:abstractNumId w:val="23"/>
  </w:num>
  <w:num w:numId="48">
    <w:abstractNumId w:val="2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stylePaneFormatFilter w:val="3701"/>
  <w:doNotTrackMoves/>
  <w:defaultTabStop w:val="720"/>
  <w:drawingGridHorizontalSpacing w:val="100"/>
  <w:drawingGridVerticalSpacing w:val="181"/>
  <w:displayHorizontalDrawingGridEvery w:val="2"/>
  <w:noPunctuationKerning/>
  <w:characterSpacingControl w:val="doNotCompress"/>
  <w:hdrShapeDefaults>
    <o:shapedefaults v:ext="edit" spidmax="11266">
      <o:colormru v:ext="edit" colors="#2f3b40"/>
    </o:shapedefaults>
  </w:hdrShapeDefaults>
  <w:footnotePr>
    <w:footnote w:id="-1"/>
    <w:footnote w:id="0"/>
  </w:footnotePr>
  <w:endnotePr>
    <w:endnote w:id="-1"/>
    <w:endnote w:id="0"/>
  </w:endnotePr>
  <w:compat/>
  <w:rsids>
    <w:rsidRoot w:val="009F353E"/>
    <w:rsid w:val="00006405"/>
    <w:rsid w:val="00010643"/>
    <w:rsid w:val="00013F68"/>
    <w:rsid w:val="0001609D"/>
    <w:rsid w:val="00023E85"/>
    <w:rsid w:val="000402C4"/>
    <w:rsid w:val="0005091C"/>
    <w:rsid w:val="00050B3A"/>
    <w:rsid w:val="000618C3"/>
    <w:rsid w:val="000733D2"/>
    <w:rsid w:val="000766E4"/>
    <w:rsid w:val="00084F17"/>
    <w:rsid w:val="00091B1E"/>
    <w:rsid w:val="000A0A25"/>
    <w:rsid w:val="000A1DF9"/>
    <w:rsid w:val="000A4A3D"/>
    <w:rsid w:val="000B4007"/>
    <w:rsid w:val="000C11E4"/>
    <w:rsid w:val="000C3B32"/>
    <w:rsid w:val="000C3F62"/>
    <w:rsid w:val="000C4304"/>
    <w:rsid w:val="000D19B9"/>
    <w:rsid w:val="000F35EF"/>
    <w:rsid w:val="000F481E"/>
    <w:rsid w:val="001104B4"/>
    <w:rsid w:val="00111D00"/>
    <w:rsid w:val="00113D87"/>
    <w:rsid w:val="00114DC2"/>
    <w:rsid w:val="00134A8B"/>
    <w:rsid w:val="0014334A"/>
    <w:rsid w:val="00150A31"/>
    <w:rsid w:val="00167238"/>
    <w:rsid w:val="00171C36"/>
    <w:rsid w:val="00174FE6"/>
    <w:rsid w:val="0017745E"/>
    <w:rsid w:val="001802D9"/>
    <w:rsid w:val="00181F99"/>
    <w:rsid w:val="001A1BEF"/>
    <w:rsid w:val="001A568E"/>
    <w:rsid w:val="001B63AC"/>
    <w:rsid w:val="001B66A0"/>
    <w:rsid w:val="001E3165"/>
    <w:rsid w:val="001F59C0"/>
    <w:rsid w:val="002310AA"/>
    <w:rsid w:val="002330DD"/>
    <w:rsid w:val="002374F8"/>
    <w:rsid w:val="0024161A"/>
    <w:rsid w:val="00244F4A"/>
    <w:rsid w:val="0025285C"/>
    <w:rsid w:val="002614DC"/>
    <w:rsid w:val="00266E0E"/>
    <w:rsid w:val="00272FAA"/>
    <w:rsid w:val="00284CA0"/>
    <w:rsid w:val="00290AAA"/>
    <w:rsid w:val="00291BF9"/>
    <w:rsid w:val="002B46E5"/>
    <w:rsid w:val="002E4BB6"/>
    <w:rsid w:val="002F2A0F"/>
    <w:rsid w:val="002F3872"/>
    <w:rsid w:val="002F6D16"/>
    <w:rsid w:val="00301BB6"/>
    <w:rsid w:val="00302EE5"/>
    <w:rsid w:val="00314ED6"/>
    <w:rsid w:val="00315ACF"/>
    <w:rsid w:val="003214A7"/>
    <w:rsid w:val="00325F98"/>
    <w:rsid w:val="00343C3F"/>
    <w:rsid w:val="00345DEE"/>
    <w:rsid w:val="00351B96"/>
    <w:rsid w:val="00355482"/>
    <w:rsid w:val="003633A6"/>
    <w:rsid w:val="0036633E"/>
    <w:rsid w:val="0037559D"/>
    <w:rsid w:val="00382BC3"/>
    <w:rsid w:val="00390D3D"/>
    <w:rsid w:val="003922FC"/>
    <w:rsid w:val="00393687"/>
    <w:rsid w:val="00396A93"/>
    <w:rsid w:val="003A4A4F"/>
    <w:rsid w:val="003C0AAC"/>
    <w:rsid w:val="003C3C73"/>
    <w:rsid w:val="003D763A"/>
    <w:rsid w:val="003E0D36"/>
    <w:rsid w:val="003E69C0"/>
    <w:rsid w:val="00420BAF"/>
    <w:rsid w:val="00434CC6"/>
    <w:rsid w:val="00440D93"/>
    <w:rsid w:val="00476AA2"/>
    <w:rsid w:val="00491B09"/>
    <w:rsid w:val="004935E4"/>
    <w:rsid w:val="0049370D"/>
    <w:rsid w:val="004942D5"/>
    <w:rsid w:val="0049592A"/>
    <w:rsid w:val="004A7F96"/>
    <w:rsid w:val="004B0191"/>
    <w:rsid w:val="004B249E"/>
    <w:rsid w:val="004B66FA"/>
    <w:rsid w:val="004C191E"/>
    <w:rsid w:val="004C1C5B"/>
    <w:rsid w:val="004C2AA0"/>
    <w:rsid w:val="004C43A8"/>
    <w:rsid w:val="004C76AE"/>
    <w:rsid w:val="004D45DE"/>
    <w:rsid w:val="004E1CC1"/>
    <w:rsid w:val="004F278D"/>
    <w:rsid w:val="004F3D82"/>
    <w:rsid w:val="004F4876"/>
    <w:rsid w:val="004F610A"/>
    <w:rsid w:val="005005ED"/>
    <w:rsid w:val="00510C3A"/>
    <w:rsid w:val="0051608F"/>
    <w:rsid w:val="00520EA4"/>
    <w:rsid w:val="005229F4"/>
    <w:rsid w:val="0052504A"/>
    <w:rsid w:val="00543F0F"/>
    <w:rsid w:val="0054477F"/>
    <w:rsid w:val="0054758C"/>
    <w:rsid w:val="0056176D"/>
    <w:rsid w:val="005619ED"/>
    <w:rsid w:val="00565969"/>
    <w:rsid w:val="00577452"/>
    <w:rsid w:val="00585BB1"/>
    <w:rsid w:val="005901E5"/>
    <w:rsid w:val="00592FC2"/>
    <w:rsid w:val="005977A8"/>
    <w:rsid w:val="00597EFE"/>
    <w:rsid w:val="005A2993"/>
    <w:rsid w:val="005A336C"/>
    <w:rsid w:val="005A5867"/>
    <w:rsid w:val="005B053A"/>
    <w:rsid w:val="005B1992"/>
    <w:rsid w:val="005B3F78"/>
    <w:rsid w:val="005C29C9"/>
    <w:rsid w:val="005C7B8D"/>
    <w:rsid w:val="005D206F"/>
    <w:rsid w:val="005D4F2C"/>
    <w:rsid w:val="005D7B20"/>
    <w:rsid w:val="005D7E48"/>
    <w:rsid w:val="005E0B82"/>
    <w:rsid w:val="005E620B"/>
    <w:rsid w:val="0060041E"/>
    <w:rsid w:val="00611226"/>
    <w:rsid w:val="00615745"/>
    <w:rsid w:val="00616FB8"/>
    <w:rsid w:val="00621890"/>
    <w:rsid w:val="00623FFC"/>
    <w:rsid w:val="00630F0E"/>
    <w:rsid w:val="0063470E"/>
    <w:rsid w:val="00635004"/>
    <w:rsid w:val="00656C3C"/>
    <w:rsid w:val="006625BD"/>
    <w:rsid w:val="006776DB"/>
    <w:rsid w:val="0068269B"/>
    <w:rsid w:val="00692A1E"/>
    <w:rsid w:val="00694E37"/>
    <w:rsid w:val="006A06A7"/>
    <w:rsid w:val="006A1EEC"/>
    <w:rsid w:val="006B15E3"/>
    <w:rsid w:val="006C07D3"/>
    <w:rsid w:val="006C6AEA"/>
    <w:rsid w:val="006C780A"/>
    <w:rsid w:val="006E1808"/>
    <w:rsid w:val="006E184F"/>
    <w:rsid w:val="006F1736"/>
    <w:rsid w:val="006F19A3"/>
    <w:rsid w:val="0072336C"/>
    <w:rsid w:val="00724E8D"/>
    <w:rsid w:val="00755D0E"/>
    <w:rsid w:val="0077777E"/>
    <w:rsid w:val="00781AE5"/>
    <w:rsid w:val="00781FAA"/>
    <w:rsid w:val="0078224C"/>
    <w:rsid w:val="00790DC6"/>
    <w:rsid w:val="00791200"/>
    <w:rsid w:val="00791286"/>
    <w:rsid w:val="00792063"/>
    <w:rsid w:val="007B6C6F"/>
    <w:rsid w:val="007C1CBC"/>
    <w:rsid w:val="007C30FC"/>
    <w:rsid w:val="007C7D45"/>
    <w:rsid w:val="007C7E23"/>
    <w:rsid w:val="007D7526"/>
    <w:rsid w:val="00827B13"/>
    <w:rsid w:val="00835E97"/>
    <w:rsid w:val="00840101"/>
    <w:rsid w:val="0085512F"/>
    <w:rsid w:val="00856FA6"/>
    <w:rsid w:val="00863B8B"/>
    <w:rsid w:val="00864720"/>
    <w:rsid w:val="00866DCA"/>
    <w:rsid w:val="00880CBB"/>
    <w:rsid w:val="008924AB"/>
    <w:rsid w:val="00893F08"/>
    <w:rsid w:val="008A262E"/>
    <w:rsid w:val="008A45C6"/>
    <w:rsid w:val="008B1092"/>
    <w:rsid w:val="008B3470"/>
    <w:rsid w:val="008B5D20"/>
    <w:rsid w:val="008B6D56"/>
    <w:rsid w:val="008B73ED"/>
    <w:rsid w:val="008D5563"/>
    <w:rsid w:val="008E48EC"/>
    <w:rsid w:val="008F1A71"/>
    <w:rsid w:val="00902B53"/>
    <w:rsid w:val="00912CB1"/>
    <w:rsid w:val="00935D33"/>
    <w:rsid w:val="00942854"/>
    <w:rsid w:val="009453C7"/>
    <w:rsid w:val="009521CF"/>
    <w:rsid w:val="009522FC"/>
    <w:rsid w:val="009575E3"/>
    <w:rsid w:val="00962F9B"/>
    <w:rsid w:val="009660EC"/>
    <w:rsid w:val="009743A9"/>
    <w:rsid w:val="00980B55"/>
    <w:rsid w:val="009D0F3D"/>
    <w:rsid w:val="009D29AB"/>
    <w:rsid w:val="009E774A"/>
    <w:rsid w:val="009F14AC"/>
    <w:rsid w:val="009F353E"/>
    <w:rsid w:val="00A005CD"/>
    <w:rsid w:val="00A0402E"/>
    <w:rsid w:val="00A074D9"/>
    <w:rsid w:val="00A10C4A"/>
    <w:rsid w:val="00A11154"/>
    <w:rsid w:val="00A251CB"/>
    <w:rsid w:val="00A44789"/>
    <w:rsid w:val="00A45935"/>
    <w:rsid w:val="00A53095"/>
    <w:rsid w:val="00A77A61"/>
    <w:rsid w:val="00A90648"/>
    <w:rsid w:val="00A93B99"/>
    <w:rsid w:val="00AA3AEA"/>
    <w:rsid w:val="00AA4BA1"/>
    <w:rsid w:val="00AA4BA3"/>
    <w:rsid w:val="00AA4EDE"/>
    <w:rsid w:val="00AA60FD"/>
    <w:rsid w:val="00AB0C6A"/>
    <w:rsid w:val="00AB272A"/>
    <w:rsid w:val="00AB35F2"/>
    <w:rsid w:val="00AB531D"/>
    <w:rsid w:val="00AC10C8"/>
    <w:rsid w:val="00AC6060"/>
    <w:rsid w:val="00AC6A9A"/>
    <w:rsid w:val="00AD4509"/>
    <w:rsid w:val="00AD5577"/>
    <w:rsid w:val="00AD56D1"/>
    <w:rsid w:val="00AE495D"/>
    <w:rsid w:val="00AF3D3F"/>
    <w:rsid w:val="00B05188"/>
    <w:rsid w:val="00B10FA5"/>
    <w:rsid w:val="00B21CE9"/>
    <w:rsid w:val="00B319A8"/>
    <w:rsid w:val="00B32560"/>
    <w:rsid w:val="00B37CB9"/>
    <w:rsid w:val="00B41431"/>
    <w:rsid w:val="00B43387"/>
    <w:rsid w:val="00B522E8"/>
    <w:rsid w:val="00B56D42"/>
    <w:rsid w:val="00B57362"/>
    <w:rsid w:val="00B65A7D"/>
    <w:rsid w:val="00B65E64"/>
    <w:rsid w:val="00B7564E"/>
    <w:rsid w:val="00B764F1"/>
    <w:rsid w:val="00B937A5"/>
    <w:rsid w:val="00B93DC3"/>
    <w:rsid w:val="00B96718"/>
    <w:rsid w:val="00BB1531"/>
    <w:rsid w:val="00BC273D"/>
    <w:rsid w:val="00BC5150"/>
    <w:rsid w:val="00BD3552"/>
    <w:rsid w:val="00BD561A"/>
    <w:rsid w:val="00BD5AC6"/>
    <w:rsid w:val="00BE45A7"/>
    <w:rsid w:val="00BE6241"/>
    <w:rsid w:val="00BE71E1"/>
    <w:rsid w:val="00BF1F72"/>
    <w:rsid w:val="00C0685B"/>
    <w:rsid w:val="00C119B0"/>
    <w:rsid w:val="00C20C49"/>
    <w:rsid w:val="00C26640"/>
    <w:rsid w:val="00C2720E"/>
    <w:rsid w:val="00C3561C"/>
    <w:rsid w:val="00C44A8C"/>
    <w:rsid w:val="00C4771F"/>
    <w:rsid w:val="00C50FD1"/>
    <w:rsid w:val="00C56FD5"/>
    <w:rsid w:val="00C71E75"/>
    <w:rsid w:val="00C835FC"/>
    <w:rsid w:val="00C84F0F"/>
    <w:rsid w:val="00C870CA"/>
    <w:rsid w:val="00CC3F85"/>
    <w:rsid w:val="00CD5870"/>
    <w:rsid w:val="00CE033F"/>
    <w:rsid w:val="00CE5551"/>
    <w:rsid w:val="00CE568A"/>
    <w:rsid w:val="00CE64C9"/>
    <w:rsid w:val="00CF4B95"/>
    <w:rsid w:val="00D02C81"/>
    <w:rsid w:val="00D035F3"/>
    <w:rsid w:val="00D11172"/>
    <w:rsid w:val="00D25412"/>
    <w:rsid w:val="00D26838"/>
    <w:rsid w:val="00D31A47"/>
    <w:rsid w:val="00D31CF7"/>
    <w:rsid w:val="00D32D6A"/>
    <w:rsid w:val="00D33B2A"/>
    <w:rsid w:val="00D378BB"/>
    <w:rsid w:val="00D408FE"/>
    <w:rsid w:val="00D43DFF"/>
    <w:rsid w:val="00D44E07"/>
    <w:rsid w:val="00D62007"/>
    <w:rsid w:val="00D62342"/>
    <w:rsid w:val="00D73B44"/>
    <w:rsid w:val="00D76AEB"/>
    <w:rsid w:val="00D77E20"/>
    <w:rsid w:val="00D85996"/>
    <w:rsid w:val="00D9236E"/>
    <w:rsid w:val="00D929AD"/>
    <w:rsid w:val="00D92F25"/>
    <w:rsid w:val="00D951C5"/>
    <w:rsid w:val="00D9583D"/>
    <w:rsid w:val="00DA2115"/>
    <w:rsid w:val="00DB7F3F"/>
    <w:rsid w:val="00DC7312"/>
    <w:rsid w:val="00DD0921"/>
    <w:rsid w:val="00DD3572"/>
    <w:rsid w:val="00DD55FC"/>
    <w:rsid w:val="00DD5CCE"/>
    <w:rsid w:val="00DE037B"/>
    <w:rsid w:val="00DF59A5"/>
    <w:rsid w:val="00DF65DF"/>
    <w:rsid w:val="00E12BA2"/>
    <w:rsid w:val="00E14A56"/>
    <w:rsid w:val="00E15281"/>
    <w:rsid w:val="00E23221"/>
    <w:rsid w:val="00E24B3C"/>
    <w:rsid w:val="00E26394"/>
    <w:rsid w:val="00E40F1F"/>
    <w:rsid w:val="00E438EA"/>
    <w:rsid w:val="00E43D34"/>
    <w:rsid w:val="00E44CDD"/>
    <w:rsid w:val="00E45BB8"/>
    <w:rsid w:val="00E466E0"/>
    <w:rsid w:val="00E537ED"/>
    <w:rsid w:val="00E5550D"/>
    <w:rsid w:val="00E66C2F"/>
    <w:rsid w:val="00E73D84"/>
    <w:rsid w:val="00E81FFC"/>
    <w:rsid w:val="00E826BA"/>
    <w:rsid w:val="00E83664"/>
    <w:rsid w:val="00E836EC"/>
    <w:rsid w:val="00E97820"/>
    <w:rsid w:val="00EA604C"/>
    <w:rsid w:val="00EB0AE5"/>
    <w:rsid w:val="00EB7883"/>
    <w:rsid w:val="00EC410D"/>
    <w:rsid w:val="00EC45DB"/>
    <w:rsid w:val="00ED2474"/>
    <w:rsid w:val="00ED5AAA"/>
    <w:rsid w:val="00EE788F"/>
    <w:rsid w:val="00F02DC5"/>
    <w:rsid w:val="00F05562"/>
    <w:rsid w:val="00F0723F"/>
    <w:rsid w:val="00F07C10"/>
    <w:rsid w:val="00F11DFF"/>
    <w:rsid w:val="00F23982"/>
    <w:rsid w:val="00F31908"/>
    <w:rsid w:val="00F347D7"/>
    <w:rsid w:val="00F40648"/>
    <w:rsid w:val="00F408DE"/>
    <w:rsid w:val="00F47556"/>
    <w:rsid w:val="00F63EF3"/>
    <w:rsid w:val="00F82A5B"/>
    <w:rsid w:val="00F91F1D"/>
    <w:rsid w:val="00F94FDE"/>
    <w:rsid w:val="00FA665F"/>
    <w:rsid w:val="00FA77AC"/>
    <w:rsid w:val="00FB3E79"/>
    <w:rsid w:val="00FB5322"/>
    <w:rsid w:val="00FC0533"/>
    <w:rsid w:val="00FC06C8"/>
    <w:rsid w:val="00FC2F77"/>
    <w:rsid w:val="00FC49A9"/>
    <w:rsid w:val="00FC749F"/>
    <w:rsid w:val="00FD774A"/>
    <w:rsid w:val="00FE61E0"/>
    <w:rsid w:val="00FF4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2f3b4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FollowedHyperlink"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236E"/>
    <w:rPr>
      <w:rFonts w:ascii="Arial" w:hAnsi="Arial"/>
      <w:lang w:eastAsia="en-US"/>
    </w:rPr>
  </w:style>
  <w:style w:type="paragraph" w:styleId="Heading1">
    <w:name w:val="heading 1"/>
    <w:basedOn w:val="Normal"/>
    <w:next w:val="Normal"/>
    <w:link w:val="Heading1Char"/>
    <w:autoRedefine/>
    <w:uiPriority w:val="99"/>
    <w:qFormat/>
    <w:rsid w:val="00333057"/>
    <w:pPr>
      <w:keepNext/>
      <w:numPr>
        <w:numId w:val="1"/>
      </w:numPr>
      <w:spacing w:after="360" w:line="360" w:lineRule="exact"/>
      <w:outlineLvl w:val="0"/>
    </w:pPr>
    <w:rPr>
      <w:bCs/>
      <w:kern w:val="32"/>
      <w:sz w:val="36"/>
      <w:szCs w:val="32"/>
    </w:rPr>
  </w:style>
  <w:style w:type="paragraph" w:styleId="Heading2">
    <w:name w:val="heading 2"/>
    <w:basedOn w:val="Normal"/>
    <w:next w:val="Normal"/>
    <w:link w:val="Heading2Char"/>
    <w:autoRedefine/>
    <w:uiPriority w:val="99"/>
    <w:qFormat/>
    <w:rsid w:val="00A93B89"/>
    <w:pPr>
      <w:keepNext/>
      <w:numPr>
        <w:ilvl w:val="1"/>
        <w:numId w:val="1"/>
      </w:numPr>
      <w:tabs>
        <w:tab w:val="left" w:pos="284"/>
      </w:tabs>
      <w:spacing w:before="240" w:after="240" w:line="280" w:lineRule="exact"/>
      <w:outlineLvl w:val="1"/>
    </w:pPr>
    <w:rPr>
      <w:bCs/>
      <w:iCs/>
      <w:szCs w:val="28"/>
    </w:rPr>
  </w:style>
  <w:style w:type="paragraph" w:styleId="Heading3">
    <w:name w:val="heading 3"/>
    <w:basedOn w:val="Normal"/>
    <w:next w:val="Normal"/>
    <w:link w:val="Heading3Char"/>
    <w:autoRedefine/>
    <w:uiPriority w:val="99"/>
    <w:qFormat/>
    <w:rsid w:val="00333057"/>
    <w:pPr>
      <w:numPr>
        <w:ilvl w:val="2"/>
        <w:numId w:val="1"/>
      </w:numPr>
      <w:spacing w:before="60"/>
      <w:outlineLvl w:val="2"/>
    </w:pPr>
    <w:rPr>
      <w:b/>
      <w:szCs w:val="26"/>
    </w:rPr>
  </w:style>
  <w:style w:type="paragraph" w:styleId="Heading4">
    <w:name w:val="heading 4"/>
    <w:basedOn w:val="Normal"/>
    <w:next w:val="Normal"/>
    <w:autoRedefine/>
    <w:qFormat/>
    <w:rsid w:val="00D9236E"/>
    <w:pPr>
      <w:keepNext/>
      <w:numPr>
        <w:ilvl w:val="3"/>
        <w:numId w:val="1"/>
      </w:numPr>
      <w:tabs>
        <w:tab w:val="left" w:pos="284"/>
        <w:tab w:val="left" w:pos="851"/>
        <w:tab w:val="left" w:pos="1134"/>
      </w:tabs>
      <w:spacing w:before="120" w:after="120" w:line="280" w:lineRule="exact"/>
      <w:outlineLvl w:val="3"/>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Title">
    <w:name w:val="JE Title"/>
    <w:basedOn w:val="JETitle0"/>
    <w:rsid w:val="000A0A25"/>
    <w:pPr>
      <w:jc w:val="left"/>
    </w:pPr>
    <w:rPr>
      <w:color w:val="570A60"/>
      <w:sz w:val="32"/>
    </w:rPr>
  </w:style>
  <w:style w:type="paragraph" w:styleId="TOC1">
    <w:name w:val="toc 1"/>
    <w:basedOn w:val="Normal"/>
    <w:next w:val="Normal"/>
    <w:autoRedefine/>
    <w:uiPriority w:val="39"/>
    <w:rsid w:val="003E7219"/>
    <w:pPr>
      <w:tabs>
        <w:tab w:val="left" w:pos="0"/>
        <w:tab w:val="left" w:pos="543"/>
        <w:tab w:val="right" w:pos="8507"/>
      </w:tabs>
      <w:spacing w:before="80" w:line="320" w:lineRule="exact"/>
      <w:ind w:right="805"/>
    </w:pPr>
    <w:rPr>
      <w:b/>
      <w:bCs/>
      <w:noProof/>
    </w:rPr>
  </w:style>
  <w:style w:type="paragraph" w:styleId="Header">
    <w:name w:val="header"/>
    <w:aliases w:val="h,SJ Head1,Cover Page"/>
    <w:basedOn w:val="Normal"/>
    <w:link w:val="HeaderChar"/>
    <w:uiPriority w:val="99"/>
    <w:rsid w:val="007B4FC8"/>
    <w:pPr>
      <w:tabs>
        <w:tab w:val="center" w:pos="4153"/>
        <w:tab w:val="right" w:pos="8306"/>
      </w:tabs>
    </w:pPr>
  </w:style>
  <w:style w:type="paragraph" w:styleId="TOC2">
    <w:name w:val="toc 2"/>
    <w:basedOn w:val="Normal"/>
    <w:next w:val="Normal"/>
    <w:autoRedefine/>
    <w:uiPriority w:val="39"/>
    <w:rsid w:val="003E7219"/>
    <w:pPr>
      <w:tabs>
        <w:tab w:val="left" w:pos="1086"/>
        <w:tab w:val="right" w:pos="8507"/>
      </w:tabs>
      <w:spacing w:before="60" w:line="300" w:lineRule="exact"/>
      <w:ind w:left="543" w:right="805"/>
    </w:pPr>
    <w:rPr>
      <w:noProof/>
      <w:sz w:val="22"/>
    </w:rPr>
  </w:style>
  <w:style w:type="paragraph" w:styleId="TOC3">
    <w:name w:val="toc 3"/>
    <w:basedOn w:val="Normal"/>
    <w:next w:val="Normal"/>
    <w:autoRedefine/>
    <w:uiPriority w:val="39"/>
    <w:rsid w:val="003E7219"/>
    <w:pPr>
      <w:tabs>
        <w:tab w:val="left" w:pos="724"/>
        <w:tab w:val="right" w:pos="8507"/>
      </w:tabs>
      <w:spacing w:line="300" w:lineRule="exact"/>
      <w:ind w:left="1086" w:right="808"/>
    </w:pPr>
    <w:rPr>
      <w:sz w:val="22"/>
    </w:rPr>
  </w:style>
  <w:style w:type="paragraph" w:styleId="TOC4">
    <w:name w:val="toc 4"/>
    <w:basedOn w:val="Normal"/>
    <w:next w:val="Normal"/>
    <w:autoRedefine/>
    <w:semiHidden/>
    <w:rsid w:val="00F16B0D"/>
    <w:pPr>
      <w:tabs>
        <w:tab w:val="left" w:pos="0"/>
        <w:tab w:val="left" w:pos="724"/>
        <w:tab w:val="right" w:pos="8507"/>
      </w:tabs>
      <w:spacing w:line="300" w:lineRule="exact"/>
    </w:pPr>
    <w:rPr>
      <w:sz w:val="22"/>
    </w:rPr>
  </w:style>
  <w:style w:type="paragraph" w:styleId="TOC5">
    <w:name w:val="toc 5"/>
    <w:basedOn w:val="Normal"/>
    <w:next w:val="Normal"/>
    <w:autoRedefine/>
    <w:semiHidden/>
    <w:rsid w:val="00D9236E"/>
    <w:pPr>
      <w:ind w:left="800"/>
    </w:pPr>
  </w:style>
  <w:style w:type="paragraph" w:styleId="TOC6">
    <w:name w:val="toc 6"/>
    <w:basedOn w:val="Normal"/>
    <w:next w:val="Normal"/>
    <w:autoRedefine/>
    <w:semiHidden/>
    <w:rsid w:val="00D9236E"/>
    <w:pPr>
      <w:ind w:left="1000"/>
    </w:pPr>
  </w:style>
  <w:style w:type="paragraph" w:styleId="TOC7">
    <w:name w:val="toc 7"/>
    <w:basedOn w:val="Normal"/>
    <w:next w:val="Normal"/>
    <w:autoRedefine/>
    <w:semiHidden/>
    <w:rsid w:val="00D9236E"/>
    <w:pPr>
      <w:ind w:left="1200"/>
    </w:pPr>
  </w:style>
  <w:style w:type="paragraph" w:styleId="TOC8">
    <w:name w:val="toc 8"/>
    <w:basedOn w:val="Normal"/>
    <w:next w:val="Normal"/>
    <w:autoRedefine/>
    <w:semiHidden/>
    <w:rsid w:val="00D9236E"/>
    <w:pPr>
      <w:ind w:left="1400"/>
    </w:pPr>
  </w:style>
  <w:style w:type="paragraph" w:styleId="TOC9">
    <w:name w:val="toc 9"/>
    <w:basedOn w:val="Normal"/>
    <w:next w:val="Normal"/>
    <w:autoRedefine/>
    <w:semiHidden/>
    <w:rsid w:val="00D9236E"/>
    <w:pPr>
      <w:ind w:left="1600"/>
    </w:pPr>
  </w:style>
  <w:style w:type="paragraph" w:customStyle="1" w:styleId="Heading">
    <w:name w:val="Heading"/>
    <w:basedOn w:val="Normal"/>
    <w:link w:val="HeadingChar"/>
    <w:rsid w:val="009A34FC"/>
    <w:pPr>
      <w:keepNext/>
      <w:pageBreakBefore/>
      <w:tabs>
        <w:tab w:val="right" w:pos="7371"/>
      </w:tabs>
      <w:spacing w:before="120" w:after="240" w:line="360" w:lineRule="exact"/>
    </w:pPr>
    <w:rPr>
      <w:b/>
      <w:sz w:val="36"/>
    </w:rPr>
  </w:style>
  <w:style w:type="character" w:customStyle="1" w:styleId="HeadingChar">
    <w:name w:val="Heading Char"/>
    <w:basedOn w:val="DefaultParagraphFont"/>
    <w:link w:val="Heading"/>
    <w:rsid w:val="009A34FC"/>
    <w:rPr>
      <w:rFonts w:ascii="Arial" w:hAnsi="Arial"/>
      <w:b/>
      <w:sz w:val="36"/>
      <w:szCs w:val="24"/>
      <w:lang w:val="en-GB" w:eastAsia="en-US" w:bidi="ar-SA"/>
    </w:rPr>
  </w:style>
  <w:style w:type="paragraph" w:styleId="Footer">
    <w:name w:val="footer"/>
    <w:aliases w:val="JE Footer"/>
    <w:basedOn w:val="Normal"/>
    <w:link w:val="FooterChar"/>
    <w:autoRedefine/>
    <w:uiPriority w:val="99"/>
    <w:rsid w:val="00D85996"/>
    <w:pPr>
      <w:tabs>
        <w:tab w:val="right" w:pos="9072"/>
      </w:tabs>
      <w:ind w:right="85"/>
    </w:pPr>
    <w:rPr>
      <w:noProof/>
      <w:sz w:val="18"/>
      <w:szCs w:val="18"/>
    </w:rPr>
  </w:style>
  <w:style w:type="paragraph" w:customStyle="1" w:styleId="ReportTitle">
    <w:name w:val="Report Title"/>
    <w:basedOn w:val="Normal"/>
    <w:rsid w:val="00F54045"/>
    <w:rPr>
      <w:color w:val="00528E"/>
      <w:sz w:val="48"/>
      <w:szCs w:val="48"/>
    </w:rPr>
  </w:style>
  <w:style w:type="paragraph" w:customStyle="1" w:styleId="Header2">
    <w:name w:val="Header 2"/>
    <w:basedOn w:val="Heading"/>
    <w:link w:val="Header2Char"/>
    <w:rsid w:val="001B0257"/>
    <w:pPr>
      <w:pageBreakBefore w:val="0"/>
      <w:spacing w:after="120"/>
    </w:pPr>
    <w:rPr>
      <w:sz w:val="28"/>
    </w:rPr>
  </w:style>
  <w:style w:type="character" w:customStyle="1" w:styleId="Header2Char">
    <w:name w:val="Header 2 Char"/>
    <w:basedOn w:val="HeadingChar"/>
    <w:link w:val="Header2"/>
    <w:rsid w:val="001B0257"/>
    <w:rPr>
      <w:rFonts w:ascii="Arial" w:hAnsi="Arial"/>
      <w:b/>
      <w:sz w:val="28"/>
      <w:szCs w:val="24"/>
      <w:lang w:val="en-GB" w:eastAsia="en-US" w:bidi="ar-SA"/>
    </w:rPr>
  </w:style>
  <w:style w:type="character" w:styleId="CommentReference">
    <w:name w:val="annotation reference"/>
    <w:basedOn w:val="DefaultParagraphFont"/>
    <w:uiPriority w:val="99"/>
    <w:rsid w:val="00305976"/>
    <w:rPr>
      <w:sz w:val="16"/>
      <w:szCs w:val="16"/>
    </w:rPr>
  </w:style>
  <w:style w:type="paragraph" w:styleId="CommentText">
    <w:name w:val="annotation text"/>
    <w:basedOn w:val="Normal"/>
    <w:link w:val="CommentTextChar"/>
    <w:uiPriority w:val="99"/>
    <w:rsid w:val="00305976"/>
    <w:rPr>
      <w:szCs w:val="20"/>
    </w:rPr>
  </w:style>
  <w:style w:type="paragraph" w:styleId="BalloonText">
    <w:name w:val="Balloon Text"/>
    <w:basedOn w:val="Normal"/>
    <w:link w:val="BalloonTextChar"/>
    <w:uiPriority w:val="99"/>
    <w:semiHidden/>
    <w:rsid w:val="00305976"/>
    <w:rPr>
      <w:rFonts w:ascii="Tahoma" w:hAnsi="Tahoma" w:cs="Tahoma"/>
      <w:sz w:val="16"/>
      <w:szCs w:val="16"/>
    </w:rPr>
  </w:style>
  <w:style w:type="paragraph" w:customStyle="1" w:styleId="TableText0">
    <w:name w:val="TableText"/>
    <w:basedOn w:val="Normal"/>
    <w:link w:val="TableTextChar"/>
    <w:rsid w:val="00305976"/>
    <w:pPr>
      <w:spacing w:before="40" w:after="40" w:line="240" w:lineRule="atLeast"/>
    </w:pPr>
    <w:rPr>
      <w:sz w:val="18"/>
      <w:szCs w:val="20"/>
    </w:rPr>
  </w:style>
  <w:style w:type="character" w:customStyle="1" w:styleId="TableTextChar">
    <w:name w:val="TableText Char"/>
    <w:basedOn w:val="DefaultParagraphFont"/>
    <w:link w:val="TableText0"/>
    <w:rsid w:val="00305976"/>
    <w:rPr>
      <w:rFonts w:ascii="Arial" w:hAnsi="Arial"/>
      <w:sz w:val="18"/>
      <w:lang w:val="en-GB" w:eastAsia="en-US" w:bidi="ar-SA"/>
    </w:rPr>
  </w:style>
  <w:style w:type="paragraph" w:customStyle="1" w:styleId="TableHeader">
    <w:name w:val="Table Header"/>
    <w:basedOn w:val="Normal"/>
    <w:rsid w:val="00305976"/>
    <w:pPr>
      <w:keepNext/>
      <w:spacing w:before="120" w:after="120"/>
      <w:jc w:val="center"/>
    </w:pPr>
    <w:rPr>
      <w:b/>
      <w:sz w:val="18"/>
      <w:szCs w:val="20"/>
    </w:rPr>
  </w:style>
  <w:style w:type="paragraph" w:customStyle="1" w:styleId="Style14ptCustomColorRGB175175175After6ptLinespa">
    <w:name w:val="Style 14 pt Custom Color(RGB(175175175)) After:  6 pt Line spa..."/>
    <w:basedOn w:val="Normal"/>
    <w:rsid w:val="00660815"/>
    <w:pPr>
      <w:spacing w:line="280" w:lineRule="atLeast"/>
    </w:pPr>
    <w:rPr>
      <w:color w:val="AFAFAF"/>
      <w:sz w:val="28"/>
      <w:szCs w:val="28"/>
    </w:rPr>
  </w:style>
  <w:style w:type="paragraph" w:styleId="FootnoteText">
    <w:name w:val="footnote text"/>
    <w:basedOn w:val="Normal"/>
    <w:semiHidden/>
    <w:rsid w:val="00380EDB"/>
    <w:rPr>
      <w:szCs w:val="20"/>
    </w:rPr>
  </w:style>
  <w:style w:type="character" w:styleId="FootnoteReference">
    <w:name w:val="footnote reference"/>
    <w:basedOn w:val="DefaultParagraphFont"/>
    <w:semiHidden/>
    <w:rsid w:val="00380EDB"/>
    <w:rPr>
      <w:vertAlign w:val="superscript"/>
    </w:rPr>
  </w:style>
  <w:style w:type="paragraph" w:customStyle="1" w:styleId="Signoff">
    <w:name w:val="Sign off"/>
    <w:basedOn w:val="Normal"/>
    <w:rsid w:val="00695FEB"/>
    <w:pPr>
      <w:tabs>
        <w:tab w:val="left" w:pos="1134"/>
        <w:tab w:val="left" w:pos="5500"/>
        <w:tab w:val="left" w:pos="6634"/>
      </w:tabs>
      <w:spacing w:before="1440"/>
    </w:pPr>
    <w:rPr>
      <w:szCs w:val="20"/>
      <w:lang w:eastAsia="en-GB"/>
    </w:rPr>
  </w:style>
  <w:style w:type="paragraph" w:customStyle="1" w:styleId="Addressright">
    <w:name w:val="Address right"/>
    <w:basedOn w:val="Normal"/>
    <w:rsid w:val="00695FEB"/>
    <w:pPr>
      <w:tabs>
        <w:tab w:val="left" w:pos="1134"/>
        <w:tab w:val="left" w:pos="5500"/>
        <w:tab w:val="left" w:pos="6634"/>
      </w:tabs>
      <w:jc w:val="right"/>
    </w:pPr>
    <w:rPr>
      <w:szCs w:val="20"/>
      <w:lang w:eastAsia="en-GB"/>
    </w:rPr>
  </w:style>
  <w:style w:type="paragraph" w:styleId="Caption">
    <w:name w:val="caption"/>
    <w:basedOn w:val="Normal"/>
    <w:next w:val="Normal"/>
    <w:qFormat/>
    <w:rsid w:val="00B742AF"/>
    <w:rPr>
      <w:rFonts w:ascii="Times New Roman" w:hAnsi="Times New Roman"/>
      <w:b/>
      <w:bCs/>
      <w:szCs w:val="20"/>
      <w:lang w:eastAsia="en-GB"/>
    </w:rPr>
  </w:style>
  <w:style w:type="character" w:styleId="Hyperlink">
    <w:name w:val="Hyperlink"/>
    <w:basedOn w:val="DefaultParagraphFont"/>
    <w:uiPriority w:val="99"/>
    <w:unhideWhenUsed/>
    <w:rsid w:val="00F0075E"/>
    <w:rPr>
      <w:color w:val="0000FF"/>
      <w:u w:val="single"/>
    </w:rPr>
  </w:style>
  <w:style w:type="paragraph" w:styleId="TableofFigures">
    <w:name w:val="table of figures"/>
    <w:basedOn w:val="Normal"/>
    <w:next w:val="Normal"/>
    <w:uiPriority w:val="99"/>
    <w:rsid w:val="003E7219"/>
  </w:style>
  <w:style w:type="table" w:styleId="TableGrid">
    <w:name w:val="Table Grid"/>
    <w:basedOn w:val="TableNormal"/>
    <w:uiPriority w:val="99"/>
    <w:rsid w:val="00426D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aliases w:val="MC Page Number"/>
    <w:basedOn w:val="DefaultParagraphFont"/>
    <w:rsid w:val="00426D22"/>
    <w:rPr>
      <w:rFonts w:ascii="Arial" w:hAnsi="Arial"/>
      <w:color w:val="auto"/>
      <w:sz w:val="16"/>
      <w:szCs w:val="16"/>
    </w:rPr>
  </w:style>
  <w:style w:type="paragraph" w:customStyle="1" w:styleId="JETitle0">
    <w:name w:val="JE Title_"/>
    <w:basedOn w:val="Normal"/>
    <w:next w:val="Normal"/>
    <w:rsid w:val="0008637B"/>
    <w:pPr>
      <w:overflowPunct w:val="0"/>
      <w:autoSpaceDE w:val="0"/>
      <w:autoSpaceDN w:val="0"/>
      <w:adjustRightInd w:val="0"/>
      <w:spacing w:before="400" w:after="200"/>
      <w:jc w:val="center"/>
      <w:textAlignment w:val="baseline"/>
    </w:pPr>
    <w:rPr>
      <w:b/>
      <w:bCs/>
      <w:color w:val="6E0376"/>
      <w:kern w:val="20"/>
      <w:sz w:val="44"/>
      <w:szCs w:val="20"/>
    </w:rPr>
  </w:style>
  <w:style w:type="paragraph" w:styleId="CommentSubject">
    <w:name w:val="annotation subject"/>
    <w:basedOn w:val="CommentText"/>
    <w:next w:val="CommentText"/>
    <w:link w:val="CommentSubjectChar"/>
    <w:uiPriority w:val="99"/>
    <w:rsid w:val="00CC34E6"/>
    <w:rPr>
      <w:b/>
      <w:bCs/>
    </w:rPr>
  </w:style>
  <w:style w:type="character" w:customStyle="1" w:styleId="FooterChar">
    <w:name w:val="Footer Char"/>
    <w:aliases w:val="JE Footer Char"/>
    <w:basedOn w:val="DefaultParagraphFont"/>
    <w:link w:val="Footer"/>
    <w:uiPriority w:val="99"/>
    <w:rsid w:val="00D85996"/>
    <w:rPr>
      <w:rFonts w:ascii="Arial" w:hAnsi="Arial"/>
      <w:noProof/>
      <w:sz w:val="18"/>
      <w:szCs w:val="18"/>
      <w:lang w:eastAsia="en-US"/>
    </w:rPr>
  </w:style>
  <w:style w:type="character" w:customStyle="1" w:styleId="Heading1Char">
    <w:name w:val="Heading 1 Char"/>
    <w:link w:val="Heading1"/>
    <w:uiPriority w:val="99"/>
    <w:locked/>
    <w:rsid w:val="000A0A25"/>
    <w:rPr>
      <w:rFonts w:ascii="Arial" w:hAnsi="Arial"/>
      <w:bCs/>
      <w:kern w:val="32"/>
      <w:sz w:val="36"/>
      <w:szCs w:val="32"/>
      <w:lang w:eastAsia="en-US"/>
    </w:rPr>
  </w:style>
  <w:style w:type="paragraph" w:customStyle="1" w:styleId="JEFigureCaption">
    <w:name w:val="JE Figure Caption"/>
    <w:basedOn w:val="Normal"/>
    <w:next w:val="Normal"/>
    <w:link w:val="JEFigureCaptionChar"/>
    <w:rsid w:val="000B2DF4"/>
    <w:pPr>
      <w:overflowPunct w:val="0"/>
      <w:autoSpaceDE w:val="0"/>
      <w:autoSpaceDN w:val="0"/>
      <w:adjustRightInd w:val="0"/>
      <w:spacing w:before="160" w:after="400"/>
      <w:jc w:val="both"/>
      <w:textAlignment w:val="baseline"/>
    </w:pPr>
    <w:rPr>
      <w:b/>
      <w:kern w:val="20"/>
      <w:szCs w:val="20"/>
      <w:lang w:val="en-US"/>
    </w:rPr>
  </w:style>
  <w:style w:type="character" w:customStyle="1" w:styleId="Heading2Char">
    <w:name w:val="Heading 2 Char"/>
    <w:link w:val="Heading2"/>
    <w:uiPriority w:val="99"/>
    <w:locked/>
    <w:rsid w:val="000A0A25"/>
    <w:rPr>
      <w:rFonts w:ascii="Arial" w:hAnsi="Arial"/>
      <w:bCs/>
      <w:iCs/>
      <w:sz w:val="24"/>
      <w:szCs w:val="28"/>
      <w:lang w:eastAsia="en-US"/>
    </w:rPr>
  </w:style>
  <w:style w:type="character" w:customStyle="1" w:styleId="JEFigureCaptionChar">
    <w:name w:val="JE Figure Caption Char"/>
    <w:basedOn w:val="DefaultParagraphFont"/>
    <w:link w:val="JEFigureCaption"/>
    <w:rsid w:val="000B2DF4"/>
    <w:rPr>
      <w:rFonts w:ascii="Arial" w:hAnsi="Arial"/>
      <w:b/>
      <w:kern w:val="20"/>
      <w:lang w:val="en-US" w:eastAsia="en-US"/>
    </w:rPr>
  </w:style>
  <w:style w:type="paragraph" w:customStyle="1" w:styleId="Tabletext">
    <w:name w:val="Table text"/>
    <w:basedOn w:val="BlockText"/>
    <w:link w:val="TabletextChar0"/>
    <w:autoRedefine/>
    <w:rsid w:val="002E4BB6"/>
    <w:pPr>
      <w:numPr>
        <w:numId w:val="4"/>
      </w:numPr>
      <w:tabs>
        <w:tab w:val="left" w:pos="3631"/>
      </w:tabs>
      <w:spacing w:before="120"/>
      <w:ind w:right="0"/>
    </w:pPr>
    <w:rPr>
      <w:rFonts w:cs="Arial"/>
      <w:bCs/>
      <w:color w:val="000000"/>
      <w:sz w:val="18"/>
      <w:szCs w:val="22"/>
    </w:rPr>
  </w:style>
  <w:style w:type="character" w:customStyle="1" w:styleId="TabletextChar0">
    <w:name w:val="Table text Char"/>
    <w:basedOn w:val="DefaultParagraphFont"/>
    <w:link w:val="Tabletext"/>
    <w:rsid w:val="002E4BB6"/>
    <w:rPr>
      <w:rFonts w:ascii="Arial" w:hAnsi="Arial" w:cs="Arial"/>
      <w:bCs/>
      <w:color w:val="000000"/>
      <w:sz w:val="18"/>
      <w:szCs w:val="22"/>
      <w:lang w:eastAsia="en-US"/>
    </w:rPr>
  </w:style>
  <w:style w:type="paragraph" w:styleId="NormalIndent">
    <w:name w:val="Normal Indent"/>
    <w:basedOn w:val="Normal"/>
    <w:rsid w:val="00C32E39"/>
    <w:pPr>
      <w:spacing w:after="240"/>
      <w:ind w:left="706"/>
      <w:jc w:val="both"/>
    </w:pPr>
    <w:rPr>
      <w:szCs w:val="20"/>
    </w:rPr>
  </w:style>
  <w:style w:type="paragraph" w:styleId="BlockText">
    <w:name w:val="Block Text"/>
    <w:basedOn w:val="Normal"/>
    <w:rsid w:val="00C32E39"/>
    <w:pPr>
      <w:spacing w:after="120"/>
      <w:ind w:left="1440" w:right="1440"/>
    </w:pPr>
  </w:style>
  <w:style w:type="paragraph" w:customStyle="1" w:styleId="JETableHeaderBlack">
    <w:name w:val="JE Table Header Black"/>
    <w:basedOn w:val="Normal"/>
    <w:link w:val="JETableHeaderBlackChar"/>
    <w:qFormat/>
    <w:rsid w:val="00343C3F"/>
    <w:pPr>
      <w:keepNext/>
      <w:spacing w:before="40" w:after="40" w:line="240" w:lineRule="atLeast"/>
    </w:pPr>
    <w:rPr>
      <w:b/>
      <w:bCs/>
      <w:i/>
      <w:iCs/>
      <w:sz w:val="18"/>
      <w:szCs w:val="18"/>
    </w:rPr>
  </w:style>
  <w:style w:type="character" w:customStyle="1" w:styleId="JETableHeaderBlackChar">
    <w:name w:val="JE Table Header Black Char"/>
    <w:basedOn w:val="DefaultParagraphFont"/>
    <w:link w:val="JETableHeaderBlack"/>
    <w:rsid w:val="00343C3F"/>
    <w:rPr>
      <w:rFonts w:ascii="Arial" w:hAnsi="Arial"/>
      <w:b/>
      <w:bCs/>
      <w:i/>
      <w:iCs/>
      <w:sz w:val="18"/>
      <w:szCs w:val="18"/>
      <w:lang w:eastAsia="en-US"/>
    </w:rPr>
  </w:style>
  <w:style w:type="paragraph" w:customStyle="1" w:styleId="JETableText">
    <w:name w:val="JE Table Text"/>
    <w:basedOn w:val="Normal"/>
    <w:link w:val="JETableTextChar"/>
    <w:qFormat/>
    <w:rsid w:val="00343C3F"/>
    <w:pPr>
      <w:spacing w:before="60" w:after="60" w:line="240" w:lineRule="exact"/>
    </w:pPr>
    <w:rPr>
      <w:sz w:val="18"/>
      <w:szCs w:val="20"/>
    </w:rPr>
  </w:style>
  <w:style w:type="character" w:customStyle="1" w:styleId="JETableTextChar">
    <w:name w:val="JE Table Text Char"/>
    <w:basedOn w:val="DefaultParagraphFont"/>
    <w:link w:val="JETableText"/>
    <w:rsid w:val="00343C3F"/>
    <w:rPr>
      <w:rFonts w:ascii="Arial" w:hAnsi="Arial"/>
      <w:sz w:val="18"/>
      <w:lang w:eastAsia="en-US"/>
    </w:rPr>
  </w:style>
  <w:style w:type="paragraph" w:customStyle="1" w:styleId="JETableHeader">
    <w:name w:val="JE Table Header"/>
    <w:basedOn w:val="Normal"/>
    <w:link w:val="JETableHeaderChar"/>
    <w:qFormat/>
    <w:rsid w:val="00343C3F"/>
    <w:pPr>
      <w:keepNext/>
      <w:spacing w:before="60" w:after="60"/>
    </w:pPr>
    <w:rPr>
      <w:bCs/>
      <w:i/>
      <w:iCs/>
      <w:color w:val="6E0377"/>
      <w:szCs w:val="20"/>
    </w:rPr>
  </w:style>
  <w:style w:type="character" w:customStyle="1" w:styleId="JETableHeaderChar">
    <w:name w:val="JE Table Header Char"/>
    <w:basedOn w:val="DefaultParagraphFont"/>
    <w:link w:val="JETableHeader"/>
    <w:rsid w:val="00343C3F"/>
    <w:rPr>
      <w:rFonts w:ascii="Arial" w:hAnsi="Arial"/>
      <w:bCs/>
      <w:i/>
      <w:iCs/>
      <w:color w:val="6E0377"/>
      <w:lang w:eastAsia="en-US"/>
    </w:rPr>
  </w:style>
  <w:style w:type="paragraph" w:customStyle="1" w:styleId="JEBodyText">
    <w:name w:val="JE Body Text"/>
    <w:basedOn w:val="Normal"/>
    <w:link w:val="JEBodyTextChar"/>
    <w:qFormat/>
    <w:rsid w:val="00FA77AC"/>
    <w:pPr>
      <w:spacing w:after="120" w:line="240" w:lineRule="exact"/>
    </w:pPr>
    <w:rPr>
      <w:sz w:val="22"/>
    </w:rPr>
  </w:style>
  <w:style w:type="character" w:customStyle="1" w:styleId="JEBodyTextChar">
    <w:name w:val="JE Body Text Char"/>
    <w:basedOn w:val="DefaultParagraphFont"/>
    <w:link w:val="JEBodyText"/>
    <w:rsid w:val="00FA77AC"/>
    <w:rPr>
      <w:rFonts w:ascii="Arial" w:hAnsi="Arial"/>
      <w:sz w:val="22"/>
      <w:szCs w:val="24"/>
      <w:lang w:eastAsia="en-US"/>
    </w:rPr>
  </w:style>
  <w:style w:type="paragraph" w:customStyle="1" w:styleId="JEDocumentandContentsTitle">
    <w:name w:val="JE Document and Contents Title"/>
    <w:basedOn w:val="Normal"/>
    <w:link w:val="JEDocumentandContentsTitleChar"/>
    <w:qFormat/>
    <w:rsid w:val="00343C3F"/>
    <w:pPr>
      <w:keepNext/>
      <w:tabs>
        <w:tab w:val="right" w:pos="7371"/>
      </w:tabs>
      <w:spacing w:before="120" w:after="240" w:line="360" w:lineRule="exact"/>
    </w:pPr>
    <w:rPr>
      <w:b/>
      <w:sz w:val="36"/>
    </w:rPr>
  </w:style>
  <w:style w:type="character" w:customStyle="1" w:styleId="JEDocumentandContentsTitleChar">
    <w:name w:val="JE Document and Contents Title Char"/>
    <w:basedOn w:val="DefaultParagraphFont"/>
    <w:link w:val="JEDocumentandContentsTitle"/>
    <w:rsid w:val="00343C3F"/>
    <w:rPr>
      <w:rFonts w:ascii="Arial" w:hAnsi="Arial"/>
      <w:b/>
      <w:sz w:val="36"/>
      <w:szCs w:val="24"/>
      <w:lang w:eastAsia="en-US"/>
    </w:rPr>
  </w:style>
  <w:style w:type="paragraph" w:styleId="ListParagraph">
    <w:name w:val="List Paragraph"/>
    <w:basedOn w:val="Normal"/>
    <w:uiPriority w:val="99"/>
    <w:qFormat/>
    <w:rsid w:val="00980B55"/>
    <w:pPr>
      <w:ind w:left="720"/>
      <w:contextualSpacing/>
    </w:pPr>
    <w:rPr>
      <w:rFonts w:ascii="Times New Roman" w:hAnsi="Times New Roman"/>
      <w:lang w:eastAsia="en-GB"/>
    </w:rPr>
  </w:style>
  <w:style w:type="table" w:customStyle="1" w:styleId="MediumShading1-Accent11">
    <w:name w:val="Medium Shading 1 - Accent 11"/>
    <w:basedOn w:val="TableNormal"/>
    <w:uiPriority w:val="63"/>
    <w:rsid w:val="0039368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FE61E0"/>
    <w:pPr>
      <w:spacing w:before="100" w:beforeAutospacing="1" w:after="100" w:afterAutospacing="1"/>
    </w:pPr>
    <w:rPr>
      <w:rFonts w:ascii="Times New Roman" w:hAnsi="Times New Roman"/>
      <w:lang w:eastAsia="en-GB"/>
    </w:rPr>
  </w:style>
  <w:style w:type="paragraph" w:customStyle="1" w:styleId="JEBodyBullet">
    <w:name w:val="JE Body Bullet"/>
    <w:basedOn w:val="JEBodyText"/>
    <w:qFormat/>
    <w:rsid w:val="00FA77AC"/>
    <w:pPr>
      <w:numPr>
        <w:numId w:val="19"/>
      </w:numPr>
    </w:pPr>
  </w:style>
  <w:style w:type="character" w:customStyle="1" w:styleId="Heading3Char">
    <w:name w:val="Heading 3 Char"/>
    <w:link w:val="Heading3"/>
    <w:uiPriority w:val="99"/>
    <w:locked/>
    <w:rsid w:val="000A0A25"/>
    <w:rPr>
      <w:rFonts w:ascii="Arial" w:hAnsi="Arial"/>
      <w:b/>
      <w:szCs w:val="26"/>
      <w:lang w:eastAsia="en-US"/>
    </w:rPr>
  </w:style>
  <w:style w:type="character" w:customStyle="1" w:styleId="BalloonTextChar">
    <w:name w:val="Balloon Text Char"/>
    <w:link w:val="BalloonText"/>
    <w:uiPriority w:val="99"/>
    <w:semiHidden/>
    <w:locked/>
    <w:rsid w:val="000A0A25"/>
    <w:rPr>
      <w:rFonts w:ascii="Tahoma" w:hAnsi="Tahoma" w:cs="Tahoma"/>
      <w:sz w:val="16"/>
      <w:szCs w:val="16"/>
      <w:lang w:eastAsia="en-US"/>
    </w:rPr>
  </w:style>
  <w:style w:type="character" w:customStyle="1" w:styleId="CommentTextChar">
    <w:name w:val="Comment Text Char"/>
    <w:link w:val="CommentText"/>
    <w:uiPriority w:val="99"/>
    <w:locked/>
    <w:rsid w:val="000A0A25"/>
    <w:rPr>
      <w:rFonts w:ascii="Arial" w:hAnsi="Arial"/>
      <w:lang w:eastAsia="en-US"/>
    </w:rPr>
  </w:style>
  <w:style w:type="character" w:customStyle="1" w:styleId="CommentSubjectChar">
    <w:name w:val="Comment Subject Char"/>
    <w:link w:val="CommentSubject"/>
    <w:uiPriority w:val="99"/>
    <w:locked/>
    <w:rsid w:val="000A0A25"/>
    <w:rPr>
      <w:rFonts w:ascii="Arial" w:hAnsi="Arial"/>
      <w:b/>
      <w:bCs/>
      <w:lang w:eastAsia="en-US"/>
    </w:rPr>
  </w:style>
  <w:style w:type="character" w:customStyle="1" w:styleId="HeaderChar">
    <w:name w:val="Header Char"/>
    <w:aliases w:val="h Char,SJ Head1 Char,Cover Page Char"/>
    <w:link w:val="Header"/>
    <w:uiPriority w:val="99"/>
    <w:rsid w:val="000A0A25"/>
    <w:rPr>
      <w:rFonts w:ascii="Arial" w:hAnsi="Arial"/>
      <w:szCs w:val="24"/>
      <w:lang w:eastAsia="en-US"/>
    </w:rPr>
  </w:style>
  <w:style w:type="character" w:styleId="FollowedHyperlink">
    <w:name w:val="FollowedHyperlink"/>
    <w:basedOn w:val="DefaultParagraphFont"/>
    <w:uiPriority w:val="99"/>
    <w:semiHidden/>
    <w:unhideWhenUsed/>
    <w:rsid w:val="000A0A25"/>
    <w:rPr>
      <w:color w:val="800080"/>
      <w:u w:val="single"/>
    </w:rPr>
  </w:style>
  <w:style w:type="paragraph" w:customStyle="1" w:styleId="xl65">
    <w:name w:val="xl65"/>
    <w:basedOn w:val="Normal"/>
    <w:rsid w:val="000A0A25"/>
    <w:pPr>
      <w:spacing w:before="100" w:beforeAutospacing="1" w:after="100" w:afterAutospacing="1"/>
    </w:pPr>
    <w:rPr>
      <w:rFonts w:ascii="Calibri" w:hAnsi="Calibri" w:cs="Calibri"/>
      <w:sz w:val="16"/>
      <w:szCs w:val="16"/>
      <w:lang w:eastAsia="en-GB"/>
    </w:rPr>
  </w:style>
  <w:style w:type="paragraph" w:customStyle="1" w:styleId="xl66">
    <w:name w:val="xl66"/>
    <w:basedOn w:val="Normal"/>
    <w:rsid w:val="000A0A25"/>
    <w:pPr>
      <w:spacing w:before="100" w:beforeAutospacing="1" w:after="100" w:afterAutospacing="1"/>
      <w:jc w:val="center"/>
      <w:textAlignment w:val="center"/>
    </w:pPr>
    <w:rPr>
      <w:rFonts w:ascii="Calibri" w:hAnsi="Calibri" w:cs="Calibri"/>
      <w:sz w:val="16"/>
      <w:szCs w:val="16"/>
      <w:lang w:eastAsia="en-GB"/>
    </w:rPr>
  </w:style>
  <w:style w:type="paragraph" w:customStyle="1" w:styleId="xl67">
    <w:name w:val="xl67"/>
    <w:basedOn w:val="Normal"/>
    <w:rsid w:val="000A0A25"/>
    <w:pPr>
      <w:spacing w:before="100" w:beforeAutospacing="1" w:after="100" w:afterAutospacing="1"/>
      <w:jc w:val="center"/>
      <w:textAlignment w:val="center"/>
    </w:pPr>
    <w:rPr>
      <w:rFonts w:ascii="Calibri" w:hAnsi="Calibri" w:cs="Calibri"/>
      <w:sz w:val="16"/>
      <w:szCs w:val="16"/>
      <w:lang w:eastAsia="en-GB"/>
    </w:rPr>
  </w:style>
  <w:style w:type="paragraph" w:customStyle="1" w:styleId="xl68">
    <w:name w:val="xl68"/>
    <w:basedOn w:val="Normal"/>
    <w:rsid w:val="000A0A25"/>
    <w:pPr>
      <w:spacing w:before="100" w:beforeAutospacing="1" w:after="100" w:afterAutospacing="1"/>
      <w:jc w:val="center"/>
      <w:textAlignment w:val="center"/>
    </w:pPr>
    <w:rPr>
      <w:rFonts w:ascii="Calibri" w:hAnsi="Calibri" w:cs="Calibri"/>
      <w:b/>
      <w:bCs/>
      <w:sz w:val="16"/>
      <w:szCs w:val="16"/>
      <w:lang w:eastAsia="en-GB"/>
    </w:rPr>
  </w:style>
  <w:style w:type="paragraph" w:customStyle="1" w:styleId="xl69">
    <w:name w:val="xl69"/>
    <w:basedOn w:val="Normal"/>
    <w:rsid w:val="000A0A25"/>
    <w:pP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70">
    <w:name w:val="xl70"/>
    <w:basedOn w:val="Normal"/>
    <w:rsid w:val="000A0A25"/>
    <w:pPr>
      <w:spacing w:before="100" w:beforeAutospacing="1" w:after="100" w:afterAutospacing="1"/>
      <w:jc w:val="center"/>
      <w:textAlignment w:val="center"/>
    </w:pPr>
    <w:rPr>
      <w:rFonts w:ascii="Calibri" w:hAnsi="Calibri" w:cs="Calibri"/>
      <w:b/>
      <w:bCs/>
      <w:color w:val="16365C"/>
      <w:sz w:val="16"/>
      <w:szCs w:val="16"/>
      <w:lang w:eastAsia="en-GB"/>
    </w:rPr>
  </w:style>
  <w:style w:type="paragraph" w:customStyle="1" w:styleId="xl71">
    <w:name w:val="xl71"/>
    <w:basedOn w:val="Normal"/>
    <w:rsid w:val="000A0A25"/>
    <w:pPr>
      <w:spacing w:before="100" w:beforeAutospacing="1" w:after="100" w:afterAutospacing="1"/>
      <w:jc w:val="center"/>
      <w:textAlignment w:val="center"/>
    </w:pPr>
    <w:rPr>
      <w:rFonts w:ascii="Calibri" w:hAnsi="Calibri" w:cs="Calibri"/>
      <w:b/>
      <w:bCs/>
      <w:color w:val="4F6228"/>
      <w:sz w:val="16"/>
      <w:szCs w:val="16"/>
      <w:lang w:eastAsia="en-GB"/>
    </w:rPr>
  </w:style>
  <w:style w:type="paragraph" w:customStyle="1" w:styleId="xl72">
    <w:name w:val="xl72"/>
    <w:basedOn w:val="Normal"/>
    <w:rsid w:val="000A0A25"/>
    <w:pPr>
      <w:spacing w:before="100" w:beforeAutospacing="1" w:after="100" w:afterAutospacing="1"/>
      <w:jc w:val="center"/>
      <w:textAlignment w:val="center"/>
    </w:pPr>
    <w:rPr>
      <w:rFonts w:ascii="Calibri" w:hAnsi="Calibri" w:cs="Calibri"/>
      <w:b/>
      <w:bCs/>
      <w:color w:val="16365C"/>
      <w:sz w:val="16"/>
      <w:szCs w:val="16"/>
      <w:lang w:eastAsia="en-GB"/>
    </w:rPr>
  </w:style>
  <w:style w:type="paragraph" w:customStyle="1" w:styleId="xl73">
    <w:name w:val="xl73"/>
    <w:basedOn w:val="Normal"/>
    <w:rsid w:val="000A0A25"/>
    <w:pPr>
      <w:spacing w:before="100" w:beforeAutospacing="1" w:after="100" w:afterAutospacing="1"/>
      <w:jc w:val="center"/>
      <w:textAlignment w:val="center"/>
    </w:pPr>
    <w:rPr>
      <w:rFonts w:ascii="Calibri" w:hAnsi="Calibri" w:cs="Calibri"/>
      <w:b/>
      <w:bCs/>
      <w:sz w:val="16"/>
      <w:szCs w:val="16"/>
      <w:lang w:eastAsia="en-GB"/>
    </w:rPr>
  </w:style>
  <w:style w:type="paragraph" w:customStyle="1" w:styleId="xl74">
    <w:name w:val="xl74"/>
    <w:basedOn w:val="Normal"/>
    <w:rsid w:val="000A0A25"/>
    <w:pPr>
      <w:spacing w:before="100" w:beforeAutospacing="1" w:after="100" w:afterAutospacing="1"/>
      <w:jc w:val="center"/>
      <w:textAlignment w:val="center"/>
    </w:pPr>
    <w:rPr>
      <w:rFonts w:ascii="Calibri" w:hAnsi="Calibri" w:cs="Calibri"/>
      <w:b/>
      <w:bCs/>
      <w:color w:val="4F6228"/>
      <w:sz w:val="16"/>
      <w:szCs w:val="16"/>
      <w:lang w:eastAsia="en-GB"/>
    </w:rPr>
  </w:style>
  <w:style w:type="paragraph" w:customStyle="1" w:styleId="xl75">
    <w:name w:val="xl75"/>
    <w:basedOn w:val="Normal"/>
    <w:rsid w:val="000A0A25"/>
    <w:pPr>
      <w:spacing w:before="100" w:beforeAutospacing="1" w:after="100" w:afterAutospacing="1"/>
      <w:jc w:val="center"/>
      <w:textAlignment w:val="center"/>
    </w:pPr>
    <w:rPr>
      <w:rFonts w:ascii="Calibri" w:hAnsi="Calibri" w:cs="Calibri"/>
      <w:b/>
      <w:bCs/>
      <w:color w:val="16365C"/>
      <w:sz w:val="16"/>
      <w:szCs w:val="16"/>
      <w:lang w:eastAsia="en-GB"/>
    </w:rPr>
  </w:style>
  <w:style w:type="paragraph" w:customStyle="1" w:styleId="xl76">
    <w:name w:val="xl76"/>
    <w:basedOn w:val="Normal"/>
    <w:rsid w:val="000A0A25"/>
    <w:pPr>
      <w:spacing w:before="100" w:beforeAutospacing="1" w:after="100" w:afterAutospacing="1"/>
      <w:jc w:val="center"/>
      <w:textAlignment w:val="center"/>
    </w:pPr>
    <w:rPr>
      <w:rFonts w:ascii="Calibri" w:hAnsi="Calibri" w:cs="Calibri"/>
      <w:b/>
      <w:bCs/>
      <w:color w:val="4F6228"/>
      <w:sz w:val="16"/>
      <w:szCs w:val="16"/>
      <w:lang w:eastAsia="en-GB"/>
    </w:rPr>
  </w:style>
  <w:style w:type="paragraph" w:customStyle="1" w:styleId="xl77">
    <w:name w:val="xl77"/>
    <w:basedOn w:val="Normal"/>
    <w:rsid w:val="000A0A25"/>
    <w:pPr>
      <w:spacing w:before="100" w:beforeAutospacing="1" w:after="100" w:afterAutospacing="1"/>
      <w:textAlignment w:val="center"/>
    </w:pPr>
    <w:rPr>
      <w:rFonts w:ascii="Calibri" w:hAnsi="Calibri" w:cs="Calibri"/>
      <w:sz w:val="16"/>
      <w:szCs w:val="16"/>
      <w:lang w:eastAsia="en-GB"/>
    </w:rPr>
  </w:style>
  <w:style w:type="paragraph" w:customStyle="1" w:styleId="xl78">
    <w:name w:val="xl78"/>
    <w:basedOn w:val="Normal"/>
    <w:rsid w:val="000A0A25"/>
    <w:pPr>
      <w:spacing w:before="100" w:beforeAutospacing="1" w:after="100" w:afterAutospacing="1"/>
      <w:textAlignment w:val="center"/>
    </w:pPr>
    <w:rPr>
      <w:rFonts w:ascii="Calibri" w:hAnsi="Calibri" w:cs="Calibri"/>
      <w:b/>
      <w:bCs/>
      <w:sz w:val="16"/>
      <w:szCs w:val="16"/>
      <w:lang w:eastAsia="en-GB"/>
    </w:rPr>
  </w:style>
  <w:style w:type="paragraph" w:customStyle="1" w:styleId="xl79">
    <w:name w:val="xl79"/>
    <w:basedOn w:val="Normal"/>
    <w:rsid w:val="000A0A25"/>
    <w:pPr>
      <w:spacing w:before="100" w:beforeAutospacing="1" w:after="100" w:afterAutospacing="1"/>
      <w:textAlignment w:val="center"/>
    </w:pPr>
    <w:rPr>
      <w:rFonts w:ascii="Calibri" w:hAnsi="Calibri" w:cs="Calibri"/>
      <w:sz w:val="16"/>
      <w:szCs w:val="16"/>
      <w:lang w:eastAsia="en-GB"/>
    </w:rPr>
  </w:style>
  <w:style w:type="paragraph" w:customStyle="1" w:styleId="xl80">
    <w:name w:val="xl80"/>
    <w:basedOn w:val="Normal"/>
    <w:rsid w:val="000A0A25"/>
    <w:pPr>
      <w:spacing w:before="100" w:beforeAutospacing="1" w:after="100" w:afterAutospacing="1"/>
      <w:jc w:val="center"/>
      <w:textAlignment w:val="center"/>
    </w:pPr>
    <w:rPr>
      <w:rFonts w:ascii="Calibri" w:hAnsi="Calibri" w:cs="Calibri"/>
      <w:i/>
      <w:iCs/>
      <w:sz w:val="16"/>
      <w:szCs w:val="16"/>
      <w:lang w:eastAsia="en-GB"/>
    </w:rPr>
  </w:style>
  <w:style w:type="paragraph" w:customStyle="1" w:styleId="xl81">
    <w:name w:val="xl81"/>
    <w:basedOn w:val="Normal"/>
    <w:rsid w:val="000A0A25"/>
    <w:pPr>
      <w:spacing w:before="100" w:beforeAutospacing="1" w:after="100" w:afterAutospacing="1"/>
      <w:textAlignment w:val="center"/>
    </w:pPr>
    <w:rPr>
      <w:rFonts w:ascii="Calibri" w:hAnsi="Calibri" w:cs="Calibri"/>
      <w:b/>
      <w:bCs/>
      <w:sz w:val="16"/>
      <w:szCs w:val="16"/>
      <w:lang w:eastAsia="en-GB"/>
    </w:rPr>
  </w:style>
  <w:style w:type="paragraph" w:customStyle="1" w:styleId="xl82">
    <w:name w:val="xl82"/>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83">
    <w:name w:val="xl83"/>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84">
    <w:name w:val="xl84"/>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85">
    <w:name w:val="xl85"/>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86">
    <w:name w:val="xl86"/>
    <w:basedOn w:val="Normal"/>
    <w:rsid w:val="000A0A25"/>
    <w:pPr>
      <w:spacing w:before="100" w:beforeAutospacing="1" w:after="100" w:afterAutospacing="1"/>
      <w:jc w:val="center"/>
      <w:textAlignment w:val="center"/>
    </w:pPr>
    <w:rPr>
      <w:rFonts w:ascii="Calibri" w:hAnsi="Calibri" w:cs="Calibri"/>
      <w:b/>
      <w:bCs/>
      <w:lang w:eastAsia="en-GB"/>
    </w:rPr>
  </w:style>
  <w:style w:type="paragraph" w:customStyle="1" w:styleId="xl87">
    <w:name w:val="xl87"/>
    <w:basedOn w:val="Normal"/>
    <w:rsid w:val="000A0A25"/>
    <w:pPr>
      <w:spacing w:before="100" w:beforeAutospacing="1" w:after="100" w:afterAutospacing="1"/>
      <w:jc w:val="center"/>
      <w:textAlignment w:val="center"/>
    </w:pPr>
    <w:rPr>
      <w:rFonts w:ascii="Calibri" w:hAnsi="Calibri" w:cs="Calibri"/>
      <w:b/>
      <w:bCs/>
      <w:color w:val="AD4517"/>
      <w:lang w:eastAsia="en-GB"/>
    </w:rPr>
  </w:style>
  <w:style w:type="paragraph" w:customStyle="1" w:styleId="xl88">
    <w:name w:val="xl88"/>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89">
    <w:name w:val="xl89"/>
    <w:basedOn w:val="Normal"/>
    <w:rsid w:val="000A0A25"/>
    <w:pPr>
      <w:spacing w:before="100" w:beforeAutospacing="1" w:after="100" w:afterAutospacing="1"/>
      <w:jc w:val="center"/>
      <w:textAlignment w:val="center"/>
    </w:pPr>
    <w:rPr>
      <w:rFonts w:ascii="Calibri" w:hAnsi="Calibri" w:cs="Calibri"/>
      <w:b/>
      <w:bCs/>
      <w:color w:val="AD4517"/>
      <w:lang w:eastAsia="en-GB"/>
    </w:rPr>
  </w:style>
  <w:style w:type="paragraph" w:customStyle="1" w:styleId="xl90">
    <w:name w:val="xl90"/>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91">
    <w:name w:val="xl91"/>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92">
    <w:name w:val="xl92"/>
    <w:basedOn w:val="Normal"/>
    <w:rsid w:val="000A0A25"/>
    <w:pPr>
      <w:spacing w:before="100" w:beforeAutospacing="1" w:after="100" w:afterAutospacing="1"/>
      <w:jc w:val="center"/>
      <w:textAlignment w:val="center"/>
    </w:pPr>
    <w:rPr>
      <w:rFonts w:ascii="Calibri" w:hAnsi="Calibri" w:cs="Calibri"/>
      <w:i/>
      <w:iCs/>
      <w:color w:val="16365C"/>
      <w:sz w:val="16"/>
      <w:szCs w:val="16"/>
      <w:lang w:eastAsia="en-GB"/>
    </w:rPr>
  </w:style>
  <w:style w:type="paragraph" w:customStyle="1" w:styleId="xl93">
    <w:name w:val="xl93"/>
    <w:basedOn w:val="Normal"/>
    <w:rsid w:val="000A0A25"/>
    <w:pP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94">
    <w:name w:val="xl94"/>
    <w:basedOn w:val="Normal"/>
    <w:rsid w:val="000A0A25"/>
    <w:pPr>
      <w:pBdr>
        <w:top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95">
    <w:name w:val="xl95"/>
    <w:basedOn w:val="Normal"/>
    <w:rsid w:val="000A0A25"/>
    <w:pP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96">
    <w:name w:val="xl96"/>
    <w:basedOn w:val="Normal"/>
    <w:rsid w:val="000A0A25"/>
    <w:pP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97">
    <w:name w:val="xl97"/>
    <w:basedOn w:val="Normal"/>
    <w:rsid w:val="000A0A25"/>
    <w:pP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98">
    <w:name w:val="xl98"/>
    <w:basedOn w:val="Normal"/>
    <w:rsid w:val="000A0A25"/>
    <w:pPr>
      <w:pBdr>
        <w:bottom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99">
    <w:name w:val="xl99"/>
    <w:basedOn w:val="Normal"/>
    <w:rsid w:val="000A0A25"/>
    <w:pPr>
      <w:pBdr>
        <w:top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00">
    <w:name w:val="xl100"/>
    <w:basedOn w:val="Normal"/>
    <w:rsid w:val="000A0A25"/>
    <w:pP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1">
    <w:name w:val="xl101"/>
    <w:basedOn w:val="Normal"/>
    <w:rsid w:val="000A0A25"/>
    <w:pP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2">
    <w:name w:val="xl102"/>
    <w:basedOn w:val="Normal"/>
    <w:rsid w:val="000A0A25"/>
    <w:pPr>
      <w:pBdr>
        <w:top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3">
    <w:name w:val="xl103"/>
    <w:basedOn w:val="Normal"/>
    <w:rsid w:val="000A0A25"/>
    <w:pP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4">
    <w:name w:val="xl104"/>
    <w:basedOn w:val="Normal"/>
    <w:rsid w:val="000A0A25"/>
    <w:pP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5">
    <w:name w:val="xl105"/>
    <w:basedOn w:val="Normal"/>
    <w:rsid w:val="000A0A25"/>
    <w:pP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6">
    <w:name w:val="xl106"/>
    <w:basedOn w:val="Normal"/>
    <w:rsid w:val="000A0A25"/>
    <w:pPr>
      <w:pBdr>
        <w:bottom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7">
    <w:name w:val="xl107"/>
    <w:basedOn w:val="Normal"/>
    <w:rsid w:val="000A0A25"/>
    <w:pPr>
      <w:pBdr>
        <w:top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08">
    <w:name w:val="xl108"/>
    <w:basedOn w:val="Normal"/>
    <w:rsid w:val="000A0A25"/>
    <w:pPr>
      <w:spacing w:before="100" w:beforeAutospacing="1" w:after="100" w:afterAutospacing="1"/>
      <w:jc w:val="center"/>
      <w:textAlignment w:val="center"/>
    </w:pPr>
    <w:rPr>
      <w:rFonts w:cs="Arial"/>
      <w:sz w:val="16"/>
      <w:szCs w:val="16"/>
      <w:lang w:eastAsia="en-GB"/>
    </w:rPr>
  </w:style>
  <w:style w:type="paragraph" w:customStyle="1" w:styleId="xl109">
    <w:name w:val="xl109"/>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110">
    <w:name w:val="xl110"/>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111">
    <w:name w:val="xl111"/>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112">
    <w:name w:val="xl112"/>
    <w:basedOn w:val="Normal"/>
    <w:rsid w:val="000A0A25"/>
    <w:pPr>
      <w:pBdr>
        <w:bottom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13">
    <w:name w:val="xl113"/>
    <w:basedOn w:val="Normal"/>
    <w:rsid w:val="000A0A25"/>
    <w:pPr>
      <w:pBdr>
        <w:bottom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14">
    <w:name w:val="xl114"/>
    <w:basedOn w:val="Normal"/>
    <w:rsid w:val="000A0A25"/>
    <w:pPr>
      <w:pBdr>
        <w:bottom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15">
    <w:name w:val="xl115"/>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116">
    <w:name w:val="xl116"/>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117">
    <w:name w:val="xl117"/>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118">
    <w:name w:val="xl118"/>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119">
    <w:name w:val="xl119"/>
    <w:basedOn w:val="Normal"/>
    <w:rsid w:val="000A0A25"/>
    <w:pP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20">
    <w:name w:val="xl120"/>
    <w:basedOn w:val="Normal"/>
    <w:rsid w:val="000A0A25"/>
    <w:pP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21">
    <w:name w:val="xl121"/>
    <w:basedOn w:val="Normal"/>
    <w:rsid w:val="000A0A25"/>
    <w:pPr>
      <w:pBdr>
        <w:bottom w:val="single" w:sz="8" w:space="0" w:color="auto"/>
      </w:pBdr>
      <w:spacing w:before="100" w:beforeAutospacing="1" w:after="100" w:afterAutospacing="1"/>
      <w:jc w:val="center"/>
      <w:textAlignment w:val="center"/>
    </w:pPr>
    <w:rPr>
      <w:rFonts w:ascii="Calibri" w:hAnsi="Calibri" w:cs="Calibri"/>
      <w:sz w:val="16"/>
      <w:szCs w:val="16"/>
      <w:lang w:eastAsia="en-GB"/>
    </w:rPr>
  </w:style>
  <w:style w:type="paragraph" w:customStyle="1" w:styleId="xl122">
    <w:name w:val="xl122"/>
    <w:basedOn w:val="Normal"/>
    <w:rsid w:val="000A0A25"/>
    <w:pPr>
      <w:pBdr>
        <w:bottom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23">
    <w:name w:val="xl123"/>
    <w:basedOn w:val="Normal"/>
    <w:rsid w:val="000A0A25"/>
    <w:pPr>
      <w:pBdr>
        <w:bottom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24">
    <w:name w:val="xl124"/>
    <w:basedOn w:val="Normal"/>
    <w:rsid w:val="000A0A25"/>
    <w:pPr>
      <w:pBdr>
        <w:bottom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25">
    <w:name w:val="xl125"/>
    <w:basedOn w:val="Normal"/>
    <w:rsid w:val="000A0A25"/>
    <w:pPr>
      <w:spacing w:before="100" w:beforeAutospacing="1" w:after="100" w:afterAutospacing="1"/>
      <w:jc w:val="center"/>
      <w:textAlignment w:val="center"/>
    </w:pPr>
    <w:rPr>
      <w:rFonts w:ascii="Calibri" w:hAnsi="Calibri" w:cs="Calibri"/>
      <w:b/>
      <w:bCs/>
      <w:color w:val="4F6228"/>
      <w:lang w:eastAsia="en-GB"/>
    </w:rPr>
  </w:style>
  <w:style w:type="paragraph" w:customStyle="1" w:styleId="xl126">
    <w:name w:val="xl126"/>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127">
    <w:name w:val="xl127"/>
    <w:basedOn w:val="Normal"/>
    <w:rsid w:val="000A0A25"/>
    <w:pPr>
      <w:spacing w:before="100" w:beforeAutospacing="1" w:after="100" w:afterAutospacing="1"/>
      <w:jc w:val="center"/>
      <w:textAlignment w:val="center"/>
    </w:pPr>
    <w:rPr>
      <w:rFonts w:ascii="Calibri" w:hAnsi="Calibri" w:cs="Calibri"/>
      <w:b/>
      <w:bCs/>
      <w:color w:val="16365C"/>
      <w:lang w:eastAsia="en-GB"/>
    </w:rPr>
  </w:style>
  <w:style w:type="paragraph" w:customStyle="1" w:styleId="xl128">
    <w:name w:val="xl128"/>
    <w:basedOn w:val="Normal"/>
    <w:rsid w:val="000A0A25"/>
    <w:pPr>
      <w:pBdr>
        <w:top w:val="single" w:sz="8" w:space="0" w:color="auto"/>
      </w:pBdr>
      <w:spacing w:before="100" w:beforeAutospacing="1" w:after="100" w:afterAutospacing="1"/>
      <w:jc w:val="center"/>
      <w:textAlignment w:val="center"/>
    </w:pPr>
    <w:rPr>
      <w:rFonts w:ascii="Calibri" w:hAnsi="Calibri" w:cs="Calibri"/>
      <w:sz w:val="16"/>
      <w:szCs w:val="16"/>
      <w:lang w:eastAsia="en-GB"/>
    </w:rPr>
  </w:style>
  <w:style w:type="paragraph" w:customStyle="1" w:styleId="xl129">
    <w:name w:val="xl129"/>
    <w:basedOn w:val="Normal"/>
    <w:rsid w:val="000A0A25"/>
    <w:pPr>
      <w:pBdr>
        <w:top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30">
    <w:name w:val="xl130"/>
    <w:basedOn w:val="Normal"/>
    <w:rsid w:val="000A0A25"/>
    <w:pPr>
      <w:pBdr>
        <w:top w:val="single" w:sz="8" w:space="0" w:color="auto"/>
      </w:pBdr>
      <w:spacing w:before="100" w:beforeAutospacing="1" w:after="100" w:afterAutospacing="1"/>
      <w:jc w:val="center"/>
      <w:textAlignment w:val="center"/>
    </w:pPr>
    <w:rPr>
      <w:rFonts w:ascii="Calibri" w:hAnsi="Calibri" w:cs="Calibri"/>
      <w:color w:val="4F6228"/>
      <w:sz w:val="16"/>
      <w:szCs w:val="16"/>
      <w:lang w:eastAsia="en-GB"/>
    </w:rPr>
  </w:style>
  <w:style w:type="paragraph" w:customStyle="1" w:styleId="xl131">
    <w:name w:val="xl131"/>
    <w:basedOn w:val="Normal"/>
    <w:rsid w:val="000A0A25"/>
    <w:pPr>
      <w:pBdr>
        <w:top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32">
    <w:name w:val="xl132"/>
    <w:basedOn w:val="Normal"/>
    <w:rsid w:val="000A0A25"/>
    <w:pPr>
      <w:pBdr>
        <w:top w:val="single" w:sz="8" w:space="0" w:color="auto"/>
      </w:pBdr>
      <w:spacing w:before="100" w:beforeAutospacing="1" w:after="100" w:afterAutospacing="1"/>
      <w:jc w:val="center"/>
      <w:textAlignment w:val="center"/>
    </w:pPr>
    <w:rPr>
      <w:rFonts w:ascii="Calibri" w:hAnsi="Calibri" w:cs="Calibri"/>
      <w:color w:val="16365C"/>
      <w:sz w:val="16"/>
      <w:szCs w:val="16"/>
      <w:lang w:eastAsia="en-GB"/>
    </w:rPr>
  </w:style>
  <w:style w:type="paragraph" w:customStyle="1" w:styleId="xl133">
    <w:name w:val="xl133"/>
    <w:basedOn w:val="Normal"/>
    <w:rsid w:val="000A0A25"/>
    <w:pPr>
      <w:spacing w:before="100" w:beforeAutospacing="1" w:after="100" w:afterAutospacing="1"/>
      <w:textAlignment w:val="center"/>
    </w:pPr>
    <w:rPr>
      <w:rFonts w:ascii="Calibri" w:hAnsi="Calibri" w:cs="Calibri"/>
      <w:b/>
      <w:bCs/>
      <w:lang w:eastAsia="en-GB"/>
    </w:rPr>
  </w:style>
  <w:style w:type="paragraph" w:customStyle="1" w:styleId="xl134">
    <w:name w:val="xl134"/>
    <w:basedOn w:val="Normal"/>
    <w:rsid w:val="000A0A25"/>
    <w:pPr>
      <w:spacing w:before="100" w:beforeAutospacing="1" w:after="100" w:afterAutospacing="1"/>
      <w:textAlignment w:val="center"/>
    </w:pPr>
    <w:rPr>
      <w:rFonts w:ascii="Calibri" w:hAnsi="Calibri" w:cs="Calibri"/>
      <w:b/>
      <w:bCs/>
      <w:lang w:eastAsia="en-GB"/>
    </w:rPr>
  </w:style>
  <w:style w:type="paragraph" w:customStyle="1" w:styleId="xl135">
    <w:name w:val="xl135"/>
    <w:basedOn w:val="Normal"/>
    <w:rsid w:val="000A0A25"/>
    <w:pPr>
      <w:spacing w:before="100" w:beforeAutospacing="1" w:after="100" w:afterAutospacing="1"/>
      <w:textAlignment w:val="center"/>
    </w:pPr>
    <w:rPr>
      <w:rFonts w:ascii="Calibri" w:hAnsi="Calibri" w:cs="Calibri"/>
      <w:b/>
      <w:bCs/>
      <w:i/>
      <w:iCs/>
      <w:sz w:val="16"/>
      <w:szCs w:val="16"/>
      <w:lang w:eastAsia="en-GB"/>
    </w:rPr>
  </w:style>
  <w:style w:type="paragraph" w:customStyle="1" w:styleId="xl136">
    <w:name w:val="xl136"/>
    <w:basedOn w:val="Normal"/>
    <w:rsid w:val="000A0A25"/>
    <w:pPr>
      <w:spacing w:before="100" w:beforeAutospacing="1" w:after="100" w:afterAutospacing="1"/>
      <w:jc w:val="right"/>
      <w:textAlignment w:val="center"/>
    </w:pPr>
    <w:rPr>
      <w:rFonts w:ascii="Calibri" w:hAnsi="Calibri" w:cs="Calibri"/>
      <w:b/>
      <w:bCs/>
      <w:color w:val="16365C"/>
      <w:lang w:eastAsia="en-GB"/>
    </w:rPr>
  </w:style>
  <w:style w:type="paragraph" w:customStyle="1" w:styleId="xl137">
    <w:name w:val="xl137"/>
    <w:basedOn w:val="Normal"/>
    <w:rsid w:val="000A0A25"/>
    <w:pPr>
      <w:spacing w:before="100" w:beforeAutospacing="1" w:after="100" w:afterAutospacing="1"/>
      <w:jc w:val="right"/>
      <w:textAlignment w:val="center"/>
    </w:pPr>
    <w:rPr>
      <w:rFonts w:ascii="Calibri" w:hAnsi="Calibri" w:cs="Calibri"/>
      <w:b/>
      <w:bCs/>
      <w:color w:val="4F6228"/>
      <w:lang w:eastAsia="en-GB"/>
    </w:rPr>
  </w:style>
  <w:style w:type="paragraph" w:customStyle="1" w:styleId="xl138">
    <w:name w:val="xl138"/>
    <w:basedOn w:val="Normal"/>
    <w:rsid w:val="000A0A25"/>
    <w:pPr>
      <w:spacing w:before="100" w:beforeAutospacing="1" w:after="100" w:afterAutospacing="1"/>
      <w:jc w:val="right"/>
      <w:textAlignment w:val="center"/>
    </w:pPr>
    <w:rPr>
      <w:rFonts w:ascii="Calibri" w:hAnsi="Calibri" w:cs="Calibri"/>
      <w:b/>
      <w:bCs/>
      <w:color w:val="4F6228"/>
      <w:lang w:eastAsia="en-GB"/>
    </w:rPr>
  </w:style>
  <w:style w:type="paragraph" w:customStyle="1" w:styleId="xl139">
    <w:name w:val="xl139"/>
    <w:basedOn w:val="Normal"/>
    <w:rsid w:val="000A0A25"/>
    <w:pPr>
      <w:spacing w:before="100" w:beforeAutospacing="1" w:after="100" w:afterAutospacing="1"/>
      <w:jc w:val="right"/>
      <w:textAlignment w:val="center"/>
    </w:pPr>
    <w:rPr>
      <w:rFonts w:ascii="Calibri" w:hAnsi="Calibri" w:cs="Calibri"/>
      <w:b/>
      <w:bCs/>
      <w:color w:val="4F6228"/>
      <w:lang w:eastAsia="en-GB"/>
    </w:rPr>
  </w:style>
  <w:style w:type="paragraph" w:customStyle="1" w:styleId="xl140">
    <w:name w:val="xl140"/>
    <w:basedOn w:val="Normal"/>
    <w:rsid w:val="000A0A25"/>
    <w:pPr>
      <w:spacing w:before="100" w:beforeAutospacing="1" w:after="100" w:afterAutospacing="1"/>
      <w:jc w:val="right"/>
      <w:textAlignment w:val="center"/>
    </w:pPr>
    <w:rPr>
      <w:rFonts w:ascii="Calibri" w:hAnsi="Calibri" w:cs="Calibri"/>
      <w:b/>
      <w:bCs/>
      <w:color w:val="4F6228"/>
      <w:lang w:eastAsia="en-GB"/>
    </w:rPr>
  </w:style>
  <w:style w:type="paragraph" w:customStyle="1" w:styleId="xl141">
    <w:name w:val="xl141"/>
    <w:basedOn w:val="Normal"/>
    <w:rsid w:val="000A0A25"/>
    <w:pPr>
      <w:spacing w:before="100" w:beforeAutospacing="1" w:after="100" w:afterAutospacing="1"/>
      <w:jc w:val="right"/>
      <w:textAlignment w:val="center"/>
    </w:pPr>
    <w:rPr>
      <w:rFonts w:ascii="Calibri" w:hAnsi="Calibri" w:cs="Calibri"/>
      <w:b/>
      <w:bCs/>
      <w:color w:val="4F6228"/>
      <w:lang w:eastAsia="en-GB"/>
    </w:rPr>
  </w:style>
  <w:style w:type="paragraph" w:customStyle="1" w:styleId="JEBullet">
    <w:name w:val="JE Bullet"/>
    <w:basedOn w:val="JEBodyText"/>
    <w:qFormat/>
    <w:rsid w:val="000A0A25"/>
    <w:pPr>
      <w:numPr>
        <w:numId w:val="45"/>
      </w:numPr>
      <w:spacing w:line="240" w:lineRule="auto"/>
    </w:pPr>
    <w:rPr>
      <w:szCs w:val="22"/>
      <w:lang w:eastAsia="en-GB"/>
    </w:rPr>
  </w:style>
  <w:style w:type="character" w:styleId="Strong">
    <w:name w:val="Strong"/>
    <w:basedOn w:val="DefaultParagraphFont"/>
    <w:qFormat/>
    <w:rsid w:val="000A0A25"/>
    <w:rPr>
      <w:b/>
      <w:bCs/>
    </w:rPr>
  </w:style>
  <w:style w:type="paragraph" w:customStyle="1" w:styleId="Appendix">
    <w:name w:val="Appendix"/>
    <w:basedOn w:val="Heading1"/>
    <w:qFormat/>
    <w:rsid w:val="0085512F"/>
    <w:pPr>
      <w:numPr>
        <w:numId w:val="0"/>
      </w:numPr>
      <w:ind w:left="567" w:hanging="567"/>
    </w:pPr>
  </w:style>
  <w:style w:type="paragraph" w:customStyle="1" w:styleId="xl63">
    <w:name w:val="xl63"/>
    <w:basedOn w:val="Normal"/>
    <w:rsid w:val="004F610A"/>
    <w:pPr>
      <w:spacing w:before="100" w:beforeAutospacing="1" w:after="100" w:afterAutospacing="1"/>
    </w:pPr>
    <w:rPr>
      <w:rFonts w:ascii="Calibri" w:hAnsi="Calibri" w:cs="Calibri"/>
      <w:sz w:val="16"/>
      <w:szCs w:val="16"/>
      <w:lang w:eastAsia="en-GB"/>
    </w:rPr>
  </w:style>
  <w:style w:type="paragraph" w:customStyle="1" w:styleId="xl64">
    <w:name w:val="xl64"/>
    <w:basedOn w:val="Normal"/>
    <w:rsid w:val="004F610A"/>
    <w:pPr>
      <w:spacing w:before="100" w:beforeAutospacing="1" w:after="100" w:afterAutospacing="1"/>
      <w:jc w:val="center"/>
      <w:textAlignment w:val="center"/>
    </w:pPr>
    <w:rPr>
      <w:rFonts w:ascii="Calibri" w:hAnsi="Calibri" w:cs="Calibri"/>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6E"/>
    <w:rPr>
      <w:rFonts w:ascii="Arial" w:hAnsi="Arial"/>
      <w:szCs w:val="24"/>
      <w:lang w:eastAsia="en-US"/>
    </w:rPr>
  </w:style>
  <w:style w:type="paragraph" w:styleId="Heading1">
    <w:name w:val="heading 1"/>
    <w:basedOn w:val="Normal"/>
    <w:next w:val="Normal"/>
    <w:autoRedefine/>
    <w:qFormat/>
    <w:rsid w:val="00333057"/>
    <w:pPr>
      <w:keepNext/>
      <w:numPr>
        <w:numId w:val="1"/>
      </w:numPr>
      <w:spacing w:after="360" w:line="360" w:lineRule="exact"/>
      <w:outlineLvl w:val="0"/>
    </w:pPr>
    <w:rPr>
      <w:bCs/>
      <w:kern w:val="32"/>
      <w:sz w:val="36"/>
      <w:szCs w:val="32"/>
    </w:rPr>
  </w:style>
  <w:style w:type="paragraph" w:styleId="Heading2">
    <w:name w:val="heading 2"/>
    <w:basedOn w:val="Normal"/>
    <w:next w:val="Normal"/>
    <w:autoRedefine/>
    <w:qFormat/>
    <w:rsid w:val="00A93B89"/>
    <w:pPr>
      <w:keepNext/>
      <w:numPr>
        <w:ilvl w:val="1"/>
        <w:numId w:val="1"/>
      </w:numPr>
      <w:tabs>
        <w:tab w:val="left" w:pos="284"/>
      </w:tabs>
      <w:spacing w:before="240" w:after="240" w:line="280" w:lineRule="exact"/>
      <w:outlineLvl w:val="1"/>
    </w:pPr>
    <w:rPr>
      <w:bCs/>
      <w:iCs/>
      <w:sz w:val="24"/>
      <w:szCs w:val="28"/>
    </w:rPr>
  </w:style>
  <w:style w:type="paragraph" w:styleId="Heading3">
    <w:name w:val="heading 3"/>
    <w:basedOn w:val="Normal"/>
    <w:next w:val="Normal"/>
    <w:autoRedefine/>
    <w:qFormat/>
    <w:rsid w:val="00333057"/>
    <w:pPr>
      <w:numPr>
        <w:ilvl w:val="2"/>
        <w:numId w:val="1"/>
      </w:numPr>
      <w:spacing w:before="60"/>
      <w:outlineLvl w:val="2"/>
    </w:pPr>
    <w:rPr>
      <w:b/>
      <w:szCs w:val="26"/>
    </w:rPr>
  </w:style>
  <w:style w:type="paragraph" w:styleId="Heading4">
    <w:name w:val="heading 4"/>
    <w:basedOn w:val="Normal"/>
    <w:next w:val="Normal"/>
    <w:autoRedefine/>
    <w:qFormat/>
    <w:rsid w:val="00D9236E"/>
    <w:pPr>
      <w:keepNext/>
      <w:numPr>
        <w:ilvl w:val="3"/>
        <w:numId w:val="1"/>
      </w:numPr>
      <w:tabs>
        <w:tab w:val="left" w:pos="284"/>
        <w:tab w:val="left" w:pos="851"/>
        <w:tab w:val="left" w:pos="1134"/>
      </w:tabs>
      <w:spacing w:before="120" w:after="120" w:line="280" w:lineRule="exact"/>
      <w:outlineLvl w:val="3"/>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Title">
    <w:name w:val="Main Document Text"/>
    <w:basedOn w:val="Normal"/>
    <w:autoRedefine/>
    <w:rsid w:val="001B0257"/>
    <w:pPr>
      <w:jc w:val="both"/>
    </w:pPr>
    <w:rPr>
      <w:rFonts w:cs="Arial"/>
      <w:szCs w:val="20"/>
    </w:rPr>
  </w:style>
  <w:style w:type="paragraph" w:styleId="TOC1">
    <w:name w:val="toc 1"/>
    <w:basedOn w:val="Normal"/>
    <w:next w:val="Normal"/>
    <w:autoRedefine/>
    <w:uiPriority w:val="39"/>
    <w:rsid w:val="003E7219"/>
    <w:pPr>
      <w:tabs>
        <w:tab w:val="left" w:pos="0"/>
        <w:tab w:val="left" w:pos="543"/>
        <w:tab w:val="right" w:pos="8507"/>
      </w:tabs>
      <w:spacing w:before="80" w:line="320" w:lineRule="exact"/>
      <w:ind w:right="805"/>
    </w:pPr>
    <w:rPr>
      <w:b/>
      <w:bCs/>
      <w:noProof/>
      <w:sz w:val="24"/>
    </w:rPr>
  </w:style>
  <w:style w:type="paragraph" w:styleId="Header">
    <w:name w:val="header"/>
    <w:aliases w:val="h,SJ Head1,Cover Page"/>
    <w:basedOn w:val="Normal"/>
    <w:rsid w:val="007B4FC8"/>
    <w:pPr>
      <w:tabs>
        <w:tab w:val="center" w:pos="4153"/>
        <w:tab w:val="right" w:pos="8306"/>
      </w:tabs>
    </w:pPr>
  </w:style>
  <w:style w:type="paragraph" w:styleId="TOC2">
    <w:name w:val="toc 2"/>
    <w:basedOn w:val="Normal"/>
    <w:next w:val="Normal"/>
    <w:autoRedefine/>
    <w:uiPriority w:val="39"/>
    <w:rsid w:val="003E7219"/>
    <w:pPr>
      <w:tabs>
        <w:tab w:val="left" w:pos="1086"/>
        <w:tab w:val="right" w:pos="8507"/>
      </w:tabs>
      <w:spacing w:before="60" w:line="300" w:lineRule="exact"/>
      <w:ind w:left="543" w:right="805"/>
    </w:pPr>
    <w:rPr>
      <w:noProof/>
      <w:sz w:val="22"/>
    </w:rPr>
  </w:style>
  <w:style w:type="paragraph" w:styleId="TOC3">
    <w:name w:val="toc 3"/>
    <w:basedOn w:val="Normal"/>
    <w:next w:val="Normal"/>
    <w:autoRedefine/>
    <w:uiPriority w:val="39"/>
    <w:rsid w:val="003E7219"/>
    <w:pPr>
      <w:tabs>
        <w:tab w:val="left" w:pos="724"/>
        <w:tab w:val="right" w:pos="8507"/>
      </w:tabs>
      <w:spacing w:line="300" w:lineRule="exact"/>
      <w:ind w:left="1086" w:right="808"/>
    </w:pPr>
    <w:rPr>
      <w:sz w:val="22"/>
    </w:rPr>
  </w:style>
  <w:style w:type="paragraph" w:styleId="TOC4">
    <w:name w:val="toc 4"/>
    <w:basedOn w:val="Normal"/>
    <w:next w:val="Normal"/>
    <w:autoRedefine/>
    <w:semiHidden/>
    <w:rsid w:val="00F16B0D"/>
    <w:pPr>
      <w:tabs>
        <w:tab w:val="left" w:pos="0"/>
        <w:tab w:val="left" w:pos="724"/>
        <w:tab w:val="right" w:pos="8507"/>
      </w:tabs>
      <w:spacing w:line="300" w:lineRule="exact"/>
    </w:pPr>
    <w:rPr>
      <w:sz w:val="22"/>
    </w:rPr>
  </w:style>
  <w:style w:type="paragraph" w:styleId="TOC5">
    <w:name w:val="toc 5"/>
    <w:basedOn w:val="Normal"/>
    <w:next w:val="Normal"/>
    <w:autoRedefine/>
    <w:semiHidden/>
    <w:rsid w:val="00D9236E"/>
    <w:pPr>
      <w:ind w:left="800"/>
    </w:pPr>
  </w:style>
  <w:style w:type="paragraph" w:styleId="TOC6">
    <w:name w:val="toc 6"/>
    <w:basedOn w:val="Normal"/>
    <w:next w:val="Normal"/>
    <w:autoRedefine/>
    <w:semiHidden/>
    <w:rsid w:val="00D9236E"/>
    <w:pPr>
      <w:ind w:left="1000"/>
    </w:pPr>
  </w:style>
  <w:style w:type="paragraph" w:styleId="TOC7">
    <w:name w:val="toc 7"/>
    <w:basedOn w:val="Normal"/>
    <w:next w:val="Normal"/>
    <w:autoRedefine/>
    <w:semiHidden/>
    <w:rsid w:val="00D9236E"/>
    <w:pPr>
      <w:ind w:left="1200"/>
    </w:pPr>
  </w:style>
  <w:style w:type="paragraph" w:styleId="TOC8">
    <w:name w:val="toc 8"/>
    <w:basedOn w:val="Normal"/>
    <w:next w:val="Normal"/>
    <w:autoRedefine/>
    <w:semiHidden/>
    <w:rsid w:val="00D9236E"/>
    <w:pPr>
      <w:ind w:left="1400"/>
    </w:pPr>
  </w:style>
  <w:style w:type="paragraph" w:styleId="TOC9">
    <w:name w:val="toc 9"/>
    <w:basedOn w:val="Normal"/>
    <w:next w:val="Normal"/>
    <w:autoRedefine/>
    <w:semiHidden/>
    <w:rsid w:val="00D9236E"/>
    <w:pPr>
      <w:ind w:left="1600"/>
    </w:pPr>
  </w:style>
  <w:style w:type="paragraph" w:customStyle="1" w:styleId="Heading">
    <w:name w:val="Heading"/>
    <w:basedOn w:val="Normal"/>
    <w:link w:val="HeadingChar"/>
    <w:rsid w:val="009A34FC"/>
    <w:pPr>
      <w:keepNext/>
      <w:pageBreakBefore/>
      <w:tabs>
        <w:tab w:val="right" w:pos="7371"/>
      </w:tabs>
      <w:spacing w:before="120" w:after="240" w:line="360" w:lineRule="exact"/>
    </w:pPr>
    <w:rPr>
      <w:b/>
      <w:sz w:val="36"/>
    </w:rPr>
  </w:style>
  <w:style w:type="character" w:customStyle="1" w:styleId="HeadingChar">
    <w:name w:val="Heading Char"/>
    <w:basedOn w:val="DefaultParagraphFont"/>
    <w:link w:val="Heading"/>
    <w:rsid w:val="009A34FC"/>
    <w:rPr>
      <w:rFonts w:ascii="Arial" w:hAnsi="Arial"/>
      <w:b/>
      <w:sz w:val="36"/>
      <w:szCs w:val="24"/>
      <w:lang w:val="en-GB" w:eastAsia="en-US" w:bidi="ar-SA"/>
    </w:rPr>
  </w:style>
  <w:style w:type="paragraph" w:styleId="Footer">
    <w:name w:val="footer"/>
    <w:aliases w:val="MC Footer"/>
    <w:basedOn w:val="Normal"/>
    <w:link w:val="FooterChar"/>
    <w:autoRedefine/>
    <w:uiPriority w:val="99"/>
    <w:rsid w:val="005C29C9"/>
    <w:pPr>
      <w:tabs>
        <w:tab w:val="right" w:pos="10636"/>
      </w:tabs>
      <w:ind w:right="284"/>
      <w:jc w:val="both"/>
    </w:pPr>
    <w:rPr>
      <w:sz w:val="14"/>
    </w:rPr>
  </w:style>
  <w:style w:type="paragraph" w:customStyle="1" w:styleId="ReportTitle">
    <w:name w:val="Report Title"/>
    <w:basedOn w:val="Normal"/>
    <w:rsid w:val="00F54045"/>
    <w:rPr>
      <w:color w:val="00528E"/>
      <w:sz w:val="48"/>
      <w:szCs w:val="48"/>
    </w:rPr>
  </w:style>
  <w:style w:type="paragraph" w:customStyle="1" w:styleId="Header2">
    <w:name w:val="Header 2"/>
    <w:basedOn w:val="Heading"/>
    <w:link w:val="Header2Char"/>
    <w:rsid w:val="001B0257"/>
    <w:pPr>
      <w:pageBreakBefore w:val="0"/>
      <w:spacing w:after="120"/>
    </w:pPr>
    <w:rPr>
      <w:sz w:val="28"/>
    </w:rPr>
  </w:style>
  <w:style w:type="character" w:customStyle="1" w:styleId="Header2Char">
    <w:name w:val="Header 2 Char"/>
    <w:basedOn w:val="HeadingChar"/>
    <w:link w:val="Header2"/>
    <w:rsid w:val="001B0257"/>
    <w:rPr>
      <w:rFonts w:ascii="Arial" w:hAnsi="Arial"/>
      <w:b/>
      <w:sz w:val="28"/>
      <w:szCs w:val="24"/>
      <w:lang w:val="en-GB" w:eastAsia="en-US" w:bidi="ar-SA"/>
    </w:rPr>
  </w:style>
  <w:style w:type="character" w:styleId="CommentReference">
    <w:name w:val="annotation reference"/>
    <w:basedOn w:val="DefaultParagraphFont"/>
    <w:semiHidden/>
    <w:rsid w:val="00305976"/>
    <w:rPr>
      <w:sz w:val="16"/>
      <w:szCs w:val="16"/>
    </w:rPr>
  </w:style>
  <w:style w:type="paragraph" w:styleId="CommentText">
    <w:name w:val="annotation text"/>
    <w:basedOn w:val="Normal"/>
    <w:semiHidden/>
    <w:rsid w:val="00305976"/>
    <w:rPr>
      <w:szCs w:val="20"/>
    </w:rPr>
  </w:style>
  <w:style w:type="paragraph" w:styleId="BalloonText">
    <w:name w:val="Balloon Text"/>
    <w:basedOn w:val="Normal"/>
    <w:semiHidden/>
    <w:rsid w:val="00305976"/>
    <w:rPr>
      <w:rFonts w:ascii="Tahoma" w:hAnsi="Tahoma" w:cs="Tahoma"/>
      <w:sz w:val="16"/>
      <w:szCs w:val="16"/>
    </w:rPr>
  </w:style>
  <w:style w:type="paragraph" w:customStyle="1" w:styleId="TableText0">
    <w:name w:val="TableText"/>
    <w:basedOn w:val="Normal"/>
    <w:link w:val="TableTextChar"/>
    <w:rsid w:val="00305976"/>
    <w:pPr>
      <w:spacing w:before="40" w:after="40" w:line="240" w:lineRule="atLeast"/>
    </w:pPr>
    <w:rPr>
      <w:sz w:val="18"/>
      <w:szCs w:val="20"/>
    </w:rPr>
  </w:style>
  <w:style w:type="character" w:customStyle="1" w:styleId="TableTextChar">
    <w:name w:val="TableText Char"/>
    <w:basedOn w:val="DefaultParagraphFont"/>
    <w:link w:val="TableText0"/>
    <w:rsid w:val="00305976"/>
    <w:rPr>
      <w:rFonts w:ascii="Arial" w:hAnsi="Arial"/>
      <w:sz w:val="18"/>
      <w:lang w:val="en-GB" w:eastAsia="en-US" w:bidi="ar-SA"/>
    </w:rPr>
  </w:style>
  <w:style w:type="paragraph" w:customStyle="1" w:styleId="TableHeader">
    <w:name w:val="Table Header"/>
    <w:basedOn w:val="Normal"/>
    <w:rsid w:val="00305976"/>
    <w:pPr>
      <w:keepNext/>
      <w:spacing w:before="120" w:after="120"/>
      <w:jc w:val="center"/>
    </w:pPr>
    <w:rPr>
      <w:b/>
      <w:sz w:val="18"/>
      <w:szCs w:val="20"/>
    </w:rPr>
  </w:style>
  <w:style w:type="paragraph" w:customStyle="1" w:styleId="Style14ptCustomColorRGB175175175After6ptLinespa">
    <w:name w:val="Style 14 pt Custom Color(RGB(175175175)) After:  6 pt Line spa..."/>
    <w:basedOn w:val="Normal"/>
    <w:rsid w:val="00660815"/>
    <w:pPr>
      <w:spacing w:line="280" w:lineRule="atLeast"/>
    </w:pPr>
    <w:rPr>
      <w:color w:val="AFAFAF"/>
      <w:sz w:val="28"/>
      <w:szCs w:val="28"/>
    </w:rPr>
  </w:style>
  <w:style w:type="paragraph" w:styleId="FootnoteText">
    <w:name w:val="footnote text"/>
    <w:basedOn w:val="Normal"/>
    <w:semiHidden/>
    <w:rsid w:val="00380EDB"/>
    <w:rPr>
      <w:szCs w:val="20"/>
    </w:rPr>
  </w:style>
  <w:style w:type="character" w:styleId="FootnoteReference">
    <w:name w:val="footnote reference"/>
    <w:basedOn w:val="DefaultParagraphFont"/>
    <w:semiHidden/>
    <w:rsid w:val="00380EDB"/>
    <w:rPr>
      <w:vertAlign w:val="superscript"/>
    </w:rPr>
  </w:style>
  <w:style w:type="paragraph" w:customStyle="1" w:styleId="Signoff">
    <w:name w:val="Sign off"/>
    <w:basedOn w:val="Normal"/>
    <w:rsid w:val="00695FEB"/>
    <w:pPr>
      <w:tabs>
        <w:tab w:val="left" w:pos="1134"/>
        <w:tab w:val="left" w:pos="5500"/>
        <w:tab w:val="left" w:pos="6634"/>
      </w:tabs>
      <w:spacing w:before="1440"/>
    </w:pPr>
    <w:rPr>
      <w:szCs w:val="20"/>
      <w:lang w:eastAsia="en-GB"/>
    </w:rPr>
  </w:style>
  <w:style w:type="paragraph" w:customStyle="1" w:styleId="Addressright">
    <w:name w:val="Address right"/>
    <w:basedOn w:val="Normal"/>
    <w:rsid w:val="00695FEB"/>
    <w:pPr>
      <w:tabs>
        <w:tab w:val="left" w:pos="1134"/>
        <w:tab w:val="left" w:pos="5500"/>
        <w:tab w:val="left" w:pos="6634"/>
      </w:tabs>
      <w:jc w:val="right"/>
    </w:pPr>
    <w:rPr>
      <w:szCs w:val="20"/>
      <w:lang w:eastAsia="en-GB"/>
    </w:rPr>
  </w:style>
  <w:style w:type="paragraph" w:styleId="Caption">
    <w:name w:val="caption"/>
    <w:basedOn w:val="Normal"/>
    <w:next w:val="Normal"/>
    <w:qFormat/>
    <w:rsid w:val="00B742AF"/>
    <w:rPr>
      <w:rFonts w:ascii="Times New Roman" w:hAnsi="Times New Roman"/>
      <w:b/>
      <w:bCs/>
      <w:szCs w:val="20"/>
      <w:lang w:eastAsia="en-GB"/>
    </w:rPr>
  </w:style>
  <w:style w:type="character" w:styleId="Hyperlink">
    <w:name w:val="Hyperlink"/>
    <w:basedOn w:val="DefaultParagraphFont"/>
    <w:uiPriority w:val="99"/>
    <w:unhideWhenUsed/>
    <w:rsid w:val="00F0075E"/>
    <w:rPr>
      <w:color w:val="0000FF"/>
      <w:u w:val="single"/>
    </w:rPr>
  </w:style>
  <w:style w:type="paragraph" w:styleId="TableofFigures">
    <w:name w:val="table of figures"/>
    <w:basedOn w:val="Normal"/>
    <w:next w:val="Normal"/>
    <w:uiPriority w:val="99"/>
    <w:rsid w:val="003E7219"/>
  </w:style>
  <w:style w:type="table" w:styleId="TableGrid">
    <w:name w:val="Table Grid"/>
    <w:basedOn w:val="TableNormal"/>
    <w:uiPriority w:val="59"/>
    <w:rsid w:val="00426D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aliases w:val="MC Page Number"/>
    <w:basedOn w:val="DefaultParagraphFont"/>
    <w:rsid w:val="00426D22"/>
    <w:rPr>
      <w:rFonts w:ascii="Arial" w:hAnsi="Arial"/>
      <w:color w:val="auto"/>
      <w:sz w:val="16"/>
      <w:szCs w:val="16"/>
    </w:rPr>
  </w:style>
  <w:style w:type="paragraph" w:customStyle="1" w:styleId="JETitle0">
    <w:name w:val="MC Title"/>
    <w:basedOn w:val="Normal"/>
    <w:next w:val="Normal"/>
    <w:rsid w:val="0008637B"/>
    <w:pPr>
      <w:overflowPunct w:val="0"/>
      <w:autoSpaceDE w:val="0"/>
      <w:autoSpaceDN w:val="0"/>
      <w:adjustRightInd w:val="0"/>
      <w:spacing w:before="400" w:after="200"/>
      <w:jc w:val="center"/>
      <w:textAlignment w:val="baseline"/>
    </w:pPr>
    <w:rPr>
      <w:b/>
      <w:bCs/>
      <w:color w:val="6E0376"/>
      <w:kern w:val="20"/>
      <w:sz w:val="44"/>
      <w:szCs w:val="20"/>
    </w:rPr>
  </w:style>
  <w:style w:type="paragraph" w:styleId="CommentSubject">
    <w:name w:val="annotation subject"/>
    <w:basedOn w:val="CommentText"/>
    <w:next w:val="CommentText"/>
    <w:semiHidden/>
    <w:rsid w:val="00CC34E6"/>
    <w:rPr>
      <w:b/>
      <w:bCs/>
    </w:rPr>
  </w:style>
  <w:style w:type="character" w:customStyle="1" w:styleId="FooterChar">
    <w:name w:val="Footer Char"/>
    <w:aliases w:val="MC Footer Char"/>
    <w:basedOn w:val="DefaultParagraphFont"/>
    <w:link w:val="Footer"/>
    <w:uiPriority w:val="99"/>
    <w:rsid w:val="005C29C9"/>
    <w:rPr>
      <w:rFonts w:ascii="Arial" w:hAnsi="Arial"/>
      <w:sz w:val="14"/>
      <w:szCs w:val="24"/>
      <w:lang w:eastAsia="en-US"/>
    </w:rPr>
  </w:style>
  <w:style w:type="paragraph" w:customStyle="1" w:styleId="Heading1Char">
    <w:name w:val="MC Body txt"/>
    <w:basedOn w:val="Normal"/>
    <w:link w:val="Heading2Char"/>
    <w:rsid w:val="000B2DF4"/>
    <w:pPr>
      <w:overflowPunct w:val="0"/>
      <w:autoSpaceDE w:val="0"/>
      <w:autoSpaceDN w:val="0"/>
      <w:adjustRightInd w:val="0"/>
      <w:spacing w:after="200"/>
      <w:jc w:val="both"/>
      <w:textAlignment w:val="baseline"/>
    </w:pPr>
    <w:rPr>
      <w:kern w:val="20"/>
      <w:sz w:val="24"/>
      <w:szCs w:val="20"/>
    </w:rPr>
  </w:style>
  <w:style w:type="paragraph" w:customStyle="1" w:styleId="JEFigureCaption">
    <w:name w:val="MC Figure Caption"/>
    <w:basedOn w:val="Normal"/>
    <w:next w:val="Heading1Char"/>
    <w:link w:val="JEFigureCaptionChar"/>
    <w:rsid w:val="000B2DF4"/>
    <w:pPr>
      <w:overflowPunct w:val="0"/>
      <w:autoSpaceDE w:val="0"/>
      <w:autoSpaceDN w:val="0"/>
      <w:adjustRightInd w:val="0"/>
      <w:spacing w:before="160" w:after="400"/>
      <w:jc w:val="both"/>
      <w:textAlignment w:val="baseline"/>
    </w:pPr>
    <w:rPr>
      <w:b/>
      <w:kern w:val="20"/>
      <w:szCs w:val="20"/>
      <w:lang w:val="en-US"/>
    </w:rPr>
  </w:style>
  <w:style w:type="character" w:customStyle="1" w:styleId="Heading2Char">
    <w:name w:val="MC Body txt Char"/>
    <w:basedOn w:val="DefaultParagraphFont"/>
    <w:link w:val="Heading1Char"/>
    <w:rsid w:val="000B2DF4"/>
    <w:rPr>
      <w:rFonts w:ascii="Arial" w:hAnsi="Arial"/>
      <w:kern w:val="20"/>
      <w:sz w:val="24"/>
      <w:lang w:eastAsia="en-US"/>
    </w:rPr>
  </w:style>
  <w:style w:type="character" w:customStyle="1" w:styleId="JEFigureCaptionChar">
    <w:name w:val="MC Figure Caption Char"/>
    <w:basedOn w:val="DefaultParagraphFont"/>
    <w:link w:val="JEFigureCaption"/>
    <w:rsid w:val="000B2DF4"/>
    <w:rPr>
      <w:rFonts w:ascii="Arial" w:hAnsi="Arial"/>
      <w:b/>
      <w:kern w:val="20"/>
      <w:lang w:val="en-US" w:eastAsia="en-US"/>
    </w:rPr>
  </w:style>
  <w:style w:type="paragraph" w:customStyle="1" w:styleId="Tabletext">
    <w:name w:val="Table text"/>
    <w:basedOn w:val="BlockText"/>
    <w:link w:val="TabletextChar0"/>
    <w:autoRedefine/>
    <w:rsid w:val="005B053A"/>
    <w:pPr>
      <w:spacing w:before="120"/>
      <w:ind w:left="0" w:right="0"/>
    </w:pPr>
    <w:rPr>
      <w:rFonts w:cs="Arial"/>
      <w:bCs/>
      <w:color w:val="000000"/>
      <w:sz w:val="18"/>
      <w:szCs w:val="22"/>
    </w:rPr>
  </w:style>
  <w:style w:type="character" w:customStyle="1" w:styleId="TabletextChar0">
    <w:name w:val="Table text Char"/>
    <w:basedOn w:val="DefaultParagraphFont"/>
    <w:link w:val="Tabletext"/>
    <w:rsid w:val="005B053A"/>
    <w:rPr>
      <w:rFonts w:ascii="Arial" w:hAnsi="Arial" w:cs="Arial"/>
      <w:bCs/>
      <w:color w:val="000000"/>
      <w:sz w:val="18"/>
      <w:szCs w:val="22"/>
      <w:lang w:eastAsia="en-US"/>
    </w:rPr>
  </w:style>
  <w:style w:type="paragraph" w:styleId="NormalIndent">
    <w:name w:val="Normal Indent"/>
    <w:basedOn w:val="Normal"/>
    <w:rsid w:val="00C32E39"/>
    <w:pPr>
      <w:spacing w:after="240"/>
      <w:ind w:left="706"/>
      <w:jc w:val="both"/>
    </w:pPr>
    <w:rPr>
      <w:sz w:val="24"/>
      <w:szCs w:val="20"/>
    </w:rPr>
  </w:style>
  <w:style w:type="paragraph" w:styleId="BlockText">
    <w:name w:val="Block Text"/>
    <w:basedOn w:val="Normal"/>
    <w:rsid w:val="00C32E39"/>
    <w:pPr>
      <w:spacing w:after="120"/>
      <w:ind w:left="1440" w:right="1440"/>
    </w:pPr>
  </w:style>
  <w:style w:type="paragraph" w:customStyle="1" w:styleId="JETableHeaderBlack">
    <w:name w:val="MAPP Table Header Black"/>
    <w:basedOn w:val="Normal"/>
    <w:link w:val="JETableHeaderBlackChar"/>
    <w:qFormat/>
    <w:rsid w:val="00343C3F"/>
    <w:pPr>
      <w:keepNext/>
      <w:spacing w:before="40" w:after="40" w:line="240" w:lineRule="atLeast"/>
    </w:pPr>
    <w:rPr>
      <w:b/>
      <w:bCs/>
      <w:i/>
      <w:iCs/>
      <w:sz w:val="18"/>
      <w:szCs w:val="18"/>
    </w:rPr>
  </w:style>
  <w:style w:type="character" w:customStyle="1" w:styleId="JETableHeaderBlackChar">
    <w:name w:val="MAPP Table Header Black Char"/>
    <w:basedOn w:val="DefaultParagraphFont"/>
    <w:link w:val="JETableHeaderBlack"/>
    <w:rsid w:val="00343C3F"/>
    <w:rPr>
      <w:rFonts w:ascii="Arial" w:hAnsi="Arial"/>
      <w:b/>
      <w:bCs/>
      <w:i/>
      <w:iCs/>
      <w:sz w:val="18"/>
      <w:szCs w:val="18"/>
      <w:lang w:eastAsia="en-US"/>
    </w:rPr>
  </w:style>
  <w:style w:type="paragraph" w:customStyle="1" w:styleId="JETableText">
    <w:name w:val="MAPP Table Text"/>
    <w:basedOn w:val="Normal"/>
    <w:link w:val="JETableTextChar"/>
    <w:qFormat/>
    <w:rsid w:val="00343C3F"/>
    <w:pPr>
      <w:spacing w:before="60" w:after="60" w:line="240" w:lineRule="exact"/>
    </w:pPr>
    <w:rPr>
      <w:sz w:val="18"/>
      <w:szCs w:val="20"/>
    </w:rPr>
  </w:style>
  <w:style w:type="character" w:customStyle="1" w:styleId="JETableTextChar">
    <w:name w:val="MAPP Table Text Char"/>
    <w:basedOn w:val="DefaultParagraphFont"/>
    <w:link w:val="JETableText"/>
    <w:rsid w:val="00343C3F"/>
    <w:rPr>
      <w:rFonts w:ascii="Arial" w:hAnsi="Arial"/>
      <w:sz w:val="18"/>
      <w:lang w:eastAsia="en-US"/>
    </w:rPr>
  </w:style>
  <w:style w:type="paragraph" w:customStyle="1" w:styleId="JETableHeader">
    <w:name w:val="MAPP Table Header"/>
    <w:basedOn w:val="Normal"/>
    <w:link w:val="JETableHeaderChar"/>
    <w:qFormat/>
    <w:rsid w:val="00343C3F"/>
    <w:pPr>
      <w:keepNext/>
      <w:spacing w:before="60" w:after="60"/>
    </w:pPr>
    <w:rPr>
      <w:bCs/>
      <w:i/>
      <w:iCs/>
      <w:color w:val="6E0377"/>
      <w:szCs w:val="20"/>
    </w:rPr>
  </w:style>
  <w:style w:type="character" w:customStyle="1" w:styleId="JETableHeaderChar">
    <w:name w:val="MAPP Table Header Char"/>
    <w:basedOn w:val="DefaultParagraphFont"/>
    <w:link w:val="JETableHeader"/>
    <w:rsid w:val="00343C3F"/>
    <w:rPr>
      <w:rFonts w:ascii="Arial" w:hAnsi="Arial"/>
      <w:bCs/>
      <w:i/>
      <w:iCs/>
      <w:color w:val="6E0377"/>
      <w:lang w:eastAsia="en-US"/>
    </w:rPr>
  </w:style>
  <w:style w:type="paragraph" w:customStyle="1" w:styleId="JEBodyText">
    <w:name w:val="MAPP Body Text"/>
    <w:basedOn w:val="Normal"/>
    <w:link w:val="JEBodyTextChar"/>
    <w:qFormat/>
    <w:rsid w:val="00343C3F"/>
    <w:pPr>
      <w:spacing w:after="120" w:line="240" w:lineRule="exact"/>
    </w:pPr>
  </w:style>
  <w:style w:type="character" w:customStyle="1" w:styleId="JEBodyTextChar">
    <w:name w:val="MAPP Body Text Char"/>
    <w:basedOn w:val="DefaultParagraphFont"/>
    <w:link w:val="JEBodyText"/>
    <w:rsid w:val="00343C3F"/>
    <w:rPr>
      <w:rFonts w:ascii="Arial" w:hAnsi="Arial"/>
      <w:szCs w:val="24"/>
      <w:lang w:eastAsia="en-US"/>
    </w:rPr>
  </w:style>
  <w:style w:type="paragraph" w:customStyle="1" w:styleId="JEDocumentandContentsTitle">
    <w:name w:val="MAPP Doc and Contents Title"/>
    <w:basedOn w:val="Normal"/>
    <w:link w:val="JEDocumentandContentsTitleChar"/>
    <w:qFormat/>
    <w:rsid w:val="00343C3F"/>
    <w:pPr>
      <w:keepNext/>
      <w:tabs>
        <w:tab w:val="right" w:pos="7371"/>
      </w:tabs>
      <w:spacing w:before="120" w:after="240" w:line="360" w:lineRule="exact"/>
    </w:pPr>
    <w:rPr>
      <w:b/>
      <w:sz w:val="36"/>
    </w:rPr>
  </w:style>
  <w:style w:type="character" w:customStyle="1" w:styleId="JEDocumentandContentsTitleChar">
    <w:name w:val="MAPP Doc and Contents Title Char"/>
    <w:basedOn w:val="DefaultParagraphFont"/>
    <w:link w:val="JEDocumentandContentsTitle"/>
    <w:rsid w:val="00343C3F"/>
    <w:rPr>
      <w:rFonts w:ascii="Arial" w:hAnsi="Arial"/>
      <w:b/>
      <w:sz w:val="36"/>
      <w:szCs w:val="24"/>
      <w:lang w:eastAsia="en-US"/>
    </w:rPr>
  </w:style>
  <w:style w:type="paragraph" w:styleId="ListParagraph">
    <w:name w:val="List Paragraph"/>
    <w:basedOn w:val="Normal"/>
    <w:uiPriority w:val="34"/>
    <w:qFormat/>
    <w:rsid w:val="00980B55"/>
    <w:pPr>
      <w:ind w:left="720"/>
      <w:contextualSpacing/>
    </w:pPr>
    <w:rPr>
      <w:rFonts w:ascii="Times New Roman" w:hAnsi="Times New Roman"/>
      <w:sz w:val="24"/>
      <w:lang w:eastAsia="en-GB"/>
    </w:rPr>
  </w:style>
</w:styles>
</file>

<file path=word/webSettings.xml><?xml version="1.0" encoding="utf-8"?>
<w:webSettings xmlns:r="http://schemas.openxmlformats.org/officeDocument/2006/relationships" xmlns:w="http://schemas.openxmlformats.org/wordprocessingml/2006/main">
  <w:divs>
    <w:div w:id="42869376">
      <w:bodyDiv w:val="1"/>
      <w:marLeft w:val="0"/>
      <w:marRight w:val="0"/>
      <w:marTop w:val="0"/>
      <w:marBottom w:val="0"/>
      <w:divBdr>
        <w:top w:val="none" w:sz="0" w:space="0" w:color="auto"/>
        <w:left w:val="none" w:sz="0" w:space="0" w:color="auto"/>
        <w:bottom w:val="none" w:sz="0" w:space="0" w:color="auto"/>
        <w:right w:val="none" w:sz="0" w:space="0" w:color="auto"/>
      </w:divBdr>
      <w:divsChild>
        <w:div w:id="143553381">
          <w:marLeft w:val="0"/>
          <w:marRight w:val="0"/>
          <w:marTop w:val="58"/>
          <w:marBottom w:val="0"/>
          <w:divBdr>
            <w:top w:val="none" w:sz="0" w:space="0" w:color="auto"/>
            <w:left w:val="none" w:sz="0" w:space="0" w:color="auto"/>
            <w:bottom w:val="none" w:sz="0" w:space="0" w:color="auto"/>
            <w:right w:val="none" w:sz="0" w:space="0" w:color="auto"/>
          </w:divBdr>
        </w:div>
        <w:div w:id="300811544">
          <w:marLeft w:val="0"/>
          <w:marRight w:val="0"/>
          <w:marTop w:val="58"/>
          <w:marBottom w:val="0"/>
          <w:divBdr>
            <w:top w:val="none" w:sz="0" w:space="0" w:color="auto"/>
            <w:left w:val="none" w:sz="0" w:space="0" w:color="auto"/>
            <w:bottom w:val="none" w:sz="0" w:space="0" w:color="auto"/>
            <w:right w:val="none" w:sz="0" w:space="0" w:color="auto"/>
          </w:divBdr>
        </w:div>
        <w:div w:id="1065644594">
          <w:marLeft w:val="0"/>
          <w:marRight w:val="0"/>
          <w:marTop w:val="58"/>
          <w:marBottom w:val="0"/>
          <w:divBdr>
            <w:top w:val="none" w:sz="0" w:space="0" w:color="auto"/>
            <w:left w:val="none" w:sz="0" w:space="0" w:color="auto"/>
            <w:bottom w:val="none" w:sz="0" w:space="0" w:color="auto"/>
            <w:right w:val="none" w:sz="0" w:space="0" w:color="auto"/>
          </w:divBdr>
        </w:div>
      </w:divsChild>
    </w:div>
    <w:div w:id="97719398">
      <w:bodyDiv w:val="1"/>
      <w:marLeft w:val="0"/>
      <w:marRight w:val="0"/>
      <w:marTop w:val="0"/>
      <w:marBottom w:val="0"/>
      <w:divBdr>
        <w:top w:val="none" w:sz="0" w:space="0" w:color="auto"/>
        <w:left w:val="none" w:sz="0" w:space="0" w:color="auto"/>
        <w:bottom w:val="none" w:sz="0" w:space="0" w:color="auto"/>
        <w:right w:val="none" w:sz="0" w:space="0" w:color="auto"/>
      </w:divBdr>
    </w:div>
    <w:div w:id="367536026">
      <w:bodyDiv w:val="1"/>
      <w:marLeft w:val="0"/>
      <w:marRight w:val="0"/>
      <w:marTop w:val="0"/>
      <w:marBottom w:val="0"/>
      <w:divBdr>
        <w:top w:val="none" w:sz="0" w:space="0" w:color="auto"/>
        <w:left w:val="none" w:sz="0" w:space="0" w:color="auto"/>
        <w:bottom w:val="none" w:sz="0" w:space="0" w:color="auto"/>
        <w:right w:val="none" w:sz="0" w:space="0" w:color="auto"/>
      </w:divBdr>
    </w:div>
    <w:div w:id="404494571">
      <w:bodyDiv w:val="1"/>
      <w:marLeft w:val="0"/>
      <w:marRight w:val="0"/>
      <w:marTop w:val="0"/>
      <w:marBottom w:val="0"/>
      <w:divBdr>
        <w:top w:val="none" w:sz="0" w:space="0" w:color="auto"/>
        <w:left w:val="none" w:sz="0" w:space="0" w:color="auto"/>
        <w:bottom w:val="none" w:sz="0" w:space="0" w:color="auto"/>
        <w:right w:val="none" w:sz="0" w:space="0" w:color="auto"/>
      </w:divBdr>
      <w:divsChild>
        <w:div w:id="198204722">
          <w:marLeft w:val="0"/>
          <w:marRight w:val="0"/>
          <w:marTop w:val="58"/>
          <w:marBottom w:val="0"/>
          <w:divBdr>
            <w:top w:val="none" w:sz="0" w:space="0" w:color="auto"/>
            <w:left w:val="none" w:sz="0" w:space="0" w:color="auto"/>
            <w:bottom w:val="none" w:sz="0" w:space="0" w:color="auto"/>
            <w:right w:val="none" w:sz="0" w:space="0" w:color="auto"/>
          </w:divBdr>
        </w:div>
        <w:div w:id="586420735">
          <w:marLeft w:val="0"/>
          <w:marRight w:val="0"/>
          <w:marTop w:val="58"/>
          <w:marBottom w:val="0"/>
          <w:divBdr>
            <w:top w:val="none" w:sz="0" w:space="0" w:color="auto"/>
            <w:left w:val="none" w:sz="0" w:space="0" w:color="auto"/>
            <w:bottom w:val="none" w:sz="0" w:space="0" w:color="auto"/>
            <w:right w:val="none" w:sz="0" w:space="0" w:color="auto"/>
          </w:divBdr>
        </w:div>
        <w:div w:id="679167020">
          <w:marLeft w:val="0"/>
          <w:marRight w:val="0"/>
          <w:marTop w:val="58"/>
          <w:marBottom w:val="0"/>
          <w:divBdr>
            <w:top w:val="none" w:sz="0" w:space="0" w:color="auto"/>
            <w:left w:val="none" w:sz="0" w:space="0" w:color="auto"/>
            <w:bottom w:val="none" w:sz="0" w:space="0" w:color="auto"/>
            <w:right w:val="none" w:sz="0" w:space="0" w:color="auto"/>
          </w:divBdr>
        </w:div>
        <w:div w:id="941688169">
          <w:marLeft w:val="0"/>
          <w:marRight w:val="0"/>
          <w:marTop w:val="58"/>
          <w:marBottom w:val="0"/>
          <w:divBdr>
            <w:top w:val="none" w:sz="0" w:space="0" w:color="auto"/>
            <w:left w:val="none" w:sz="0" w:space="0" w:color="auto"/>
            <w:bottom w:val="none" w:sz="0" w:space="0" w:color="auto"/>
            <w:right w:val="none" w:sz="0" w:space="0" w:color="auto"/>
          </w:divBdr>
        </w:div>
        <w:div w:id="1607302494">
          <w:marLeft w:val="0"/>
          <w:marRight w:val="0"/>
          <w:marTop w:val="58"/>
          <w:marBottom w:val="0"/>
          <w:divBdr>
            <w:top w:val="none" w:sz="0" w:space="0" w:color="auto"/>
            <w:left w:val="none" w:sz="0" w:space="0" w:color="auto"/>
            <w:bottom w:val="none" w:sz="0" w:space="0" w:color="auto"/>
            <w:right w:val="none" w:sz="0" w:space="0" w:color="auto"/>
          </w:divBdr>
        </w:div>
        <w:div w:id="2030527445">
          <w:marLeft w:val="0"/>
          <w:marRight w:val="0"/>
          <w:marTop w:val="58"/>
          <w:marBottom w:val="0"/>
          <w:divBdr>
            <w:top w:val="none" w:sz="0" w:space="0" w:color="auto"/>
            <w:left w:val="none" w:sz="0" w:space="0" w:color="auto"/>
            <w:bottom w:val="none" w:sz="0" w:space="0" w:color="auto"/>
            <w:right w:val="none" w:sz="0" w:space="0" w:color="auto"/>
          </w:divBdr>
        </w:div>
        <w:div w:id="2033534001">
          <w:marLeft w:val="0"/>
          <w:marRight w:val="0"/>
          <w:marTop w:val="58"/>
          <w:marBottom w:val="0"/>
          <w:divBdr>
            <w:top w:val="none" w:sz="0" w:space="0" w:color="auto"/>
            <w:left w:val="none" w:sz="0" w:space="0" w:color="auto"/>
            <w:bottom w:val="none" w:sz="0" w:space="0" w:color="auto"/>
            <w:right w:val="none" w:sz="0" w:space="0" w:color="auto"/>
          </w:divBdr>
        </w:div>
      </w:divsChild>
    </w:div>
    <w:div w:id="460002939">
      <w:bodyDiv w:val="1"/>
      <w:marLeft w:val="0"/>
      <w:marRight w:val="0"/>
      <w:marTop w:val="0"/>
      <w:marBottom w:val="0"/>
      <w:divBdr>
        <w:top w:val="none" w:sz="0" w:space="0" w:color="auto"/>
        <w:left w:val="none" w:sz="0" w:space="0" w:color="auto"/>
        <w:bottom w:val="none" w:sz="0" w:space="0" w:color="auto"/>
        <w:right w:val="none" w:sz="0" w:space="0" w:color="auto"/>
      </w:divBdr>
    </w:div>
    <w:div w:id="532965940">
      <w:bodyDiv w:val="1"/>
      <w:marLeft w:val="0"/>
      <w:marRight w:val="0"/>
      <w:marTop w:val="0"/>
      <w:marBottom w:val="0"/>
      <w:divBdr>
        <w:top w:val="none" w:sz="0" w:space="0" w:color="auto"/>
        <w:left w:val="none" w:sz="0" w:space="0" w:color="auto"/>
        <w:bottom w:val="none" w:sz="0" w:space="0" w:color="auto"/>
        <w:right w:val="none" w:sz="0" w:space="0" w:color="auto"/>
      </w:divBdr>
      <w:divsChild>
        <w:div w:id="1378746712">
          <w:marLeft w:val="144"/>
          <w:marRight w:val="0"/>
          <w:marTop w:val="58"/>
          <w:marBottom w:val="0"/>
          <w:divBdr>
            <w:top w:val="none" w:sz="0" w:space="0" w:color="auto"/>
            <w:left w:val="none" w:sz="0" w:space="0" w:color="auto"/>
            <w:bottom w:val="none" w:sz="0" w:space="0" w:color="auto"/>
            <w:right w:val="none" w:sz="0" w:space="0" w:color="auto"/>
          </w:divBdr>
        </w:div>
      </w:divsChild>
    </w:div>
    <w:div w:id="642121791">
      <w:bodyDiv w:val="1"/>
      <w:marLeft w:val="0"/>
      <w:marRight w:val="0"/>
      <w:marTop w:val="0"/>
      <w:marBottom w:val="0"/>
      <w:divBdr>
        <w:top w:val="none" w:sz="0" w:space="0" w:color="auto"/>
        <w:left w:val="none" w:sz="0" w:space="0" w:color="auto"/>
        <w:bottom w:val="none" w:sz="0" w:space="0" w:color="auto"/>
        <w:right w:val="none" w:sz="0" w:space="0" w:color="auto"/>
      </w:divBdr>
    </w:div>
    <w:div w:id="803428569">
      <w:bodyDiv w:val="1"/>
      <w:marLeft w:val="0"/>
      <w:marRight w:val="0"/>
      <w:marTop w:val="0"/>
      <w:marBottom w:val="0"/>
      <w:divBdr>
        <w:top w:val="none" w:sz="0" w:space="0" w:color="auto"/>
        <w:left w:val="none" w:sz="0" w:space="0" w:color="auto"/>
        <w:bottom w:val="none" w:sz="0" w:space="0" w:color="auto"/>
        <w:right w:val="none" w:sz="0" w:space="0" w:color="auto"/>
      </w:divBdr>
    </w:div>
    <w:div w:id="861356953">
      <w:bodyDiv w:val="1"/>
      <w:marLeft w:val="0"/>
      <w:marRight w:val="0"/>
      <w:marTop w:val="0"/>
      <w:marBottom w:val="0"/>
      <w:divBdr>
        <w:top w:val="none" w:sz="0" w:space="0" w:color="auto"/>
        <w:left w:val="none" w:sz="0" w:space="0" w:color="auto"/>
        <w:bottom w:val="none" w:sz="0" w:space="0" w:color="auto"/>
        <w:right w:val="none" w:sz="0" w:space="0" w:color="auto"/>
      </w:divBdr>
    </w:div>
    <w:div w:id="885606248">
      <w:bodyDiv w:val="1"/>
      <w:marLeft w:val="0"/>
      <w:marRight w:val="0"/>
      <w:marTop w:val="0"/>
      <w:marBottom w:val="0"/>
      <w:divBdr>
        <w:top w:val="none" w:sz="0" w:space="0" w:color="auto"/>
        <w:left w:val="none" w:sz="0" w:space="0" w:color="auto"/>
        <w:bottom w:val="none" w:sz="0" w:space="0" w:color="auto"/>
        <w:right w:val="none" w:sz="0" w:space="0" w:color="auto"/>
      </w:divBdr>
    </w:div>
    <w:div w:id="902830408">
      <w:bodyDiv w:val="1"/>
      <w:marLeft w:val="0"/>
      <w:marRight w:val="0"/>
      <w:marTop w:val="0"/>
      <w:marBottom w:val="0"/>
      <w:divBdr>
        <w:top w:val="none" w:sz="0" w:space="0" w:color="auto"/>
        <w:left w:val="none" w:sz="0" w:space="0" w:color="auto"/>
        <w:bottom w:val="none" w:sz="0" w:space="0" w:color="auto"/>
        <w:right w:val="none" w:sz="0" w:space="0" w:color="auto"/>
      </w:divBdr>
      <w:divsChild>
        <w:div w:id="671302222">
          <w:marLeft w:val="418"/>
          <w:marRight w:val="0"/>
          <w:marTop w:val="162"/>
          <w:marBottom w:val="0"/>
          <w:divBdr>
            <w:top w:val="none" w:sz="0" w:space="0" w:color="auto"/>
            <w:left w:val="none" w:sz="0" w:space="0" w:color="auto"/>
            <w:bottom w:val="none" w:sz="0" w:space="0" w:color="auto"/>
            <w:right w:val="none" w:sz="0" w:space="0" w:color="auto"/>
          </w:divBdr>
        </w:div>
      </w:divsChild>
    </w:div>
    <w:div w:id="919219833">
      <w:bodyDiv w:val="1"/>
      <w:marLeft w:val="0"/>
      <w:marRight w:val="0"/>
      <w:marTop w:val="0"/>
      <w:marBottom w:val="0"/>
      <w:divBdr>
        <w:top w:val="none" w:sz="0" w:space="0" w:color="auto"/>
        <w:left w:val="none" w:sz="0" w:space="0" w:color="auto"/>
        <w:bottom w:val="none" w:sz="0" w:space="0" w:color="auto"/>
        <w:right w:val="none" w:sz="0" w:space="0" w:color="auto"/>
      </w:divBdr>
    </w:div>
    <w:div w:id="940720223">
      <w:bodyDiv w:val="1"/>
      <w:marLeft w:val="0"/>
      <w:marRight w:val="0"/>
      <w:marTop w:val="0"/>
      <w:marBottom w:val="0"/>
      <w:divBdr>
        <w:top w:val="none" w:sz="0" w:space="0" w:color="auto"/>
        <w:left w:val="none" w:sz="0" w:space="0" w:color="auto"/>
        <w:bottom w:val="none" w:sz="0" w:space="0" w:color="auto"/>
        <w:right w:val="none" w:sz="0" w:space="0" w:color="auto"/>
      </w:divBdr>
    </w:div>
    <w:div w:id="1024287554">
      <w:bodyDiv w:val="1"/>
      <w:marLeft w:val="0"/>
      <w:marRight w:val="0"/>
      <w:marTop w:val="0"/>
      <w:marBottom w:val="0"/>
      <w:divBdr>
        <w:top w:val="none" w:sz="0" w:space="0" w:color="auto"/>
        <w:left w:val="none" w:sz="0" w:space="0" w:color="auto"/>
        <w:bottom w:val="none" w:sz="0" w:space="0" w:color="auto"/>
        <w:right w:val="none" w:sz="0" w:space="0" w:color="auto"/>
      </w:divBdr>
    </w:div>
    <w:div w:id="1033770305">
      <w:bodyDiv w:val="1"/>
      <w:marLeft w:val="0"/>
      <w:marRight w:val="0"/>
      <w:marTop w:val="0"/>
      <w:marBottom w:val="0"/>
      <w:divBdr>
        <w:top w:val="none" w:sz="0" w:space="0" w:color="auto"/>
        <w:left w:val="none" w:sz="0" w:space="0" w:color="auto"/>
        <w:bottom w:val="none" w:sz="0" w:space="0" w:color="auto"/>
        <w:right w:val="none" w:sz="0" w:space="0" w:color="auto"/>
      </w:divBdr>
    </w:div>
    <w:div w:id="1104031970">
      <w:bodyDiv w:val="1"/>
      <w:marLeft w:val="0"/>
      <w:marRight w:val="0"/>
      <w:marTop w:val="0"/>
      <w:marBottom w:val="0"/>
      <w:divBdr>
        <w:top w:val="none" w:sz="0" w:space="0" w:color="auto"/>
        <w:left w:val="none" w:sz="0" w:space="0" w:color="auto"/>
        <w:bottom w:val="none" w:sz="0" w:space="0" w:color="auto"/>
        <w:right w:val="none" w:sz="0" w:space="0" w:color="auto"/>
      </w:divBdr>
      <w:divsChild>
        <w:div w:id="606042756">
          <w:marLeft w:val="418"/>
          <w:marRight w:val="0"/>
          <w:marTop w:val="162"/>
          <w:marBottom w:val="0"/>
          <w:divBdr>
            <w:top w:val="none" w:sz="0" w:space="0" w:color="auto"/>
            <w:left w:val="none" w:sz="0" w:space="0" w:color="auto"/>
            <w:bottom w:val="none" w:sz="0" w:space="0" w:color="auto"/>
            <w:right w:val="none" w:sz="0" w:space="0" w:color="auto"/>
          </w:divBdr>
        </w:div>
      </w:divsChild>
    </w:div>
    <w:div w:id="1177689433">
      <w:bodyDiv w:val="1"/>
      <w:marLeft w:val="0"/>
      <w:marRight w:val="0"/>
      <w:marTop w:val="0"/>
      <w:marBottom w:val="0"/>
      <w:divBdr>
        <w:top w:val="none" w:sz="0" w:space="0" w:color="auto"/>
        <w:left w:val="none" w:sz="0" w:space="0" w:color="auto"/>
        <w:bottom w:val="none" w:sz="0" w:space="0" w:color="auto"/>
        <w:right w:val="none" w:sz="0" w:space="0" w:color="auto"/>
      </w:divBdr>
    </w:div>
    <w:div w:id="1210919261">
      <w:bodyDiv w:val="1"/>
      <w:marLeft w:val="0"/>
      <w:marRight w:val="0"/>
      <w:marTop w:val="0"/>
      <w:marBottom w:val="0"/>
      <w:divBdr>
        <w:top w:val="none" w:sz="0" w:space="0" w:color="auto"/>
        <w:left w:val="none" w:sz="0" w:space="0" w:color="auto"/>
        <w:bottom w:val="none" w:sz="0" w:space="0" w:color="auto"/>
        <w:right w:val="none" w:sz="0" w:space="0" w:color="auto"/>
      </w:divBdr>
      <w:divsChild>
        <w:div w:id="157038127">
          <w:marLeft w:val="418"/>
          <w:marRight w:val="0"/>
          <w:marTop w:val="162"/>
          <w:marBottom w:val="0"/>
          <w:divBdr>
            <w:top w:val="none" w:sz="0" w:space="0" w:color="auto"/>
            <w:left w:val="none" w:sz="0" w:space="0" w:color="auto"/>
            <w:bottom w:val="none" w:sz="0" w:space="0" w:color="auto"/>
            <w:right w:val="none" w:sz="0" w:space="0" w:color="auto"/>
          </w:divBdr>
        </w:div>
        <w:div w:id="1579056747">
          <w:marLeft w:val="418"/>
          <w:marRight w:val="0"/>
          <w:marTop w:val="162"/>
          <w:marBottom w:val="0"/>
          <w:divBdr>
            <w:top w:val="none" w:sz="0" w:space="0" w:color="auto"/>
            <w:left w:val="none" w:sz="0" w:space="0" w:color="auto"/>
            <w:bottom w:val="none" w:sz="0" w:space="0" w:color="auto"/>
            <w:right w:val="none" w:sz="0" w:space="0" w:color="auto"/>
          </w:divBdr>
        </w:div>
      </w:divsChild>
    </w:div>
    <w:div w:id="1237786117">
      <w:bodyDiv w:val="1"/>
      <w:marLeft w:val="0"/>
      <w:marRight w:val="0"/>
      <w:marTop w:val="0"/>
      <w:marBottom w:val="0"/>
      <w:divBdr>
        <w:top w:val="none" w:sz="0" w:space="0" w:color="auto"/>
        <w:left w:val="none" w:sz="0" w:space="0" w:color="auto"/>
        <w:bottom w:val="none" w:sz="0" w:space="0" w:color="auto"/>
        <w:right w:val="none" w:sz="0" w:space="0" w:color="auto"/>
      </w:divBdr>
    </w:div>
    <w:div w:id="1324626408">
      <w:bodyDiv w:val="1"/>
      <w:marLeft w:val="0"/>
      <w:marRight w:val="0"/>
      <w:marTop w:val="0"/>
      <w:marBottom w:val="0"/>
      <w:divBdr>
        <w:top w:val="none" w:sz="0" w:space="0" w:color="auto"/>
        <w:left w:val="none" w:sz="0" w:space="0" w:color="auto"/>
        <w:bottom w:val="none" w:sz="0" w:space="0" w:color="auto"/>
        <w:right w:val="none" w:sz="0" w:space="0" w:color="auto"/>
      </w:divBdr>
    </w:div>
    <w:div w:id="1363358956">
      <w:bodyDiv w:val="1"/>
      <w:marLeft w:val="0"/>
      <w:marRight w:val="0"/>
      <w:marTop w:val="0"/>
      <w:marBottom w:val="0"/>
      <w:divBdr>
        <w:top w:val="none" w:sz="0" w:space="0" w:color="auto"/>
        <w:left w:val="none" w:sz="0" w:space="0" w:color="auto"/>
        <w:bottom w:val="none" w:sz="0" w:space="0" w:color="auto"/>
        <w:right w:val="none" w:sz="0" w:space="0" w:color="auto"/>
      </w:divBdr>
    </w:div>
    <w:div w:id="1503157416">
      <w:bodyDiv w:val="1"/>
      <w:marLeft w:val="0"/>
      <w:marRight w:val="0"/>
      <w:marTop w:val="0"/>
      <w:marBottom w:val="0"/>
      <w:divBdr>
        <w:top w:val="none" w:sz="0" w:space="0" w:color="auto"/>
        <w:left w:val="none" w:sz="0" w:space="0" w:color="auto"/>
        <w:bottom w:val="none" w:sz="0" w:space="0" w:color="auto"/>
        <w:right w:val="none" w:sz="0" w:space="0" w:color="auto"/>
      </w:divBdr>
    </w:div>
    <w:div w:id="1624119507">
      <w:bodyDiv w:val="1"/>
      <w:marLeft w:val="0"/>
      <w:marRight w:val="0"/>
      <w:marTop w:val="0"/>
      <w:marBottom w:val="0"/>
      <w:divBdr>
        <w:top w:val="none" w:sz="0" w:space="0" w:color="auto"/>
        <w:left w:val="none" w:sz="0" w:space="0" w:color="auto"/>
        <w:bottom w:val="none" w:sz="0" w:space="0" w:color="auto"/>
        <w:right w:val="none" w:sz="0" w:space="0" w:color="auto"/>
      </w:divBdr>
    </w:div>
    <w:div w:id="1627200816">
      <w:bodyDiv w:val="1"/>
      <w:marLeft w:val="0"/>
      <w:marRight w:val="0"/>
      <w:marTop w:val="0"/>
      <w:marBottom w:val="0"/>
      <w:divBdr>
        <w:top w:val="none" w:sz="0" w:space="0" w:color="auto"/>
        <w:left w:val="none" w:sz="0" w:space="0" w:color="auto"/>
        <w:bottom w:val="none" w:sz="0" w:space="0" w:color="auto"/>
        <w:right w:val="none" w:sz="0" w:space="0" w:color="auto"/>
      </w:divBdr>
      <w:divsChild>
        <w:div w:id="992024093">
          <w:marLeft w:val="418"/>
          <w:marRight w:val="0"/>
          <w:marTop w:val="162"/>
          <w:marBottom w:val="0"/>
          <w:divBdr>
            <w:top w:val="none" w:sz="0" w:space="0" w:color="auto"/>
            <w:left w:val="none" w:sz="0" w:space="0" w:color="auto"/>
            <w:bottom w:val="none" w:sz="0" w:space="0" w:color="auto"/>
            <w:right w:val="none" w:sz="0" w:space="0" w:color="auto"/>
          </w:divBdr>
        </w:div>
      </w:divsChild>
    </w:div>
    <w:div w:id="1652564739">
      <w:bodyDiv w:val="1"/>
      <w:marLeft w:val="0"/>
      <w:marRight w:val="0"/>
      <w:marTop w:val="0"/>
      <w:marBottom w:val="0"/>
      <w:divBdr>
        <w:top w:val="none" w:sz="0" w:space="0" w:color="auto"/>
        <w:left w:val="none" w:sz="0" w:space="0" w:color="auto"/>
        <w:bottom w:val="none" w:sz="0" w:space="0" w:color="auto"/>
        <w:right w:val="none" w:sz="0" w:space="0" w:color="auto"/>
      </w:divBdr>
    </w:div>
    <w:div w:id="1881547995">
      <w:bodyDiv w:val="1"/>
      <w:marLeft w:val="0"/>
      <w:marRight w:val="0"/>
      <w:marTop w:val="0"/>
      <w:marBottom w:val="0"/>
      <w:divBdr>
        <w:top w:val="none" w:sz="0" w:space="0" w:color="auto"/>
        <w:left w:val="none" w:sz="0" w:space="0" w:color="auto"/>
        <w:bottom w:val="none" w:sz="0" w:space="0" w:color="auto"/>
        <w:right w:val="none" w:sz="0" w:space="0" w:color="auto"/>
      </w:divBdr>
      <w:divsChild>
        <w:div w:id="444233088">
          <w:marLeft w:val="0"/>
          <w:marRight w:val="0"/>
          <w:marTop w:val="58"/>
          <w:marBottom w:val="0"/>
          <w:divBdr>
            <w:top w:val="none" w:sz="0" w:space="0" w:color="auto"/>
            <w:left w:val="none" w:sz="0" w:space="0" w:color="auto"/>
            <w:bottom w:val="none" w:sz="0" w:space="0" w:color="auto"/>
            <w:right w:val="none" w:sz="0" w:space="0" w:color="auto"/>
          </w:divBdr>
        </w:div>
        <w:div w:id="1279263253">
          <w:marLeft w:val="0"/>
          <w:marRight w:val="0"/>
          <w:marTop w:val="58"/>
          <w:marBottom w:val="0"/>
          <w:divBdr>
            <w:top w:val="none" w:sz="0" w:space="0" w:color="auto"/>
            <w:left w:val="none" w:sz="0" w:space="0" w:color="auto"/>
            <w:bottom w:val="none" w:sz="0" w:space="0" w:color="auto"/>
            <w:right w:val="none" w:sz="0" w:space="0" w:color="auto"/>
          </w:divBdr>
        </w:div>
      </w:divsChild>
    </w:div>
    <w:div w:id="1998070232">
      <w:bodyDiv w:val="1"/>
      <w:marLeft w:val="0"/>
      <w:marRight w:val="0"/>
      <w:marTop w:val="0"/>
      <w:marBottom w:val="0"/>
      <w:divBdr>
        <w:top w:val="none" w:sz="0" w:space="0" w:color="auto"/>
        <w:left w:val="none" w:sz="0" w:space="0" w:color="auto"/>
        <w:bottom w:val="none" w:sz="0" w:space="0" w:color="auto"/>
        <w:right w:val="none" w:sz="0" w:space="0" w:color="auto"/>
      </w:divBdr>
    </w:div>
    <w:div w:id="1999461913">
      <w:bodyDiv w:val="1"/>
      <w:marLeft w:val="0"/>
      <w:marRight w:val="0"/>
      <w:marTop w:val="0"/>
      <w:marBottom w:val="0"/>
      <w:divBdr>
        <w:top w:val="none" w:sz="0" w:space="0" w:color="auto"/>
        <w:left w:val="none" w:sz="0" w:space="0" w:color="auto"/>
        <w:bottom w:val="none" w:sz="0" w:space="0" w:color="auto"/>
        <w:right w:val="none" w:sz="0" w:space="0" w:color="auto"/>
      </w:divBdr>
      <w:divsChild>
        <w:div w:id="86075">
          <w:marLeft w:val="0"/>
          <w:marRight w:val="0"/>
          <w:marTop w:val="58"/>
          <w:marBottom w:val="0"/>
          <w:divBdr>
            <w:top w:val="none" w:sz="0" w:space="0" w:color="auto"/>
            <w:left w:val="none" w:sz="0" w:space="0" w:color="auto"/>
            <w:bottom w:val="none" w:sz="0" w:space="0" w:color="auto"/>
            <w:right w:val="none" w:sz="0" w:space="0" w:color="auto"/>
          </w:divBdr>
        </w:div>
        <w:div w:id="294222459">
          <w:marLeft w:val="0"/>
          <w:marRight w:val="0"/>
          <w:marTop w:val="58"/>
          <w:marBottom w:val="0"/>
          <w:divBdr>
            <w:top w:val="none" w:sz="0" w:space="0" w:color="auto"/>
            <w:left w:val="none" w:sz="0" w:space="0" w:color="auto"/>
            <w:bottom w:val="none" w:sz="0" w:space="0" w:color="auto"/>
            <w:right w:val="none" w:sz="0" w:space="0" w:color="auto"/>
          </w:divBdr>
        </w:div>
      </w:divsChild>
    </w:div>
    <w:div w:id="2052608763">
      <w:bodyDiv w:val="1"/>
      <w:marLeft w:val="0"/>
      <w:marRight w:val="0"/>
      <w:marTop w:val="0"/>
      <w:marBottom w:val="0"/>
      <w:divBdr>
        <w:top w:val="none" w:sz="0" w:space="0" w:color="auto"/>
        <w:left w:val="none" w:sz="0" w:space="0" w:color="auto"/>
        <w:bottom w:val="none" w:sz="0" w:space="0" w:color="auto"/>
        <w:right w:val="none" w:sz="0" w:space="0" w:color="auto"/>
      </w:divBdr>
    </w:div>
    <w:div w:id="2061399267">
      <w:bodyDiv w:val="1"/>
      <w:marLeft w:val="0"/>
      <w:marRight w:val="0"/>
      <w:marTop w:val="0"/>
      <w:marBottom w:val="0"/>
      <w:divBdr>
        <w:top w:val="none" w:sz="0" w:space="0" w:color="auto"/>
        <w:left w:val="none" w:sz="0" w:space="0" w:color="auto"/>
        <w:bottom w:val="none" w:sz="0" w:space="0" w:color="auto"/>
        <w:right w:val="none" w:sz="0" w:space="0" w:color="auto"/>
      </w:divBdr>
      <w:divsChild>
        <w:div w:id="469131318">
          <w:marLeft w:val="0"/>
          <w:marRight w:val="0"/>
          <w:marTop w:val="58"/>
          <w:marBottom w:val="0"/>
          <w:divBdr>
            <w:top w:val="none" w:sz="0" w:space="0" w:color="auto"/>
            <w:left w:val="none" w:sz="0" w:space="0" w:color="auto"/>
            <w:bottom w:val="none" w:sz="0" w:space="0" w:color="auto"/>
            <w:right w:val="none" w:sz="0" w:space="0" w:color="auto"/>
          </w:divBdr>
        </w:div>
        <w:div w:id="730273224">
          <w:marLeft w:val="0"/>
          <w:marRight w:val="0"/>
          <w:marTop w:val="58"/>
          <w:marBottom w:val="0"/>
          <w:divBdr>
            <w:top w:val="none" w:sz="0" w:space="0" w:color="auto"/>
            <w:left w:val="none" w:sz="0" w:space="0" w:color="auto"/>
            <w:bottom w:val="none" w:sz="0" w:space="0" w:color="auto"/>
            <w:right w:val="none" w:sz="0" w:space="0" w:color="auto"/>
          </w:divBdr>
        </w:div>
        <w:div w:id="744646550">
          <w:marLeft w:val="0"/>
          <w:marRight w:val="0"/>
          <w:marTop w:val="58"/>
          <w:marBottom w:val="0"/>
          <w:divBdr>
            <w:top w:val="none" w:sz="0" w:space="0" w:color="auto"/>
            <w:left w:val="none" w:sz="0" w:space="0" w:color="auto"/>
            <w:bottom w:val="none" w:sz="0" w:space="0" w:color="auto"/>
            <w:right w:val="none" w:sz="0" w:space="0" w:color="auto"/>
          </w:divBdr>
        </w:div>
      </w:divsChild>
    </w:div>
    <w:div w:id="2100983128">
      <w:bodyDiv w:val="1"/>
      <w:marLeft w:val="0"/>
      <w:marRight w:val="0"/>
      <w:marTop w:val="0"/>
      <w:marBottom w:val="0"/>
      <w:divBdr>
        <w:top w:val="none" w:sz="0" w:space="0" w:color="auto"/>
        <w:left w:val="none" w:sz="0" w:space="0" w:color="auto"/>
        <w:bottom w:val="none" w:sz="0" w:space="0" w:color="auto"/>
        <w:right w:val="none" w:sz="0" w:space="0" w:color="auto"/>
      </w:divBdr>
    </w:div>
    <w:div w:id="2107191148">
      <w:bodyDiv w:val="1"/>
      <w:marLeft w:val="0"/>
      <w:marRight w:val="0"/>
      <w:marTop w:val="0"/>
      <w:marBottom w:val="0"/>
      <w:divBdr>
        <w:top w:val="none" w:sz="0" w:space="0" w:color="auto"/>
        <w:left w:val="none" w:sz="0" w:space="0" w:color="auto"/>
        <w:bottom w:val="none" w:sz="0" w:space="0" w:color="auto"/>
        <w:right w:val="none" w:sz="0" w:space="0" w:color="auto"/>
      </w:divBdr>
      <w:divsChild>
        <w:div w:id="31154102">
          <w:marLeft w:val="1138"/>
          <w:marRight w:val="0"/>
          <w:marTop w:val="162"/>
          <w:marBottom w:val="0"/>
          <w:divBdr>
            <w:top w:val="none" w:sz="0" w:space="0" w:color="auto"/>
            <w:left w:val="none" w:sz="0" w:space="0" w:color="auto"/>
            <w:bottom w:val="none" w:sz="0" w:space="0" w:color="auto"/>
            <w:right w:val="none" w:sz="0" w:space="0" w:color="auto"/>
          </w:divBdr>
        </w:div>
        <w:div w:id="92676221">
          <w:marLeft w:val="418"/>
          <w:marRight w:val="0"/>
          <w:marTop w:val="162"/>
          <w:marBottom w:val="0"/>
          <w:divBdr>
            <w:top w:val="none" w:sz="0" w:space="0" w:color="auto"/>
            <w:left w:val="none" w:sz="0" w:space="0" w:color="auto"/>
            <w:bottom w:val="none" w:sz="0" w:space="0" w:color="auto"/>
            <w:right w:val="none" w:sz="0" w:space="0" w:color="auto"/>
          </w:divBdr>
        </w:div>
        <w:div w:id="534272893">
          <w:marLeft w:val="1138"/>
          <w:marRight w:val="0"/>
          <w:marTop w:val="162"/>
          <w:marBottom w:val="0"/>
          <w:divBdr>
            <w:top w:val="none" w:sz="0" w:space="0" w:color="auto"/>
            <w:left w:val="none" w:sz="0" w:space="0" w:color="auto"/>
            <w:bottom w:val="none" w:sz="0" w:space="0" w:color="auto"/>
            <w:right w:val="none" w:sz="0" w:space="0" w:color="auto"/>
          </w:divBdr>
        </w:div>
        <w:div w:id="574243881">
          <w:marLeft w:val="418"/>
          <w:marRight w:val="0"/>
          <w:marTop w:val="162"/>
          <w:marBottom w:val="0"/>
          <w:divBdr>
            <w:top w:val="none" w:sz="0" w:space="0" w:color="auto"/>
            <w:left w:val="none" w:sz="0" w:space="0" w:color="auto"/>
            <w:bottom w:val="none" w:sz="0" w:space="0" w:color="auto"/>
            <w:right w:val="none" w:sz="0" w:space="0" w:color="auto"/>
          </w:divBdr>
        </w:div>
        <w:div w:id="660550580">
          <w:marLeft w:val="418"/>
          <w:marRight w:val="0"/>
          <w:marTop w:val="162"/>
          <w:marBottom w:val="0"/>
          <w:divBdr>
            <w:top w:val="none" w:sz="0" w:space="0" w:color="auto"/>
            <w:left w:val="none" w:sz="0" w:space="0" w:color="auto"/>
            <w:bottom w:val="none" w:sz="0" w:space="0" w:color="auto"/>
            <w:right w:val="none" w:sz="0" w:space="0" w:color="auto"/>
          </w:divBdr>
        </w:div>
        <w:div w:id="694355417">
          <w:marLeft w:val="1138"/>
          <w:marRight w:val="0"/>
          <w:marTop w:val="162"/>
          <w:marBottom w:val="0"/>
          <w:divBdr>
            <w:top w:val="none" w:sz="0" w:space="0" w:color="auto"/>
            <w:left w:val="none" w:sz="0" w:space="0" w:color="auto"/>
            <w:bottom w:val="none" w:sz="0" w:space="0" w:color="auto"/>
            <w:right w:val="none" w:sz="0" w:space="0" w:color="auto"/>
          </w:divBdr>
        </w:div>
        <w:div w:id="696008645">
          <w:marLeft w:val="418"/>
          <w:marRight w:val="0"/>
          <w:marTop w:val="162"/>
          <w:marBottom w:val="0"/>
          <w:divBdr>
            <w:top w:val="none" w:sz="0" w:space="0" w:color="auto"/>
            <w:left w:val="none" w:sz="0" w:space="0" w:color="auto"/>
            <w:bottom w:val="none" w:sz="0" w:space="0" w:color="auto"/>
            <w:right w:val="none" w:sz="0" w:space="0" w:color="auto"/>
          </w:divBdr>
        </w:div>
        <w:div w:id="1051266770">
          <w:marLeft w:val="418"/>
          <w:marRight w:val="0"/>
          <w:marTop w:val="162"/>
          <w:marBottom w:val="0"/>
          <w:divBdr>
            <w:top w:val="none" w:sz="0" w:space="0" w:color="auto"/>
            <w:left w:val="none" w:sz="0" w:space="0" w:color="auto"/>
            <w:bottom w:val="none" w:sz="0" w:space="0" w:color="auto"/>
            <w:right w:val="none" w:sz="0" w:space="0" w:color="auto"/>
          </w:divBdr>
        </w:div>
        <w:div w:id="1450974691">
          <w:marLeft w:val="418"/>
          <w:marRight w:val="0"/>
          <w:marTop w:val="162"/>
          <w:marBottom w:val="0"/>
          <w:divBdr>
            <w:top w:val="none" w:sz="0" w:space="0" w:color="auto"/>
            <w:left w:val="none" w:sz="0" w:space="0" w:color="auto"/>
            <w:bottom w:val="none" w:sz="0" w:space="0" w:color="auto"/>
            <w:right w:val="none" w:sz="0" w:space="0" w:color="auto"/>
          </w:divBdr>
        </w:div>
        <w:div w:id="1693609945">
          <w:marLeft w:val="1138"/>
          <w:marRight w:val="0"/>
          <w:marTop w:val="162"/>
          <w:marBottom w:val="0"/>
          <w:divBdr>
            <w:top w:val="none" w:sz="0" w:space="0" w:color="auto"/>
            <w:left w:val="none" w:sz="0" w:space="0" w:color="auto"/>
            <w:bottom w:val="none" w:sz="0" w:space="0" w:color="auto"/>
            <w:right w:val="none" w:sz="0" w:space="0" w:color="auto"/>
          </w:divBdr>
        </w:div>
        <w:div w:id="1742093165">
          <w:marLeft w:val="418"/>
          <w:marRight w:val="0"/>
          <w:marTop w:val="162"/>
          <w:marBottom w:val="0"/>
          <w:divBdr>
            <w:top w:val="none" w:sz="0" w:space="0" w:color="auto"/>
            <w:left w:val="none" w:sz="0" w:space="0" w:color="auto"/>
            <w:bottom w:val="none" w:sz="0" w:space="0" w:color="auto"/>
            <w:right w:val="none" w:sz="0" w:space="0" w:color="auto"/>
          </w:divBdr>
        </w:div>
        <w:div w:id="1777292625">
          <w:marLeft w:val="1138"/>
          <w:marRight w:val="0"/>
          <w:marTop w:val="162"/>
          <w:marBottom w:val="0"/>
          <w:divBdr>
            <w:top w:val="none" w:sz="0" w:space="0" w:color="auto"/>
            <w:left w:val="none" w:sz="0" w:space="0" w:color="auto"/>
            <w:bottom w:val="none" w:sz="0" w:space="0" w:color="auto"/>
            <w:right w:val="none" w:sz="0" w:space="0" w:color="auto"/>
          </w:divBdr>
        </w:div>
        <w:div w:id="2004818456">
          <w:marLeft w:val="418"/>
          <w:marRight w:val="0"/>
          <w:marTop w:val="162"/>
          <w:marBottom w:val="0"/>
          <w:divBdr>
            <w:top w:val="none" w:sz="0" w:space="0" w:color="auto"/>
            <w:left w:val="none" w:sz="0" w:space="0" w:color="auto"/>
            <w:bottom w:val="none" w:sz="0" w:space="0" w:color="auto"/>
            <w:right w:val="none" w:sz="0" w:space="0" w:color="auto"/>
          </w:divBdr>
        </w:div>
        <w:div w:id="2008510860">
          <w:marLeft w:val="1138"/>
          <w:marRight w:val="0"/>
          <w:marTop w:val="16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4B855DEAAF64396805F7102F68EA2" ma:contentTypeVersion="0" ma:contentTypeDescription="Create a new document." ma:contentTypeScope="" ma:versionID="d03f323a8eda511d211ca78460d35a1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33067-1F72-4982-9A90-ACF68FA13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36261C-3D3E-41BB-9A31-8A6DBC4FA496}">
  <ds:schemaRefs>
    <ds:schemaRef ds:uri="http://schemas.microsoft.com/sharepoint/v3/contenttype/forms"/>
  </ds:schemaRefs>
</ds:datastoreItem>
</file>

<file path=customXml/itemProps3.xml><?xml version="1.0" encoding="utf-8"?>
<ds:datastoreItem xmlns:ds="http://schemas.openxmlformats.org/officeDocument/2006/customXml" ds:itemID="{1B74D610-000E-418C-BEE1-3AC2AE336D36}">
  <ds:schemaRefs>
    <ds:schemaRef ds:uri="http://schemas.microsoft.com/office/2006/metadata/properties"/>
  </ds:schemaRefs>
</ds:datastoreItem>
</file>

<file path=customXml/itemProps4.xml><?xml version="1.0" encoding="utf-8"?>
<ds:datastoreItem xmlns:ds="http://schemas.openxmlformats.org/officeDocument/2006/customXml" ds:itemID="{C8B63394-5CB2-4827-B648-61F8C206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Accounting Coursework</vt:lpstr>
    </vt:vector>
  </TitlesOfParts>
  <Manager>Will Paterson</Manager>
  <Company>Moorhouse Consulting</Company>
  <LinksUpToDate>false</LinksUpToDate>
  <CharactersWithSpaces>14101</CharactersWithSpaces>
  <SharedDoc>false</SharedDoc>
  <HyperlinkBase/>
  <HLinks>
    <vt:vector size="132" baseType="variant">
      <vt:variant>
        <vt:i4>262162</vt:i4>
      </vt:variant>
      <vt:variant>
        <vt:i4>110</vt:i4>
      </vt:variant>
      <vt:variant>
        <vt:i4>0</vt:i4>
      </vt:variant>
      <vt:variant>
        <vt:i4>5</vt:i4>
      </vt:variant>
      <vt:variant>
        <vt:lpwstr/>
      </vt:variant>
      <vt:variant>
        <vt:lpwstr>_Toc263431365</vt:lpwstr>
      </vt:variant>
      <vt:variant>
        <vt:i4>327698</vt:i4>
      </vt:variant>
      <vt:variant>
        <vt:i4>104</vt:i4>
      </vt:variant>
      <vt:variant>
        <vt:i4>0</vt:i4>
      </vt:variant>
      <vt:variant>
        <vt:i4>5</vt:i4>
      </vt:variant>
      <vt:variant>
        <vt:lpwstr/>
      </vt:variant>
      <vt:variant>
        <vt:lpwstr>_Toc263431364</vt:lpwstr>
      </vt:variant>
      <vt:variant>
        <vt:i4>131090</vt:i4>
      </vt:variant>
      <vt:variant>
        <vt:i4>98</vt:i4>
      </vt:variant>
      <vt:variant>
        <vt:i4>0</vt:i4>
      </vt:variant>
      <vt:variant>
        <vt:i4>5</vt:i4>
      </vt:variant>
      <vt:variant>
        <vt:lpwstr/>
      </vt:variant>
      <vt:variant>
        <vt:lpwstr>_Toc263431363</vt:lpwstr>
      </vt:variant>
      <vt:variant>
        <vt:i4>196626</vt:i4>
      </vt:variant>
      <vt:variant>
        <vt:i4>92</vt:i4>
      </vt:variant>
      <vt:variant>
        <vt:i4>0</vt:i4>
      </vt:variant>
      <vt:variant>
        <vt:i4>5</vt:i4>
      </vt:variant>
      <vt:variant>
        <vt:lpwstr/>
      </vt:variant>
      <vt:variant>
        <vt:lpwstr>_Toc263431362</vt:lpwstr>
      </vt:variant>
      <vt:variant>
        <vt:i4>18</vt:i4>
      </vt:variant>
      <vt:variant>
        <vt:i4>86</vt:i4>
      </vt:variant>
      <vt:variant>
        <vt:i4>0</vt:i4>
      </vt:variant>
      <vt:variant>
        <vt:i4>5</vt:i4>
      </vt:variant>
      <vt:variant>
        <vt:lpwstr/>
      </vt:variant>
      <vt:variant>
        <vt:lpwstr>_Toc263431361</vt:lpwstr>
      </vt:variant>
      <vt:variant>
        <vt:i4>65554</vt:i4>
      </vt:variant>
      <vt:variant>
        <vt:i4>80</vt:i4>
      </vt:variant>
      <vt:variant>
        <vt:i4>0</vt:i4>
      </vt:variant>
      <vt:variant>
        <vt:i4>5</vt:i4>
      </vt:variant>
      <vt:variant>
        <vt:lpwstr/>
      </vt:variant>
      <vt:variant>
        <vt:lpwstr>_Toc263431360</vt:lpwstr>
      </vt:variant>
      <vt:variant>
        <vt:i4>524305</vt:i4>
      </vt:variant>
      <vt:variant>
        <vt:i4>74</vt:i4>
      </vt:variant>
      <vt:variant>
        <vt:i4>0</vt:i4>
      </vt:variant>
      <vt:variant>
        <vt:i4>5</vt:i4>
      </vt:variant>
      <vt:variant>
        <vt:lpwstr/>
      </vt:variant>
      <vt:variant>
        <vt:lpwstr>_Toc263431359</vt:lpwstr>
      </vt:variant>
      <vt:variant>
        <vt:i4>589841</vt:i4>
      </vt:variant>
      <vt:variant>
        <vt:i4>68</vt:i4>
      </vt:variant>
      <vt:variant>
        <vt:i4>0</vt:i4>
      </vt:variant>
      <vt:variant>
        <vt:i4>5</vt:i4>
      </vt:variant>
      <vt:variant>
        <vt:lpwstr/>
      </vt:variant>
      <vt:variant>
        <vt:lpwstr>_Toc263431358</vt:lpwstr>
      </vt:variant>
      <vt:variant>
        <vt:i4>262172</vt:i4>
      </vt:variant>
      <vt:variant>
        <vt:i4>59</vt:i4>
      </vt:variant>
      <vt:variant>
        <vt:i4>0</vt:i4>
      </vt:variant>
      <vt:variant>
        <vt:i4>5</vt:i4>
      </vt:variant>
      <vt:variant>
        <vt:lpwstr/>
      </vt:variant>
      <vt:variant>
        <vt:lpwstr>_Toc263431385</vt:lpwstr>
      </vt:variant>
      <vt:variant>
        <vt:i4>327708</vt:i4>
      </vt:variant>
      <vt:variant>
        <vt:i4>53</vt:i4>
      </vt:variant>
      <vt:variant>
        <vt:i4>0</vt:i4>
      </vt:variant>
      <vt:variant>
        <vt:i4>5</vt:i4>
      </vt:variant>
      <vt:variant>
        <vt:lpwstr/>
      </vt:variant>
      <vt:variant>
        <vt:lpwstr>_Toc263431384</vt:lpwstr>
      </vt:variant>
      <vt:variant>
        <vt:i4>131100</vt:i4>
      </vt:variant>
      <vt:variant>
        <vt:i4>47</vt:i4>
      </vt:variant>
      <vt:variant>
        <vt:i4>0</vt:i4>
      </vt:variant>
      <vt:variant>
        <vt:i4>5</vt:i4>
      </vt:variant>
      <vt:variant>
        <vt:lpwstr/>
      </vt:variant>
      <vt:variant>
        <vt:lpwstr>_Toc263431383</vt:lpwstr>
      </vt:variant>
      <vt:variant>
        <vt:i4>196636</vt:i4>
      </vt:variant>
      <vt:variant>
        <vt:i4>41</vt:i4>
      </vt:variant>
      <vt:variant>
        <vt:i4>0</vt:i4>
      </vt:variant>
      <vt:variant>
        <vt:i4>5</vt:i4>
      </vt:variant>
      <vt:variant>
        <vt:lpwstr/>
      </vt:variant>
      <vt:variant>
        <vt:lpwstr>_Toc263431382</vt:lpwstr>
      </vt:variant>
      <vt:variant>
        <vt:i4>28</vt:i4>
      </vt:variant>
      <vt:variant>
        <vt:i4>35</vt:i4>
      </vt:variant>
      <vt:variant>
        <vt:i4>0</vt:i4>
      </vt:variant>
      <vt:variant>
        <vt:i4>5</vt:i4>
      </vt:variant>
      <vt:variant>
        <vt:lpwstr/>
      </vt:variant>
      <vt:variant>
        <vt:lpwstr>_Toc263431381</vt:lpwstr>
      </vt:variant>
      <vt:variant>
        <vt:i4>65564</vt:i4>
      </vt:variant>
      <vt:variant>
        <vt:i4>29</vt:i4>
      </vt:variant>
      <vt:variant>
        <vt:i4>0</vt:i4>
      </vt:variant>
      <vt:variant>
        <vt:i4>5</vt:i4>
      </vt:variant>
      <vt:variant>
        <vt:lpwstr/>
      </vt:variant>
      <vt:variant>
        <vt:lpwstr>_Toc263431380</vt:lpwstr>
      </vt:variant>
      <vt:variant>
        <vt:i4>524307</vt:i4>
      </vt:variant>
      <vt:variant>
        <vt:i4>23</vt:i4>
      </vt:variant>
      <vt:variant>
        <vt:i4>0</vt:i4>
      </vt:variant>
      <vt:variant>
        <vt:i4>5</vt:i4>
      </vt:variant>
      <vt:variant>
        <vt:lpwstr/>
      </vt:variant>
      <vt:variant>
        <vt:lpwstr>_Toc263431379</vt:lpwstr>
      </vt:variant>
      <vt:variant>
        <vt:i4>589843</vt:i4>
      </vt:variant>
      <vt:variant>
        <vt:i4>17</vt:i4>
      </vt:variant>
      <vt:variant>
        <vt:i4>0</vt:i4>
      </vt:variant>
      <vt:variant>
        <vt:i4>5</vt:i4>
      </vt:variant>
      <vt:variant>
        <vt:lpwstr/>
      </vt:variant>
      <vt:variant>
        <vt:lpwstr>_Toc263431378</vt:lpwstr>
      </vt:variant>
      <vt:variant>
        <vt:i4>393235</vt:i4>
      </vt:variant>
      <vt:variant>
        <vt:i4>11</vt:i4>
      </vt:variant>
      <vt:variant>
        <vt:i4>0</vt:i4>
      </vt:variant>
      <vt:variant>
        <vt:i4>5</vt:i4>
      </vt:variant>
      <vt:variant>
        <vt:lpwstr/>
      </vt:variant>
      <vt:variant>
        <vt:lpwstr>_Toc263431377</vt:lpwstr>
      </vt:variant>
      <vt:variant>
        <vt:i4>1900590</vt:i4>
      </vt:variant>
      <vt:variant>
        <vt:i4>14325</vt:i4>
      </vt:variant>
      <vt:variant>
        <vt:i4>1025</vt:i4>
      </vt:variant>
      <vt:variant>
        <vt:i4>1</vt:i4>
      </vt:variant>
      <vt:variant>
        <vt:lpwstr>MAPP_4_Logo</vt:lpwstr>
      </vt:variant>
      <vt:variant>
        <vt:lpwstr/>
      </vt:variant>
      <vt:variant>
        <vt:i4>3080287</vt:i4>
      </vt:variant>
      <vt:variant>
        <vt:i4>14366</vt:i4>
      </vt:variant>
      <vt:variant>
        <vt:i4>1027</vt:i4>
      </vt:variant>
      <vt:variant>
        <vt:i4>1</vt:i4>
      </vt:variant>
      <vt:variant>
        <vt:lpwstr>Moorhouse Logo_small</vt:lpwstr>
      </vt:variant>
      <vt:variant>
        <vt:lpwstr/>
      </vt:variant>
      <vt:variant>
        <vt:i4>1900590</vt:i4>
      </vt:variant>
      <vt:variant>
        <vt:i4>14371</vt:i4>
      </vt:variant>
      <vt:variant>
        <vt:i4>1026</vt:i4>
      </vt:variant>
      <vt:variant>
        <vt:i4>1</vt:i4>
      </vt:variant>
      <vt:variant>
        <vt:lpwstr>MAPP_4_Logo</vt:lpwstr>
      </vt:variant>
      <vt:variant>
        <vt:lpwstr/>
      </vt:variant>
      <vt:variant>
        <vt:i4>3670076</vt:i4>
      </vt:variant>
      <vt:variant>
        <vt:i4>14375</vt:i4>
      </vt:variant>
      <vt:variant>
        <vt:i4>1028</vt:i4>
      </vt:variant>
      <vt:variant>
        <vt:i4>1</vt:i4>
      </vt:variant>
      <vt:variant>
        <vt:lpwstr>MOORHOUSE_COLOUR_RGB</vt:lpwstr>
      </vt:variant>
      <vt:variant>
        <vt:lpwstr/>
      </vt:variant>
      <vt:variant>
        <vt:i4>1900590</vt:i4>
      </vt:variant>
      <vt:variant>
        <vt:i4>14467</vt:i4>
      </vt:variant>
      <vt:variant>
        <vt:i4>1029</vt:i4>
      </vt:variant>
      <vt:variant>
        <vt:i4>1</vt:i4>
      </vt:variant>
      <vt:variant>
        <vt:lpwstr>MAPP_4_Logo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Coursework</dc:title>
  <dc:subject>Financial Review of Nichols PLC</dc:subject>
  <dc:creator>John Ellis Group</dc:creator>
  <cp:lastModifiedBy>Pia Gowland</cp:lastModifiedBy>
  <cp:revision>6</cp:revision>
  <cp:lastPrinted>2010-11-09T13:55:00Z</cp:lastPrinted>
  <dcterms:created xsi:type="dcterms:W3CDTF">2010-11-09T14:04:00Z</dcterms:created>
  <dcterms:modified xsi:type="dcterms:W3CDTF">2010-11-09T14:06:00Z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tream">
    <vt:lpwstr>EPO</vt:lpwstr>
  </property>
  <property fmtid="{D5CDD505-2E9C-101B-9397-08002B2CF9AE}" pid="3" name="Subproject">
    <vt:lpwstr>Process Definition</vt:lpwstr>
  </property>
  <property fmtid="{D5CDD505-2E9C-101B-9397-08002B2CF9AE}" pid="4" name="date saved">
    <vt:lpwstr/>
  </property>
</Properties>
</file>