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1D306">
      <w:pPr>
        <w:pStyle w:val="2"/>
        <w:keepNext w:val="0"/>
        <w:keepLines w:val="0"/>
        <w:widowControl/>
        <w:suppressLineNumbers w:val="0"/>
        <w:rPr>
          <w:rFonts w:hint="default" w:ascii="Times New Roman" w:hAnsi="Times New Roman" w:eastAsia="sans-serif" w:cs="Times New Roman"/>
          <w:color w:val="auto"/>
          <w:spacing w:val="0"/>
          <w:sz w:val="33"/>
          <w:szCs w:val="33"/>
        </w:rPr>
      </w:pPr>
      <w:r>
        <w:rPr>
          <w:rFonts w:hint="default" w:ascii="Times New Roman" w:hAnsi="Times New Roman" w:eastAsia="sans-serif" w:cs="Times New Roman"/>
          <w:color w:val="auto"/>
          <w:spacing w:val="0"/>
          <w:sz w:val="33"/>
          <w:szCs w:val="33"/>
          <w:bdr w:val="none" w:color="auto" w:sz="0" w:space="0"/>
        </w:rPr>
        <w:t>The Failure of the UPI Paradigm: An Economic, Technical, and Surveillance Analysis</w:t>
      </w:r>
    </w:p>
    <w:p w14:paraId="23C42A66">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The Amortization of Cash versus the Linear Cost of Digital Rails</w:t>
      </w:r>
      <w:bookmarkStart w:id="0" w:name="_GoBack"/>
      <w:bookmarkEnd w:id="0"/>
    </w:p>
    <w:p w14:paraId="6AACAA45">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A fundamental tenet of contemporary monetary policy is that digital transaction networks are inherently more efficient than the physical distribution of cash. However, a quantitative analysis of production economics and transaction velocities reveals a profound economic paradox. Physical banknotes operate on a high-efficiency fixed-cost model with a marginal transaction cost of zero, whereas digital payment rails generate high variable costs that scale linearly with transaction volume.</w:t>
      </w:r>
    </w:p>
    <w:p w14:paraId="60DB86A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To evaluate this dynamic, consider the physical cost of currency production in India. The printing of currency notes is managed by the Reserve Bank of India (RBI) through specialized government-owned presses, specifically Bharatiya Reserve Bank Note Mudran Pvt. Ltd. (BRBNMPL) and Security Printing and Minting Corporation of India Ltd. (SPMCIL). The physical production cost of a ₹100 banknote is approximately ₹1.51, whereas a ₹500 banknote costs approximately ₹2.94 to print. These physical banknotes possess substantial operational longevity. While low-denomination notes soil quickly, high-value denominations such as the ₹100 and ₹500 notes remain in active circulation for three to four years and five to seven years, respectively. Because physical cash operates on a hand-to-hand basis, a single banknote can facilitate hundreds of peer-to-peer transactions over its operational lifecycle without requiring server bandwidth, electrical energy, or database updates.   </w:t>
      </w:r>
    </w:p>
    <w:p w14:paraId="3B34988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This relationship can be represented mathematically. Let </w:t>
      </w:r>
      <w:r>
        <w:rPr>
          <w:rFonts w:hint="default" w:ascii="Times New Roman" w:hAnsi="Times New Roman" w:eastAsia="KaTeX_Math" w:cs="Times New Roman"/>
          <w:i/>
          <w:iCs/>
          <w:color w:val="auto"/>
          <w:spacing w:val="0"/>
          <w:sz w:val="25"/>
          <w:szCs w:val="25"/>
        </w:rPr>
        <w:t>C</w:t>
      </w:r>
      <w:r>
        <w:rPr>
          <w:rFonts w:hint="default" w:ascii="Times New Roman" w:hAnsi="Times New Roman" w:eastAsia="Times New Roman" w:cs="Times New Roman"/>
          <w:color w:val="auto"/>
          <w:spacing w:val="0"/>
          <w:sz w:val="14"/>
          <w:szCs w:val="14"/>
        </w:rPr>
        <w:t>cash</w:t>
      </w:r>
      <w:r>
        <w:rPr>
          <w:rFonts w:hint="default" w:ascii="Times New Roman" w:hAnsi="Times New Roman" w:eastAsia="Times New Roman" w:cs="Times New Roman"/>
          <w:color w:val="auto"/>
          <w:spacing w:val="0"/>
          <w:sz w:val="1"/>
          <w:szCs w:val="1"/>
        </w:rPr>
        <w:t>​</w:t>
      </w:r>
      <w:r>
        <w:rPr>
          <w:rFonts w:hint="default" w:ascii="Times New Roman" w:hAnsi="Times New Roman" w:eastAsia="Times New Roman" w:cs="Times New Roman"/>
          <w:color w:val="auto"/>
          <w:spacing w:val="0"/>
          <w:sz w:val="25"/>
          <w:szCs w:val="25"/>
        </w:rPr>
        <w:t>(</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w:t>
      </w:r>
      <w:r>
        <w:rPr>
          <w:rFonts w:hint="default" w:ascii="Times New Roman" w:hAnsi="Times New Roman" w:eastAsia="sans-serif" w:cs="Times New Roman"/>
          <w:color w:val="auto"/>
          <w:spacing w:val="0"/>
          <w:sz w:val="20"/>
          <w:szCs w:val="20"/>
        </w:rPr>
        <w:t xml:space="preserve"> represent the cumulative transaction cost of </w:t>
      </w:r>
      <w:r>
        <w:rPr>
          <w:rFonts w:hint="default" w:ascii="Times New Roman" w:hAnsi="Times New Roman" w:eastAsia="KaTeX_Math" w:cs="Times New Roman"/>
          <w:i/>
          <w:iCs/>
          <w:color w:val="auto"/>
          <w:spacing w:val="0"/>
          <w:sz w:val="25"/>
          <w:szCs w:val="25"/>
        </w:rPr>
        <w:t>N</w:t>
      </w:r>
      <w:r>
        <w:rPr>
          <w:rFonts w:hint="default" w:ascii="Times New Roman" w:hAnsi="Times New Roman" w:eastAsia="sans-serif" w:cs="Times New Roman"/>
          <w:color w:val="auto"/>
          <w:spacing w:val="0"/>
          <w:sz w:val="20"/>
          <w:szCs w:val="20"/>
        </w:rPr>
        <w:t xml:space="preserve"> physical cash exchanges facilitated by a single banknote of denomination </w:t>
      </w:r>
      <w:r>
        <w:rPr>
          <w:rFonts w:hint="default" w:ascii="Times New Roman" w:hAnsi="Times New Roman" w:eastAsia="KaTeX_Math" w:cs="Times New Roman"/>
          <w:i/>
          <w:iCs/>
          <w:color w:val="auto"/>
          <w:spacing w:val="0"/>
          <w:sz w:val="25"/>
          <w:szCs w:val="25"/>
        </w:rPr>
        <w:t>D</w:t>
      </w:r>
      <w:r>
        <w:rPr>
          <w:rFonts w:hint="default" w:ascii="Times New Roman" w:hAnsi="Times New Roman" w:eastAsia="sans-serif" w:cs="Times New Roman"/>
          <w:color w:val="auto"/>
          <w:spacing w:val="0"/>
          <w:sz w:val="20"/>
          <w:szCs w:val="20"/>
        </w:rPr>
        <w:t xml:space="preserve">, where </w:t>
      </w:r>
      <w:r>
        <w:rPr>
          <w:rFonts w:hint="default" w:ascii="Times New Roman" w:hAnsi="Times New Roman" w:eastAsia="KaTeX_Math" w:cs="Times New Roman"/>
          <w:i/>
          <w:iCs/>
          <w:color w:val="auto"/>
          <w:spacing w:val="0"/>
          <w:sz w:val="25"/>
          <w:szCs w:val="25"/>
        </w:rPr>
        <w:t>C</w:t>
      </w:r>
      <w:r>
        <w:rPr>
          <w:rFonts w:hint="default" w:ascii="Times New Roman" w:hAnsi="Times New Roman" w:eastAsia="KaTeX_Math" w:cs="Times New Roman"/>
          <w:i/>
          <w:iCs/>
          <w:color w:val="auto"/>
          <w:spacing w:val="0"/>
          <w:sz w:val="14"/>
          <w:szCs w:val="14"/>
        </w:rPr>
        <w:t>p</w:t>
      </w:r>
      <w:r>
        <w:rPr>
          <w:rFonts w:hint="default" w:ascii="Times New Roman" w:hAnsi="Times New Roman" w:eastAsia="Times New Roman" w:cs="Times New Roman"/>
          <w:color w:val="auto"/>
          <w:spacing w:val="0"/>
          <w:sz w:val="1"/>
          <w:szCs w:val="1"/>
        </w:rPr>
        <w:t>​</w:t>
      </w:r>
      <w:r>
        <w:rPr>
          <w:rFonts w:hint="default" w:ascii="Times New Roman" w:hAnsi="Times New Roman" w:eastAsia="sans-serif" w:cs="Times New Roman"/>
          <w:color w:val="auto"/>
          <w:spacing w:val="0"/>
          <w:sz w:val="20"/>
          <w:szCs w:val="20"/>
        </w:rPr>
        <w:t xml:space="preserve"> is the one-time printing cost of the note. Over its physical operational lifespan </w:t>
      </w:r>
      <w:r>
        <w:rPr>
          <w:rFonts w:hint="default" w:ascii="Times New Roman" w:hAnsi="Times New Roman" w:eastAsia="KaTeX_Math" w:cs="Times New Roman"/>
          <w:i/>
          <w:iCs/>
          <w:color w:val="auto"/>
          <w:spacing w:val="0"/>
          <w:sz w:val="25"/>
          <w:szCs w:val="25"/>
        </w:rPr>
        <w:t>L</w:t>
      </w:r>
      <w:r>
        <w:rPr>
          <w:rFonts w:hint="default" w:ascii="Times New Roman" w:hAnsi="Times New Roman" w:eastAsia="sans-serif" w:cs="Times New Roman"/>
          <w:color w:val="auto"/>
          <w:spacing w:val="0"/>
          <w:sz w:val="20"/>
          <w:szCs w:val="20"/>
        </w:rPr>
        <w:t xml:space="preserve">, the banknote reaches a transaction velocity </w:t>
      </w:r>
      <w:r>
        <w:rPr>
          <w:rFonts w:hint="default" w:ascii="Times New Roman" w:hAnsi="Times New Roman" w:eastAsia="KaTeX_Math" w:cs="Times New Roman"/>
          <w:i/>
          <w:iCs/>
          <w:color w:val="auto"/>
          <w:spacing w:val="0"/>
          <w:sz w:val="25"/>
          <w:szCs w:val="25"/>
        </w:rPr>
        <w:t>V</w:t>
      </w:r>
      <w:r>
        <w:rPr>
          <w:rFonts w:hint="default" w:ascii="Times New Roman" w:hAnsi="Times New Roman" w:eastAsia="sans-serif" w:cs="Times New Roman"/>
          <w:color w:val="auto"/>
          <w:spacing w:val="0"/>
          <w:sz w:val="20"/>
          <w:szCs w:val="20"/>
        </w:rPr>
        <w:t xml:space="preserve"> (the total number of exchanges executed). Because hand-to-hand physical exchange does not incur marginal transactional processing fees or infrastructure overheads, the cumulative transaction cost remains fixed:   </w:t>
      </w:r>
    </w:p>
    <w:p w14:paraId="0B98FDB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14"/>
          <w:szCs w:val="14"/>
          <w:lang w:val="en-US" w:eastAsia="zh-CN" w:bidi="ar"/>
        </w:rPr>
        <w:t>cash</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KaTeX_Math" w:cs="Times New Roman"/>
          <w:i/>
          <w:iCs/>
          <w:color w:val="auto"/>
          <w:spacing w:val="0"/>
          <w:kern w:val="0"/>
          <w:sz w:val="14"/>
          <w:szCs w:val="14"/>
          <w:lang w:val="en-US" w:eastAsia="zh-CN" w:bidi="ar"/>
        </w:rPr>
        <w:t>p</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(for </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V</w:t>
      </w:r>
      <w:r>
        <w:rPr>
          <w:rFonts w:hint="default" w:ascii="Times New Roman" w:hAnsi="Times New Roman" w:eastAsia="Times New Roman" w:cs="Times New Roman"/>
          <w:color w:val="auto"/>
          <w:spacing w:val="0"/>
          <w:kern w:val="0"/>
          <w:sz w:val="28"/>
          <w:szCs w:val="28"/>
          <w:lang w:val="en-US" w:eastAsia="zh-CN" w:bidi="ar"/>
        </w:rPr>
        <w:t>)</w:t>
      </w:r>
    </w:p>
    <w:p w14:paraId="2792ED6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average cost per cash transaction (</w:t>
      </w:r>
      <w:r>
        <w:rPr>
          <w:rFonts w:hint="default" w:ascii="Times New Roman" w:hAnsi="Times New Roman" w:eastAsia="KaTeX_Math" w:cs="Times New Roman"/>
          <w:i/>
          <w:iCs/>
          <w:color w:val="auto"/>
          <w:spacing w:val="0"/>
          <w:sz w:val="25"/>
          <w:szCs w:val="25"/>
        </w:rPr>
        <w:t>C</w:t>
      </w:r>
      <w:r>
        <w:rPr>
          <w:rFonts w:hint="default" w:ascii="Times New Roman" w:hAnsi="Times New Roman" w:eastAsia="Times New Roman" w:cs="Times New Roman"/>
          <w:color w:val="auto"/>
          <w:spacing w:val="0"/>
          <w:sz w:val="25"/>
          <w:szCs w:val="25"/>
        </w:rPr>
        <w:t>ˉ</w:t>
      </w:r>
      <w:r>
        <w:rPr>
          <w:rFonts w:hint="default" w:ascii="Times New Roman" w:hAnsi="Times New Roman" w:eastAsia="Times New Roman" w:cs="Times New Roman"/>
          <w:color w:val="auto"/>
          <w:spacing w:val="0"/>
          <w:sz w:val="14"/>
          <w:szCs w:val="14"/>
        </w:rPr>
        <w:t>cash</w:t>
      </w:r>
      <w:r>
        <w:rPr>
          <w:rFonts w:hint="default" w:ascii="Times New Roman" w:hAnsi="Times New Roman" w:eastAsia="Times New Roman" w:cs="Times New Roman"/>
          <w:color w:val="auto"/>
          <w:spacing w:val="0"/>
          <w:sz w:val="1"/>
          <w:szCs w:val="1"/>
        </w:rPr>
        <w:t>​</w:t>
      </w:r>
      <w:r>
        <w:rPr>
          <w:rFonts w:hint="default" w:ascii="Times New Roman" w:hAnsi="Times New Roman" w:eastAsia="sans-serif" w:cs="Times New Roman"/>
          <w:color w:val="auto"/>
          <w:spacing w:val="0"/>
          <w:sz w:val="20"/>
          <w:szCs w:val="20"/>
        </w:rPr>
        <w:t>) therefore decays exponentially as transaction velocity increases:</w:t>
      </w:r>
    </w:p>
    <w:p w14:paraId="3DFD1A5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28"/>
          <w:szCs w:val="28"/>
          <w:lang w:val="en-US" w:eastAsia="zh-CN" w:bidi="ar"/>
        </w:rPr>
        <w:t>ˉ</w:t>
      </w:r>
      <w:r>
        <w:rPr>
          <w:rFonts w:hint="default" w:ascii="Times New Roman" w:hAnsi="Times New Roman" w:eastAsia="Times New Roman" w:cs="Times New Roman"/>
          <w:color w:val="auto"/>
          <w:spacing w:val="0"/>
          <w:kern w:val="0"/>
          <w:sz w:val="14"/>
          <w:szCs w:val="14"/>
          <w:lang w:val="en-US" w:eastAsia="zh-CN" w:bidi="ar"/>
        </w:rPr>
        <w:t>cash</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NC</w:t>
      </w:r>
      <w:r>
        <w:rPr>
          <w:rFonts w:hint="default" w:ascii="Times New Roman" w:hAnsi="Times New Roman" w:eastAsia="KaTeX_Math" w:cs="Times New Roman"/>
          <w:i/>
          <w:iCs/>
          <w:color w:val="auto"/>
          <w:spacing w:val="0"/>
          <w:kern w:val="0"/>
          <w:sz w:val="14"/>
          <w:szCs w:val="14"/>
          <w:lang w:val="en-US" w:eastAsia="zh-CN" w:bidi="ar"/>
        </w:rPr>
        <w:t>p</w:t>
      </w:r>
      <w:r>
        <w:rPr>
          <w:rFonts w:hint="default" w:ascii="Times New Roman" w:hAnsi="Times New Roman" w:eastAsia="Times New Roman" w:cs="Times New Roman"/>
          <w:color w:val="auto"/>
          <w:spacing w:val="0"/>
          <w:kern w:val="0"/>
          <w:sz w:val="1"/>
          <w:szCs w:val="1"/>
          <w:lang w:val="en-US" w:eastAsia="zh-CN" w:bidi="ar"/>
        </w:rPr>
        <w:t>​​</w:t>
      </w:r>
    </w:p>
    <w:p w14:paraId="0D01804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For a ₹100 note costing ₹1.51 to print that is used </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=150</w:t>
      </w:r>
      <w:r>
        <w:rPr>
          <w:rFonts w:hint="default" w:ascii="Times New Roman" w:hAnsi="Times New Roman" w:eastAsia="sans-serif" w:cs="Times New Roman"/>
          <w:color w:val="auto"/>
          <w:spacing w:val="0"/>
          <w:sz w:val="20"/>
          <w:szCs w:val="20"/>
        </w:rPr>
        <w:t xml:space="preserve"> times during its circulation life, the average infrastructure cost per transaction is:   </w:t>
      </w:r>
    </w:p>
    <w:p w14:paraId="6C30764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28"/>
          <w:szCs w:val="28"/>
          <w:lang w:val="en-US" w:eastAsia="zh-CN" w:bidi="ar"/>
        </w:rPr>
        <w:t>ˉ</w:t>
      </w:r>
      <w:r>
        <w:rPr>
          <w:rFonts w:hint="default" w:ascii="Times New Roman" w:hAnsi="Times New Roman" w:eastAsia="Times New Roman" w:cs="Times New Roman"/>
          <w:color w:val="auto"/>
          <w:spacing w:val="0"/>
          <w:kern w:val="0"/>
          <w:sz w:val="14"/>
          <w:szCs w:val="14"/>
          <w:lang w:val="en-US" w:eastAsia="zh-CN" w:bidi="ar"/>
        </w:rPr>
        <w:t>cash</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(150)=1501.51</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≈₹0.0101</w:t>
      </w:r>
    </w:p>
    <w:p w14:paraId="04C6E5C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If the same ₹100 note is used </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=300</w:t>
      </w:r>
      <w:r>
        <w:rPr>
          <w:rFonts w:hint="default" w:ascii="Times New Roman" w:hAnsi="Times New Roman" w:eastAsia="sans-serif" w:cs="Times New Roman"/>
          <w:color w:val="auto"/>
          <w:spacing w:val="0"/>
          <w:sz w:val="20"/>
          <w:szCs w:val="20"/>
        </w:rPr>
        <w:t xml:space="preserve"> times over its three-to-four-year lifespan , the average cost per transaction drops to:   </w:t>
      </w:r>
    </w:p>
    <w:p w14:paraId="3957BF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28"/>
          <w:szCs w:val="28"/>
          <w:lang w:val="en-US" w:eastAsia="zh-CN" w:bidi="ar"/>
        </w:rPr>
        <w:t>ˉ</w:t>
      </w:r>
      <w:r>
        <w:rPr>
          <w:rFonts w:hint="default" w:ascii="Times New Roman" w:hAnsi="Times New Roman" w:eastAsia="Times New Roman" w:cs="Times New Roman"/>
          <w:color w:val="auto"/>
          <w:spacing w:val="0"/>
          <w:kern w:val="0"/>
          <w:sz w:val="14"/>
          <w:szCs w:val="14"/>
          <w:lang w:val="en-US" w:eastAsia="zh-CN" w:bidi="ar"/>
        </w:rPr>
        <w:t>cash</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(300)=3001.51</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≈₹0.0050</w:t>
      </w:r>
    </w:p>
    <w:p w14:paraId="38264582">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For a ₹500 note costing ₹2.94 to print that is utilized </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=100</w:t>
      </w:r>
      <w:r>
        <w:rPr>
          <w:rFonts w:hint="default" w:ascii="Times New Roman" w:hAnsi="Times New Roman" w:eastAsia="sans-serif" w:cs="Times New Roman"/>
          <w:color w:val="auto"/>
          <w:spacing w:val="0"/>
          <w:sz w:val="20"/>
          <w:szCs w:val="20"/>
        </w:rPr>
        <w:t xml:space="preserve"> times over its five-to-seven-year lifespan , the average cost per transaction is:   </w:t>
      </w:r>
    </w:p>
    <w:p w14:paraId="5D412E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28"/>
          <w:szCs w:val="28"/>
          <w:lang w:val="en-US" w:eastAsia="zh-CN" w:bidi="ar"/>
        </w:rPr>
        <w:t>ˉ</w:t>
      </w:r>
      <w:r>
        <w:rPr>
          <w:rFonts w:hint="default" w:ascii="Times New Roman" w:hAnsi="Times New Roman" w:eastAsia="Times New Roman" w:cs="Times New Roman"/>
          <w:color w:val="auto"/>
          <w:spacing w:val="0"/>
          <w:kern w:val="0"/>
          <w:sz w:val="14"/>
          <w:szCs w:val="14"/>
          <w:lang w:val="en-US" w:eastAsia="zh-CN" w:bidi="ar"/>
        </w:rPr>
        <w:t>cash</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(100)=1002.94</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≈₹0.0294</w:t>
      </w:r>
    </w:p>
    <w:p w14:paraId="00901B4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In contrast, let </w:t>
      </w:r>
      <w:r>
        <w:rPr>
          <w:rFonts w:hint="default" w:ascii="Times New Roman" w:hAnsi="Times New Roman" w:eastAsia="KaTeX_Math" w:cs="Times New Roman"/>
          <w:i/>
          <w:iCs/>
          <w:color w:val="auto"/>
          <w:spacing w:val="0"/>
          <w:sz w:val="25"/>
          <w:szCs w:val="25"/>
        </w:rPr>
        <w:t>C</w:t>
      </w:r>
      <w:r>
        <w:rPr>
          <w:rFonts w:hint="default" w:ascii="Times New Roman" w:hAnsi="Times New Roman" w:eastAsia="Times New Roman" w:cs="Times New Roman"/>
          <w:color w:val="auto"/>
          <w:spacing w:val="0"/>
          <w:sz w:val="14"/>
          <w:szCs w:val="14"/>
        </w:rPr>
        <w:t>UPI</w:t>
      </w:r>
      <w:r>
        <w:rPr>
          <w:rFonts w:hint="default" w:ascii="Times New Roman" w:hAnsi="Times New Roman" w:eastAsia="Times New Roman" w:cs="Times New Roman"/>
          <w:color w:val="auto"/>
          <w:spacing w:val="0"/>
          <w:sz w:val="1"/>
          <w:szCs w:val="1"/>
        </w:rPr>
        <w:t>​</w:t>
      </w:r>
      <w:r>
        <w:rPr>
          <w:rFonts w:hint="default" w:ascii="Times New Roman" w:hAnsi="Times New Roman" w:eastAsia="Times New Roman" w:cs="Times New Roman"/>
          <w:color w:val="auto"/>
          <w:spacing w:val="0"/>
          <w:sz w:val="25"/>
          <w:szCs w:val="25"/>
        </w:rPr>
        <w:t>(</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w:t>
      </w:r>
      <w:r>
        <w:rPr>
          <w:rFonts w:hint="default" w:ascii="Times New Roman" w:hAnsi="Times New Roman" w:eastAsia="sans-serif" w:cs="Times New Roman"/>
          <w:color w:val="auto"/>
          <w:spacing w:val="0"/>
          <w:sz w:val="20"/>
          <w:szCs w:val="20"/>
        </w:rPr>
        <w:t xml:space="preserve"> represent the cumulative processing cost of </w:t>
      </w:r>
      <w:r>
        <w:rPr>
          <w:rFonts w:hint="default" w:ascii="Times New Roman" w:hAnsi="Times New Roman" w:eastAsia="KaTeX_Math" w:cs="Times New Roman"/>
          <w:i/>
          <w:iCs/>
          <w:color w:val="auto"/>
          <w:spacing w:val="0"/>
          <w:sz w:val="25"/>
          <w:szCs w:val="25"/>
        </w:rPr>
        <w:t>N</w:t>
      </w:r>
      <w:r>
        <w:rPr>
          <w:rFonts w:hint="default" w:ascii="Times New Roman" w:hAnsi="Times New Roman" w:eastAsia="sans-serif" w:cs="Times New Roman"/>
          <w:color w:val="auto"/>
          <w:spacing w:val="0"/>
          <w:sz w:val="20"/>
          <w:szCs w:val="20"/>
        </w:rPr>
        <w:t xml:space="preserve"> digital transactions routed through the Unified Payments Interface (UPI). The UPI architecture requires real-time routing through the payer bank, the National Payments Corporation of India (NPCI) central switch, and the receiver bank. According to cost structures reviewed by the RBI and the Payment Council of India, each zero-Merchant Discount Rate (zero-MDR) transaction costs approximately </w:t>
      </w:r>
      <w:r>
        <w:rPr>
          <w:rFonts w:hint="default" w:ascii="Times New Roman" w:hAnsi="Times New Roman" w:eastAsia="KaTeX_Math" w:cs="Times New Roman"/>
          <w:i/>
          <w:iCs/>
          <w:color w:val="auto"/>
          <w:spacing w:val="0"/>
          <w:sz w:val="25"/>
          <w:szCs w:val="25"/>
        </w:rPr>
        <w:t>C</w:t>
      </w:r>
      <w:r>
        <w:rPr>
          <w:rFonts w:hint="default" w:ascii="Times New Roman" w:hAnsi="Times New Roman" w:eastAsia="KaTeX_Math" w:cs="Times New Roman"/>
          <w:i/>
          <w:iCs/>
          <w:color w:val="auto"/>
          <w:spacing w:val="0"/>
          <w:sz w:val="14"/>
          <w:szCs w:val="14"/>
        </w:rPr>
        <w:t>u</w:t>
      </w:r>
      <w:r>
        <w:rPr>
          <w:rFonts w:hint="default" w:ascii="Times New Roman" w:hAnsi="Times New Roman" w:eastAsia="Times New Roman" w:cs="Times New Roman"/>
          <w:color w:val="auto"/>
          <w:spacing w:val="0"/>
          <w:sz w:val="1"/>
          <w:szCs w:val="1"/>
        </w:rPr>
        <w:t>​</w:t>
      </w:r>
      <w:r>
        <w:rPr>
          <w:rFonts w:hint="default" w:ascii="Times New Roman" w:hAnsi="Times New Roman" w:eastAsia="Times New Roman" w:cs="Times New Roman"/>
          <w:color w:val="auto"/>
          <w:spacing w:val="0"/>
          <w:sz w:val="25"/>
          <w:szCs w:val="25"/>
        </w:rPr>
        <w:t>≈₹2</w:t>
      </w:r>
      <w:r>
        <w:rPr>
          <w:rFonts w:hint="default" w:ascii="Times New Roman" w:hAnsi="Times New Roman" w:eastAsia="sans-serif" w:cs="Times New Roman"/>
          <w:color w:val="auto"/>
          <w:spacing w:val="0"/>
          <w:sz w:val="20"/>
          <w:szCs w:val="20"/>
        </w:rPr>
        <w:t xml:space="preserve"> to process. The cumulative cost of digital transactions is strictly linear:   </w:t>
      </w:r>
    </w:p>
    <w:p w14:paraId="6A3EFA0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14"/>
          <w:szCs w:val="14"/>
          <w:lang w:val="en-US" w:eastAsia="zh-CN" w:bidi="ar"/>
        </w:rPr>
        <w:t>UPI</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KaTeX_Math" w:cs="Times New Roman"/>
          <w:i/>
          <w:iCs/>
          <w:color w:val="auto"/>
          <w:spacing w:val="0"/>
          <w:kern w:val="0"/>
          <w:sz w:val="14"/>
          <w:szCs w:val="14"/>
          <w:lang w:val="en-US" w:eastAsia="zh-CN" w:bidi="ar"/>
        </w:rPr>
        <w:t>u</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×₹2</w:t>
      </w:r>
    </w:p>
    <w:p w14:paraId="24CA766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The marginal cost of a digital transaction remains flat at </w:t>
      </w:r>
      <w:r>
        <w:rPr>
          <w:rFonts w:hint="default" w:ascii="Times New Roman" w:hAnsi="Times New Roman" w:eastAsia="Times New Roman" w:cs="Times New Roman"/>
          <w:color w:val="auto"/>
          <w:spacing w:val="0"/>
          <w:sz w:val="25"/>
          <w:szCs w:val="25"/>
        </w:rPr>
        <w:t>₹2</w:t>
      </w:r>
      <w:r>
        <w:rPr>
          <w:rFonts w:hint="default" w:ascii="Times New Roman" w:hAnsi="Times New Roman" w:eastAsia="sans-serif" w:cs="Times New Roman"/>
          <w:color w:val="auto"/>
          <w:spacing w:val="0"/>
          <w:sz w:val="20"/>
          <w:szCs w:val="20"/>
        </w:rPr>
        <w:t>, while the amortized cost of cash transactions decays exponentially with use:</w:t>
      </w:r>
    </w:p>
    <w:p w14:paraId="01F5A8D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28"/>
          <w:szCs w:val="28"/>
          <w:lang w:val="en-US" w:eastAsia="zh-CN" w:bidi="ar"/>
        </w:rPr>
        <w:t>ˉ</w:t>
      </w:r>
      <w:r>
        <w:rPr>
          <w:rFonts w:hint="default" w:ascii="Times New Roman" w:hAnsi="Times New Roman" w:eastAsia="Times New Roman" w:cs="Times New Roman"/>
          <w:color w:val="auto"/>
          <w:spacing w:val="0"/>
          <w:kern w:val="0"/>
          <w:sz w:val="14"/>
          <w:szCs w:val="14"/>
          <w:lang w:val="en-US" w:eastAsia="zh-CN" w:bidi="ar"/>
        </w:rPr>
        <w:t>UPI</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N</w:t>
      </w:r>
      <w:r>
        <w:rPr>
          <w:rFonts w:hint="default" w:ascii="Times New Roman" w:hAnsi="Times New Roman" w:eastAsia="Times New Roman" w:cs="Times New Roman"/>
          <w:color w:val="auto"/>
          <w:spacing w:val="0"/>
          <w:kern w:val="0"/>
          <w:sz w:val="28"/>
          <w:szCs w:val="28"/>
          <w:lang w:val="en-US" w:eastAsia="zh-CN" w:bidi="ar"/>
        </w:rPr>
        <w:t>)=</w:t>
      </w: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KaTeX_Math" w:cs="Times New Roman"/>
          <w:i/>
          <w:iCs/>
          <w:color w:val="auto"/>
          <w:spacing w:val="0"/>
          <w:kern w:val="0"/>
          <w:sz w:val="14"/>
          <w:szCs w:val="14"/>
          <w:lang w:val="en-US" w:eastAsia="zh-CN" w:bidi="ar"/>
        </w:rPr>
        <w:t>u</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=₹2</w:t>
      </w:r>
    </w:p>
    <w:p w14:paraId="62D8C1D9">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At scale, the economic divergence is stark. For </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=150</w:t>
      </w:r>
      <w:r>
        <w:rPr>
          <w:rFonts w:hint="default" w:ascii="Times New Roman" w:hAnsi="Times New Roman" w:eastAsia="sans-serif" w:cs="Times New Roman"/>
          <w:color w:val="auto"/>
          <w:spacing w:val="0"/>
          <w:sz w:val="20"/>
          <w:szCs w:val="20"/>
        </w:rPr>
        <w:t xml:space="preserve"> transactions, the cumulative digital infrastructure cost is:</w:t>
      </w:r>
    </w:p>
    <w:p w14:paraId="4BC46E5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14"/>
          <w:szCs w:val="14"/>
          <w:lang w:val="en-US" w:eastAsia="zh-CN" w:bidi="ar"/>
        </w:rPr>
        <w:t>UPI</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(150)=150×₹2=₹300</w:t>
      </w:r>
    </w:p>
    <w:p w14:paraId="55B09B2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 xml:space="preserve">For </w:t>
      </w:r>
      <w:r>
        <w:rPr>
          <w:rFonts w:hint="default" w:ascii="Times New Roman" w:hAnsi="Times New Roman" w:eastAsia="KaTeX_Math" w:cs="Times New Roman"/>
          <w:i/>
          <w:iCs/>
          <w:color w:val="auto"/>
          <w:spacing w:val="0"/>
          <w:sz w:val="25"/>
          <w:szCs w:val="25"/>
        </w:rPr>
        <w:t>N</w:t>
      </w:r>
      <w:r>
        <w:rPr>
          <w:rFonts w:hint="default" w:ascii="Times New Roman" w:hAnsi="Times New Roman" w:eastAsia="Times New Roman" w:cs="Times New Roman"/>
          <w:color w:val="auto"/>
          <w:spacing w:val="0"/>
          <w:sz w:val="25"/>
          <w:szCs w:val="25"/>
        </w:rPr>
        <w:t>=300</w:t>
      </w:r>
      <w:r>
        <w:rPr>
          <w:rFonts w:hint="default" w:ascii="Times New Roman" w:hAnsi="Times New Roman" w:eastAsia="sans-serif" w:cs="Times New Roman"/>
          <w:color w:val="auto"/>
          <w:spacing w:val="0"/>
          <w:sz w:val="20"/>
          <w:szCs w:val="20"/>
        </w:rPr>
        <w:t xml:space="preserve"> transactions, the cumulative digital infrastructure cost rises to:</w:t>
      </w:r>
    </w:p>
    <w:p w14:paraId="7A27B6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jc w:val="left"/>
        <w:rPr>
          <w:rFonts w:hint="default" w:ascii="Times New Roman" w:hAnsi="Times New Roman" w:eastAsia="sans-serif" w:cs="Times New Roman"/>
          <w:color w:val="auto"/>
          <w:spacing w:val="0"/>
          <w:sz w:val="20"/>
          <w:szCs w:val="20"/>
        </w:rPr>
      </w:pPr>
      <w:r>
        <w:rPr>
          <w:rFonts w:hint="default" w:ascii="Times New Roman" w:hAnsi="Times New Roman" w:eastAsia="KaTeX_Math" w:cs="Times New Roman"/>
          <w:i/>
          <w:iCs/>
          <w:color w:val="auto"/>
          <w:spacing w:val="0"/>
          <w:kern w:val="0"/>
          <w:sz w:val="28"/>
          <w:szCs w:val="28"/>
          <w:lang w:val="en-US" w:eastAsia="zh-CN" w:bidi="ar"/>
        </w:rPr>
        <w:t>C</w:t>
      </w:r>
      <w:r>
        <w:rPr>
          <w:rFonts w:hint="default" w:ascii="Times New Roman" w:hAnsi="Times New Roman" w:eastAsia="Times New Roman" w:cs="Times New Roman"/>
          <w:color w:val="auto"/>
          <w:spacing w:val="0"/>
          <w:kern w:val="0"/>
          <w:sz w:val="14"/>
          <w:szCs w:val="14"/>
          <w:lang w:val="en-US" w:eastAsia="zh-CN" w:bidi="ar"/>
        </w:rPr>
        <w:t>UPI</w:t>
      </w:r>
      <w:r>
        <w:rPr>
          <w:rFonts w:hint="default" w:ascii="Times New Roman" w:hAnsi="Times New Roman" w:eastAsia="Times New Roman" w:cs="Times New Roman"/>
          <w:color w:val="auto"/>
          <w:spacing w:val="0"/>
          <w:kern w:val="0"/>
          <w:sz w:val="1"/>
          <w:szCs w:val="1"/>
          <w:lang w:val="en-US" w:eastAsia="zh-CN" w:bidi="ar"/>
        </w:rPr>
        <w:t>​</w:t>
      </w:r>
      <w:r>
        <w:rPr>
          <w:rFonts w:hint="default" w:ascii="Times New Roman" w:hAnsi="Times New Roman" w:eastAsia="Times New Roman" w:cs="Times New Roman"/>
          <w:color w:val="auto"/>
          <w:spacing w:val="0"/>
          <w:kern w:val="0"/>
          <w:sz w:val="28"/>
          <w:szCs w:val="28"/>
          <w:lang w:val="en-US" w:eastAsia="zh-CN" w:bidi="ar"/>
        </w:rPr>
        <w:t>(300)=300×₹2=₹600</w:t>
      </w:r>
    </w:p>
    <w:p w14:paraId="6401CA5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demonstrates that at scale, the infrastructure overhead of digital processing is multiple orders of magnitude higher than that of physical currency.</w:t>
      </w:r>
    </w:p>
    <w:tbl>
      <w:tblPr>
        <w:tblW w:w="791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Layout w:type="autofit"/>
        <w:tblCellMar>
          <w:top w:w="15" w:type="dxa"/>
          <w:left w:w="15" w:type="dxa"/>
          <w:bottom w:w="15" w:type="dxa"/>
          <w:right w:w="15" w:type="dxa"/>
        </w:tblCellMar>
      </w:tblPr>
      <w:tblGrid>
        <w:gridCol w:w="1297"/>
        <w:gridCol w:w="1570"/>
        <w:gridCol w:w="1658"/>
        <w:gridCol w:w="1781"/>
        <w:gridCol w:w="1604"/>
      </w:tblGrid>
      <w:tr w14:paraId="3FC4E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Header/>
          <w:tblCellSpacing w:w="15" w:type="dxa"/>
        </w:trPr>
        <w:tc>
          <w:tcPr>
            <w:tcW w:w="0" w:type="auto"/>
            <w:shd w:val="clear" w:color="auto" w:fill="282A2C"/>
            <w:tcMar>
              <w:top w:w="96" w:type="dxa"/>
              <w:left w:w="144" w:type="dxa"/>
              <w:bottom w:w="96" w:type="dxa"/>
              <w:right w:w="144" w:type="dxa"/>
            </w:tcMar>
            <w:vAlign w:val="top"/>
          </w:tcPr>
          <w:p w14:paraId="48E4FD03">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Monetary Medium</w:t>
            </w:r>
          </w:p>
        </w:tc>
        <w:tc>
          <w:tcPr>
            <w:tcW w:w="0" w:type="auto"/>
            <w:shd w:val="clear" w:color="auto" w:fill="282A2C"/>
            <w:tcMar>
              <w:top w:w="96" w:type="dxa"/>
              <w:left w:w="144" w:type="dxa"/>
              <w:bottom w:w="96" w:type="dxa"/>
              <w:right w:w="144" w:type="dxa"/>
            </w:tcMar>
            <w:vAlign w:val="top"/>
          </w:tcPr>
          <w:p w14:paraId="5CA8A7F3">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Initial Production Cost</w:t>
            </w:r>
          </w:p>
        </w:tc>
        <w:tc>
          <w:tcPr>
            <w:tcW w:w="0" w:type="auto"/>
            <w:shd w:val="clear" w:color="auto" w:fill="282A2C"/>
            <w:tcMar>
              <w:top w:w="96" w:type="dxa"/>
              <w:left w:w="144" w:type="dxa"/>
              <w:bottom w:w="96" w:type="dxa"/>
              <w:right w:w="144" w:type="dxa"/>
            </w:tcMar>
            <w:vAlign w:val="top"/>
          </w:tcPr>
          <w:p w14:paraId="374B0527">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Projected Transaction Velocity (</w:t>
            </w:r>
            <w:r>
              <w:rPr>
                <w:rFonts w:hint="default" w:ascii="Times New Roman" w:hAnsi="Times New Roman" w:eastAsia="KaTeX_Math" w:cs="Times New Roman"/>
                <w:b/>
                <w:bCs/>
                <w:i/>
                <w:iCs/>
                <w:color w:val="auto"/>
                <w:spacing w:val="0"/>
                <w:kern w:val="0"/>
                <w:sz w:val="25"/>
                <w:szCs w:val="25"/>
                <w:bdr w:val="none" w:color="auto" w:sz="0" w:space="0"/>
                <w:lang w:val="en-US" w:eastAsia="zh-CN" w:bidi="ar"/>
              </w:rPr>
              <w:t>N</w:t>
            </w:r>
            <w:r>
              <w:rPr>
                <w:rFonts w:hint="default" w:ascii="Times New Roman" w:hAnsi="Times New Roman" w:eastAsia="sans-serif" w:cs="Times New Roman"/>
                <w:b/>
                <w:bCs/>
                <w:color w:val="auto"/>
                <w:spacing w:val="0"/>
                <w:kern w:val="0"/>
                <w:sz w:val="20"/>
                <w:szCs w:val="20"/>
                <w:bdr w:val="none" w:color="auto" w:sz="0" w:space="0"/>
                <w:lang w:val="en-US" w:eastAsia="zh-CN" w:bidi="ar"/>
              </w:rPr>
              <w:t>)</w:t>
            </w:r>
          </w:p>
        </w:tc>
        <w:tc>
          <w:tcPr>
            <w:tcW w:w="0" w:type="auto"/>
            <w:shd w:val="clear" w:color="auto" w:fill="282A2C"/>
            <w:tcMar>
              <w:top w:w="96" w:type="dxa"/>
              <w:left w:w="144" w:type="dxa"/>
              <w:bottom w:w="96" w:type="dxa"/>
              <w:right w:w="144" w:type="dxa"/>
            </w:tcMar>
            <w:vAlign w:val="top"/>
          </w:tcPr>
          <w:p w14:paraId="262A6A34">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Cumulative Infrastructure Cost</w:t>
            </w:r>
          </w:p>
        </w:tc>
        <w:tc>
          <w:tcPr>
            <w:tcW w:w="0" w:type="auto"/>
            <w:shd w:val="clear" w:color="auto" w:fill="282A2C"/>
            <w:tcMar>
              <w:top w:w="96" w:type="dxa"/>
              <w:left w:w="144" w:type="dxa"/>
              <w:bottom w:w="96" w:type="dxa"/>
              <w:right w:w="144" w:type="dxa"/>
            </w:tcMar>
            <w:vAlign w:val="top"/>
          </w:tcPr>
          <w:p w14:paraId="2645AF1E">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Average Cost per Transaction</w:t>
            </w:r>
          </w:p>
        </w:tc>
      </w:tr>
      <w:tr w14:paraId="05C5B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5E4EB966">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₹100 Banknote</w:t>
            </w:r>
          </w:p>
        </w:tc>
        <w:tc>
          <w:tcPr>
            <w:tcW w:w="0" w:type="auto"/>
            <w:shd w:val="clear" w:color="auto" w:fill="1B1B1B"/>
            <w:tcMar>
              <w:top w:w="96" w:type="dxa"/>
              <w:left w:w="144" w:type="dxa"/>
              <w:bottom w:w="96" w:type="dxa"/>
              <w:right w:w="144" w:type="dxa"/>
            </w:tcMar>
            <w:vAlign w:val="top"/>
          </w:tcPr>
          <w:p w14:paraId="2D21145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₹1.51 (One-time printing) </w:t>
            </w:r>
          </w:p>
        </w:tc>
        <w:tc>
          <w:tcPr>
            <w:tcW w:w="0" w:type="auto"/>
            <w:shd w:val="clear" w:color="auto" w:fill="1B1B1B"/>
            <w:tcMar>
              <w:top w:w="96" w:type="dxa"/>
              <w:left w:w="144" w:type="dxa"/>
              <w:bottom w:w="96" w:type="dxa"/>
              <w:right w:w="144" w:type="dxa"/>
            </w:tcMar>
            <w:vAlign w:val="top"/>
          </w:tcPr>
          <w:p w14:paraId="36745374">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150 transactions</w:t>
            </w:r>
          </w:p>
        </w:tc>
        <w:tc>
          <w:tcPr>
            <w:tcW w:w="0" w:type="auto"/>
            <w:shd w:val="clear" w:color="auto" w:fill="1B1B1B"/>
            <w:tcMar>
              <w:top w:w="96" w:type="dxa"/>
              <w:left w:w="144" w:type="dxa"/>
              <w:bottom w:w="96" w:type="dxa"/>
              <w:right w:w="144" w:type="dxa"/>
            </w:tcMar>
            <w:vAlign w:val="top"/>
          </w:tcPr>
          <w:p w14:paraId="2C41CDB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₹1.51 </w:t>
            </w:r>
          </w:p>
        </w:tc>
        <w:tc>
          <w:tcPr>
            <w:tcW w:w="0" w:type="auto"/>
            <w:shd w:val="clear" w:color="auto" w:fill="1B1B1B"/>
            <w:tcMar>
              <w:top w:w="96" w:type="dxa"/>
              <w:left w:w="144" w:type="dxa"/>
              <w:bottom w:w="96" w:type="dxa"/>
              <w:right w:w="144" w:type="dxa"/>
            </w:tcMar>
            <w:vAlign w:val="top"/>
          </w:tcPr>
          <w:p w14:paraId="3452333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~₹0.0101 </w:t>
            </w:r>
          </w:p>
        </w:tc>
      </w:tr>
      <w:tr w14:paraId="04269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4B2FBA08">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₹100 Banknote</w:t>
            </w:r>
          </w:p>
        </w:tc>
        <w:tc>
          <w:tcPr>
            <w:tcW w:w="0" w:type="auto"/>
            <w:shd w:val="clear" w:color="auto" w:fill="1B1B1B"/>
            <w:tcMar>
              <w:top w:w="96" w:type="dxa"/>
              <w:left w:w="144" w:type="dxa"/>
              <w:bottom w:w="96" w:type="dxa"/>
              <w:right w:w="144" w:type="dxa"/>
            </w:tcMar>
            <w:vAlign w:val="top"/>
          </w:tcPr>
          <w:p w14:paraId="2F15F239">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₹1.51 (One-time printing) </w:t>
            </w:r>
          </w:p>
        </w:tc>
        <w:tc>
          <w:tcPr>
            <w:tcW w:w="0" w:type="auto"/>
            <w:shd w:val="clear" w:color="auto" w:fill="1B1B1B"/>
            <w:tcMar>
              <w:top w:w="96" w:type="dxa"/>
              <w:left w:w="144" w:type="dxa"/>
              <w:bottom w:w="96" w:type="dxa"/>
              <w:right w:w="144" w:type="dxa"/>
            </w:tcMar>
            <w:vAlign w:val="top"/>
          </w:tcPr>
          <w:p w14:paraId="4F5DD162">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300 transactions</w:t>
            </w:r>
          </w:p>
        </w:tc>
        <w:tc>
          <w:tcPr>
            <w:tcW w:w="0" w:type="auto"/>
            <w:shd w:val="clear" w:color="auto" w:fill="1B1B1B"/>
            <w:tcMar>
              <w:top w:w="96" w:type="dxa"/>
              <w:left w:w="144" w:type="dxa"/>
              <w:bottom w:w="96" w:type="dxa"/>
              <w:right w:w="144" w:type="dxa"/>
            </w:tcMar>
            <w:vAlign w:val="top"/>
          </w:tcPr>
          <w:p w14:paraId="4C989C1B">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₹1.51 </w:t>
            </w:r>
          </w:p>
        </w:tc>
        <w:tc>
          <w:tcPr>
            <w:tcW w:w="0" w:type="auto"/>
            <w:shd w:val="clear" w:color="auto" w:fill="1B1B1B"/>
            <w:tcMar>
              <w:top w:w="96" w:type="dxa"/>
              <w:left w:w="144" w:type="dxa"/>
              <w:bottom w:w="96" w:type="dxa"/>
              <w:right w:w="144" w:type="dxa"/>
            </w:tcMar>
            <w:vAlign w:val="top"/>
          </w:tcPr>
          <w:p w14:paraId="417EF5C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~₹0.0050 </w:t>
            </w:r>
          </w:p>
        </w:tc>
      </w:tr>
      <w:tr w14:paraId="0C15A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40E41101">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₹500 Banknote</w:t>
            </w:r>
          </w:p>
        </w:tc>
        <w:tc>
          <w:tcPr>
            <w:tcW w:w="0" w:type="auto"/>
            <w:shd w:val="clear" w:color="auto" w:fill="1B1B1B"/>
            <w:tcMar>
              <w:top w:w="96" w:type="dxa"/>
              <w:left w:w="144" w:type="dxa"/>
              <w:bottom w:w="96" w:type="dxa"/>
              <w:right w:w="144" w:type="dxa"/>
            </w:tcMar>
            <w:vAlign w:val="top"/>
          </w:tcPr>
          <w:p w14:paraId="2BA8F738">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₹2.94 (One-time printing) </w:t>
            </w:r>
          </w:p>
        </w:tc>
        <w:tc>
          <w:tcPr>
            <w:tcW w:w="0" w:type="auto"/>
            <w:shd w:val="clear" w:color="auto" w:fill="1B1B1B"/>
            <w:tcMar>
              <w:top w:w="96" w:type="dxa"/>
              <w:left w:w="144" w:type="dxa"/>
              <w:bottom w:w="96" w:type="dxa"/>
              <w:right w:w="144" w:type="dxa"/>
            </w:tcMar>
            <w:vAlign w:val="top"/>
          </w:tcPr>
          <w:p w14:paraId="5B036B79">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100 transactions</w:t>
            </w:r>
          </w:p>
        </w:tc>
        <w:tc>
          <w:tcPr>
            <w:tcW w:w="0" w:type="auto"/>
            <w:shd w:val="clear" w:color="auto" w:fill="1B1B1B"/>
            <w:tcMar>
              <w:top w:w="96" w:type="dxa"/>
              <w:left w:w="144" w:type="dxa"/>
              <w:bottom w:w="96" w:type="dxa"/>
              <w:right w:w="144" w:type="dxa"/>
            </w:tcMar>
            <w:vAlign w:val="top"/>
          </w:tcPr>
          <w:p w14:paraId="5FA908C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₹2.94 </w:t>
            </w:r>
          </w:p>
        </w:tc>
        <w:tc>
          <w:tcPr>
            <w:tcW w:w="0" w:type="auto"/>
            <w:shd w:val="clear" w:color="auto" w:fill="1B1B1B"/>
            <w:tcMar>
              <w:top w:w="96" w:type="dxa"/>
              <w:left w:w="144" w:type="dxa"/>
              <w:bottom w:w="96" w:type="dxa"/>
              <w:right w:w="144" w:type="dxa"/>
            </w:tcMar>
            <w:vAlign w:val="top"/>
          </w:tcPr>
          <w:p w14:paraId="5EB836D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~₹0.0294 </w:t>
            </w:r>
          </w:p>
        </w:tc>
      </w:tr>
      <w:tr w14:paraId="2E91F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5A0C5ECF">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UPI Digital Rail</w:t>
            </w:r>
          </w:p>
        </w:tc>
        <w:tc>
          <w:tcPr>
            <w:tcW w:w="0" w:type="auto"/>
            <w:shd w:val="clear" w:color="auto" w:fill="1B1B1B"/>
            <w:tcMar>
              <w:top w:w="96" w:type="dxa"/>
              <w:left w:w="144" w:type="dxa"/>
              <w:bottom w:w="96" w:type="dxa"/>
              <w:right w:w="144" w:type="dxa"/>
            </w:tcMar>
            <w:vAlign w:val="top"/>
          </w:tcPr>
          <w:p w14:paraId="0CE4E90C">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Zero (Initial setup is decentralized)</w:t>
            </w:r>
          </w:p>
        </w:tc>
        <w:tc>
          <w:tcPr>
            <w:tcW w:w="0" w:type="auto"/>
            <w:shd w:val="clear" w:color="auto" w:fill="1B1B1B"/>
            <w:tcMar>
              <w:top w:w="96" w:type="dxa"/>
              <w:left w:w="144" w:type="dxa"/>
              <w:bottom w:w="96" w:type="dxa"/>
              <w:right w:w="144" w:type="dxa"/>
            </w:tcMar>
            <w:vAlign w:val="top"/>
          </w:tcPr>
          <w:p w14:paraId="3E81B7DB">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150 transactions</w:t>
            </w:r>
          </w:p>
        </w:tc>
        <w:tc>
          <w:tcPr>
            <w:tcW w:w="0" w:type="auto"/>
            <w:shd w:val="clear" w:color="auto" w:fill="1B1B1B"/>
            <w:tcMar>
              <w:top w:w="96" w:type="dxa"/>
              <w:left w:w="144" w:type="dxa"/>
              <w:bottom w:w="96" w:type="dxa"/>
              <w:right w:w="144" w:type="dxa"/>
            </w:tcMar>
            <w:vAlign w:val="top"/>
          </w:tcPr>
          <w:p w14:paraId="5BC40EC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₹300.00 </w:t>
            </w:r>
          </w:p>
        </w:tc>
        <w:tc>
          <w:tcPr>
            <w:tcW w:w="0" w:type="auto"/>
            <w:shd w:val="clear" w:color="auto" w:fill="1B1B1B"/>
            <w:tcMar>
              <w:top w:w="96" w:type="dxa"/>
              <w:left w:w="144" w:type="dxa"/>
              <w:bottom w:w="96" w:type="dxa"/>
              <w:right w:w="144" w:type="dxa"/>
            </w:tcMar>
            <w:vAlign w:val="top"/>
          </w:tcPr>
          <w:p w14:paraId="18901C3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₹2.00 </w:t>
            </w:r>
          </w:p>
        </w:tc>
      </w:tr>
      <w:tr w14:paraId="13308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3FF16929">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UPI Digital Rail</w:t>
            </w:r>
          </w:p>
        </w:tc>
        <w:tc>
          <w:tcPr>
            <w:tcW w:w="0" w:type="auto"/>
            <w:shd w:val="clear" w:color="auto" w:fill="1B1B1B"/>
            <w:tcMar>
              <w:top w:w="96" w:type="dxa"/>
              <w:left w:w="144" w:type="dxa"/>
              <w:bottom w:w="96" w:type="dxa"/>
              <w:right w:w="144" w:type="dxa"/>
            </w:tcMar>
            <w:vAlign w:val="top"/>
          </w:tcPr>
          <w:p w14:paraId="461A629E">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Zero (Initial setup is decentralized)</w:t>
            </w:r>
          </w:p>
        </w:tc>
        <w:tc>
          <w:tcPr>
            <w:tcW w:w="0" w:type="auto"/>
            <w:shd w:val="clear" w:color="auto" w:fill="1B1B1B"/>
            <w:tcMar>
              <w:top w:w="96" w:type="dxa"/>
              <w:left w:w="144" w:type="dxa"/>
              <w:bottom w:w="96" w:type="dxa"/>
              <w:right w:w="144" w:type="dxa"/>
            </w:tcMar>
            <w:vAlign w:val="top"/>
          </w:tcPr>
          <w:p w14:paraId="3481A494">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300 transactions</w:t>
            </w:r>
          </w:p>
        </w:tc>
        <w:tc>
          <w:tcPr>
            <w:tcW w:w="0" w:type="auto"/>
            <w:shd w:val="clear" w:color="auto" w:fill="1B1B1B"/>
            <w:tcMar>
              <w:top w:w="96" w:type="dxa"/>
              <w:left w:w="144" w:type="dxa"/>
              <w:bottom w:w="96" w:type="dxa"/>
              <w:right w:w="144" w:type="dxa"/>
            </w:tcMar>
            <w:vAlign w:val="top"/>
          </w:tcPr>
          <w:p w14:paraId="50CC409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₹600.00 </w:t>
            </w:r>
          </w:p>
        </w:tc>
        <w:tc>
          <w:tcPr>
            <w:tcW w:w="0" w:type="auto"/>
            <w:shd w:val="clear" w:color="auto" w:fill="1B1B1B"/>
            <w:tcMar>
              <w:top w:w="96" w:type="dxa"/>
              <w:left w:w="144" w:type="dxa"/>
              <w:bottom w:w="96" w:type="dxa"/>
              <w:right w:w="144" w:type="dxa"/>
            </w:tcMar>
            <w:vAlign w:val="top"/>
          </w:tcPr>
          <w:p w14:paraId="44A4EA15">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₹2.00 </w:t>
            </w:r>
          </w:p>
        </w:tc>
      </w:tr>
    </w:tbl>
    <w:p w14:paraId="26668DD6">
      <w:pPr>
        <w:keepNext w:val="0"/>
        <w:keepLines w:val="0"/>
        <w:widowControl/>
        <w:suppressLineNumbers w:val="0"/>
        <w:pBdr>
          <w:top w:val="none" w:color="auto" w:sz="0" w:space="0"/>
          <w:left w:val="none" w:color="auto" w:sz="0" w:space="0"/>
          <w:bottom w:val="none" w:color="auto" w:sz="0" w:space="0"/>
          <w:right w:val="none" w:color="auto" w:sz="0" w:space="0"/>
        </w:pBdr>
        <w:bidi w:val="0"/>
        <w:jc w:val="left"/>
        <w:rPr>
          <w:rFonts w:hint="default" w:ascii="Times New Roman" w:hAnsi="Times New Roman" w:eastAsia="sans-serif" w:cs="Times New Roman"/>
          <w:color w:val="auto"/>
          <w:spacing w:val="0"/>
          <w:sz w:val="20"/>
          <w:szCs w:val="20"/>
        </w:rPr>
      </w:pPr>
      <w:r>
        <w:rPr>
          <w:rFonts w:hint="default" w:ascii="Times New Roman" w:hAnsi="Times New Roman" w:eastAsia="sans-serif" w:cs="Times New Roman"/>
          <w:color w:val="auto"/>
          <w:spacing w:val="0"/>
          <w:kern w:val="0"/>
          <w:sz w:val="20"/>
          <w:szCs w:val="20"/>
          <w:bdr w:val="none" w:color="auto" w:sz="0" w:space="0"/>
          <w:lang w:val="en-US" w:eastAsia="zh-CN" w:bidi="ar"/>
        </w:rPr>
        <w:t>  </w:t>
      </w:r>
    </w:p>
    <w:p w14:paraId="2EC31021">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The Financial Starvation of the Payment Ecosystem: Subsidy Collapse and Zero-MDR</w:t>
      </w:r>
    </w:p>
    <w:p w14:paraId="40823C7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financial sustainability of the digital payments ecosystem is severely undermined by its pricing model. Since January 1, 2020, the Ministry of Finance has enforced a zero-MDR policy for all RuPay debit card and UPI transactions. This policy legally prohibits banks and payment service providers from charging merchants any transaction fees. While this policy accelerated grassroots merchant onboarding by eliminating transactional friction, it also cut off the organic revenue stream required to sustain and upgrade the payment infrastructure.   </w:t>
      </w:r>
    </w:p>
    <w:p w14:paraId="3CAEE34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In traditional card payment networks, merchant banks collect a fee that is shared among issuers, acquirers, and network operators to cover customer service, regulatory compliance, and cybersecurity risks. Under the zero-MDR policy, banks and fintech companies are forced to absorb these operational expenses directly. For the financial year 2021-22, when the total UPI transaction value reached ₹84 lakh crore, the net industry loss due to zero-MDR was estimated at ₹10,000 to ₹12,000 crore. Over a two-year horizon, the digital payments ecosystem is projected to absorb an estimated ₹8,000 to ₹10,000 crore in net deficits to maintain this zero-cost model.   </w:t>
      </w:r>
    </w:p>
    <w:p w14:paraId="0EC24CC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To compensate the financial sector, the government introduced annual incentive schemes for low-value Person-to-Merchant (P2M) transactions up to ₹2,000. However, this fiscal subsidy model has proven highly unstable and structurally inadequate:   </w:t>
      </w:r>
    </w:p>
    <w:p w14:paraId="13C29CA5">
      <w:pPr>
        <w:keepNext w:val="0"/>
        <w:keepLines w:val="0"/>
        <w:widowControl/>
        <w:numPr>
          <w:ilvl w:val="0"/>
          <w:numId w:val="1"/>
        </w:numPr>
        <w:suppressLineNumbers w:val="0"/>
        <w:spacing w:before="0" w:beforeAutospacing="0" w:after="0" w:afterAutospacing="0"/>
        <w:ind w:left="0" w:right="0" w:hanging="360"/>
        <w:rPr>
          <w:rFonts w:hint="default" w:ascii="Times New Roman" w:hAnsi="Times New Roman" w:cs="Times New Roman"/>
          <w:color w:val="auto"/>
        </w:rPr>
      </w:pPr>
    </w:p>
    <w:p w14:paraId="5FC8D98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Slashed Incentive Rates:</w:t>
      </w:r>
      <w:r>
        <w:rPr>
          <w:rFonts w:hint="default" w:ascii="Times New Roman" w:hAnsi="Times New Roman" w:eastAsia="sans-serif" w:cs="Times New Roman"/>
          <w:color w:val="auto"/>
          <w:spacing w:val="0"/>
          <w:sz w:val="20"/>
          <w:szCs w:val="20"/>
        </w:rPr>
        <w:t xml:space="preserve"> The processing incentive for low-value merchant transactions was revised downward from 0.25% to 0.15% for transactions up to ₹2,000. Large merchants receive no incentives.   </w:t>
      </w:r>
    </w:p>
    <w:p w14:paraId="26BBE1A0">
      <w:pPr>
        <w:keepNext w:val="0"/>
        <w:keepLines w:val="0"/>
        <w:widowControl/>
        <w:numPr>
          <w:ilvl w:val="0"/>
          <w:numId w:val="1"/>
        </w:numPr>
        <w:suppressLineNumbers w:val="0"/>
        <w:spacing w:before="0" w:beforeAutospacing="0" w:after="0" w:afterAutospacing="0"/>
        <w:ind w:left="0" w:right="0" w:hanging="360"/>
        <w:rPr>
          <w:rFonts w:hint="default" w:ascii="Times New Roman" w:hAnsi="Times New Roman" w:cs="Times New Roman"/>
          <w:color w:val="auto"/>
        </w:rPr>
      </w:pPr>
    </w:p>
    <w:p w14:paraId="0B8269D8">
      <w:pPr>
        <w:keepNext w:val="0"/>
        <w:keepLines w:val="0"/>
        <w:widowControl/>
        <w:numPr>
          <w:ilvl w:val="0"/>
          <w:numId w:val="1"/>
        </w:numPr>
        <w:suppressLineNumbers w:val="0"/>
        <w:spacing w:before="0" w:beforeAutospacing="0" w:after="0" w:afterAutospacing="0"/>
        <w:ind w:left="0" w:right="0" w:hanging="360"/>
        <w:rPr>
          <w:rFonts w:hint="default" w:ascii="Times New Roman" w:hAnsi="Times New Roman" w:cs="Times New Roman"/>
          <w:color w:val="auto"/>
        </w:rPr>
      </w:pPr>
    </w:p>
    <w:p w14:paraId="3D84CF2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Collapsing Budgetary Allocations:</w:t>
      </w:r>
      <w:r>
        <w:rPr>
          <w:rFonts w:hint="default" w:ascii="Times New Roman" w:hAnsi="Times New Roman" w:eastAsia="sans-serif" w:cs="Times New Roman"/>
          <w:color w:val="auto"/>
          <w:spacing w:val="0"/>
          <w:sz w:val="20"/>
          <w:szCs w:val="20"/>
        </w:rPr>
        <w:t xml:space="preserve"> The government's digital payment subsidies have declined sharply. While the incentive payout was ₹3,500 crore in the financial year 2023-24, it dropped to ₹2,000 crore in 2024-25, and fell to just ₹427 crore in the current budget estimates.   </w:t>
      </w:r>
    </w:p>
    <w:p w14:paraId="1BBFF52C">
      <w:pPr>
        <w:keepNext w:val="0"/>
        <w:keepLines w:val="0"/>
        <w:widowControl/>
        <w:numPr>
          <w:ilvl w:val="0"/>
          <w:numId w:val="1"/>
        </w:numPr>
        <w:suppressLineNumbers w:val="0"/>
        <w:spacing w:before="0" w:beforeAutospacing="0" w:after="0" w:afterAutospacing="0"/>
        <w:ind w:left="0" w:right="0" w:hanging="360"/>
        <w:rPr>
          <w:rFonts w:hint="default" w:ascii="Times New Roman" w:hAnsi="Times New Roman" w:cs="Times New Roman"/>
          <w:color w:val="auto"/>
        </w:rPr>
      </w:pPr>
    </w:p>
    <w:p w14:paraId="6D6B4901">
      <w:pPr>
        <w:keepNext w:val="0"/>
        <w:keepLines w:val="0"/>
        <w:widowControl/>
        <w:numPr>
          <w:ilvl w:val="0"/>
          <w:numId w:val="1"/>
        </w:numPr>
        <w:suppressLineNumbers w:val="0"/>
        <w:spacing w:before="0" w:beforeAutospacing="0" w:after="0" w:afterAutospacing="0"/>
        <w:ind w:left="0" w:right="0" w:hanging="360"/>
        <w:rPr>
          <w:rFonts w:hint="default" w:ascii="Times New Roman" w:hAnsi="Times New Roman" w:cs="Times New Roman"/>
          <w:color w:val="auto"/>
        </w:rPr>
      </w:pPr>
    </w:p>
    <w:p w14:paraId="0F447C3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Severe Funding Gap:</w:t>
      </w:r>
      <w:r>
        <w:rPr>
          <w:rFonts w:hint="default" w:ascii="Times New Roman" w:hAnsi="Times New Roman" w:eastAsia="sans-serif" w:cs="Times New Roman"/>
          <w:color w:val="auto"/>
          <w:spacing w:val="0"/>
          <w:sz w:val="20"/>
          <w:szCs w:val="20"/>
        </w:rPr>
        <w:t xml:space="preserve"> Data submitted to the Parliamentary Standing Committee on Finance reveals that existing government incentive support covers only about 11% of actual industry operational costs and a mere 14% of the potential MDR revenue that the industry would have organic rights to collect.   </w:t>
      </w:r>
    </w:p>
    <w:p w14:paraId="7863A982">
      <w:pPr>
        <w:keepNext w:val="0"/>
        <w:keepLines w:val="0"/>
        <w:widowControl/>
        <w:numPr>
          <w:ilvl w:val="0"/>
          <w:numId w:val="1"/>
        </w:numPr>
        <w:suppressLineNumbers w:val="0"/>
        <w:spacing w:before="0" w:beforeAutospacing="0" w:after="0" w:afterAutospacing="0"/>
        <w:ind w:left="0" w:right="0" w:hanging="360"/>
        <w:rPr>
          <w:rFonts w:hint="default" w:ascii="Times New Roman" w:hAnsi="Times New Roman" w:cs="Times New Roman"/>
          <w:color w:val="auto"/>
        </w:rPr>
      </w:pPr>
    </w:p>
    <w:p w14:paraId="162203D9">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fiscal shortfall has created a structural deadlock. Payment system operators and commercial banks cannot organically introduce a transaction fee to recover costs, as the user base is highly price-sensitive. Empirical surveys conducted by LocalCircles indicate that approximately 75% to 80% of active UPI users would immediately stop using the service and revert to cash if any transaction fees were introduced. Consequently, the digital payments network is trapped in a non-viable economic loop. It must remain free to prevent a mass user exodus, yet remaining free starves banks and fintech companies of the capital required to maintain network reliability, expand active QR codes into under-penetrated rural pin codes, and invest in robust fraud-prevention systems.   </w:t>
      </w:r>
    </w:p>
    <w:tbl>
      <w:tblPr>
        <w:tblW w:w="791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Layout w:type="autofit"/>
        <w:tblCellMar>
          <w:top w:w="15" w:type="dxa"/>
          <w:left w:w="15" w:type="dxa"/>
          <w:bottom w:w="15" w:type="dxa"/>
          <w:right w:w="15" w:type="dxa"/>
        </w:tblCellMar>
      </w:tblPr>
      <w:tblGrid>
        <w:gridCol w:w="2170"/>
        <w:gridCol w:w="2702"/>
        <w:gridCol w:w="3038"/>
      </w:tblGrid>
      <w:tr w14:paraId="598DB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Header/>
          <w:tblCellSpacing w:w="15" w:type="dxa"/>
        </w:trPr>
        <w:tc>
          <w:tcPr>
            <w:tcW w:w="0" w:type="auto"/>
            <w:shd w:val="clear" w:color="auto" w:fill="282A2C"/>
            <w:tcMar>
              <w:top w:w="96" w:type="dxa"/>
              <w:left w:w="144" w:type="dxa"/>
              <w:bottom w:w="96" w:type="dxa"/>
              <w:right w:w="144" w:type="dxa"/>
            </w:tcMar>
            <w:vAlign w:val="top"/>
          </w:tcPr>
          <w:p w14:paraId="576351F1">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Financial Year (FY)</w:t>
            </w:r>
          </w:p>
        </w:tc>
        <w:tc>
          <w:tcPr>
            <w:tcW w:w="0" w:type="auto"/>
            <w:shd w:val="clear" w:color="auto" w:fill="282A2C"/>
            <w:tcMar>
              <w:top w:w="96" w:type="dxa"/>
              <w:left w:w="144" w:type="dxa"/>
              <w:bottom w:w="96" w:type="dxa"/>
              <w:right w:w="144" w:type="dxa"/>
            </w:tcMar>
            <w:vAlign w:val="top"/>
          </w:tcPr>
          <w:p w14:paraId="5E6403B3">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National Subsidy Allocation (₹ in Crore)</w:t>
            </w:r>
          </w:p>
        </w:tc>
        <w:tc>
          <w:tcPr>
            <w:tcW w:w="0" w:type="auto"/>
            <w:shd w:val="clear" w:color="auto" w:fill="282A2C"/>
            <w:tcMar>
              <w:top w:w="96" w:type="dxa"/>
              <w:left w:w="144" w:type="dxa"/>
              <w:bottom w:w="96" w:type="dxa"/>
              <w:right w:w="144" w:type="dxa"/>
            </w:tcMar>
            <w:vAlign w:val="top"/>
          </w:tcPr>
          <w:p w14:paraId="5EE6ABB3">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Trend Interpretation</w:t>
            </w:r>
          </w:p>
        </w:tc>
      </w:tr>
      <w:tr w14:paraId="506B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64F904A2">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2023-24</w:t>
            </w:r>
          </w:p>
        </w:tc>
        <w:tc>
          <w:tcPr>
            <w:tcW w:w="0" w:type="auto"/>
            <w:shd w:val="clear" w:color="auto" w:fill="1B1B1B"/>
            <w:tcMar>
              <w:top w:w="96" w:type="dxa"/>
              <w:left w:w="144" w:type="dxa"/>
              <w:bottom w:w="96" w:type="dxa"/>
              <w:right w:w="144" w:type="dxa"/>
            </w:tcMar>
            <w:vAlign w:val="top"/>
          </w:tcPr>
          <w:p w14:paraId="3291FA6F">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3,500 </w:t>
            </w:r>
          </w:p>
        </w:tc>
        <w:tc>
          <w:tcPr>
            <w:tcW w:w="0" w:type="auto"/>
            <w:shd w:val="clear" w:color="auto" w:fill="1B1B1B"/>
            <w:tcMar>
              <w:top w:w="96" w:type="dxa"/>
              <w:left w:w="144" w:type="dxa"/>
              <w:bottom w:w="96" w:type="dxa"/>
              <w:right w:w="144" w:type="dxa"/>
            </w:tcMar>
            <w:vAlign w:val="top"/>
          </w:tcPr>
          <w:p w14:paraId="299E0460">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Peak funding to support ecosystem onboarding</w:t>
            </w:r>
          </w:p>
        </w:tc>
      </w:tr>
      <w:tr w14:paraId="7D3F2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288556DD">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2024-25</w:t>
            </w:r>
          </w:p>
        </w:tc>
        <w:tc>
          <w:tcPr>
            <w:tcW w:w="0" w:type="auto"/>
            <w:shd w:val="clear" w:color="auto" w:fill="1B1B1B"/>
            <w:tcMar>
              <w:top w:w="96" w:type="dxa"/>
              <w:left w:w="144" w:type="dxa"/>
              <w:bottom w:w="96" w:type="dxa"/>
              <w:right w:w="144" w:type="dxa"/>
            </w:tcMar>
            <w:vAlign w:val="top"/>
          </w:tcPr>
          <w:p w14:paraId="1E546D0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2,000 </w:t>
            </w:r>
          </w:p>
        </w:tc>
        <w:tc>
          <w:tcPr>
            <w:tcW w:w="0" w:type="auto"/>
            <w:shd w:val="clear" w:color="auto" w:fill="1B1B1B"/>
            <w:tcMar>
              <w:top w:w="96" w:type="dxa"/>
              <w:left w:w="144" w:type="dxa"/>
              <w:bottom w:w="96" w:type="dxa"/>
              <w:right w:w="144" w:type="dxa"/>
            </w:tcMar>
            <w:vAlign w:val="top"/>
          </w:tcPr>
          <w:p w14:paraId="6931E41D">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Substantial reduction as volumes begin to surge</w:t>
            </w:r>
          </w:p>
        </w:tc>
      </w:tr>
      <w:tr w14:paraId="0B84D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4B7D4563">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Current Year (Budget Estimates)</w:t>
            </w:r>
          </w:p>
        </w:tc>
        <w:tc>
          <w:tcPr>
            <w:tcW w:w="0" w:type="auto"/>
            <w:shd w:val="clear" w:color="auto" w:fill="1B1B1B"/>
            <w:tcMar>
              <w:top w:w="96" w:type="dxa"/>
              <w:left w:w="144" w:type="dxa"/>
              <w:bottom w:w="96" w:type="dxa"/>
              <w:right w:w="144" w:type="dxa"/>
            </w:tcMar>
            <w:vAlign w:val="top"/>
          </w:tcPr>
          <w:p w14:paraId="4BBDACC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427 </w:t>
            </w:r>
          </w:p>
        </w:tc>
        <w:tc>
          <w:tcPr>
            <w:tcW w:w="0" w:type="auto"/>
            <w:shd w:val="clear" w:color="auto" w:fill="1B1B1B"/>
            <w:tcMar>
              <w:top w:w="96" w:type="dxa"/>
              <w:left w:w="144" w:type="dxa"/>
              <w:bottom w:w="96" w:type="dxa"/>
              <w:right w:w="144" w:type="dxa"/>
            </w:tcMar>
            <w:vAlign w:val="top"/>
          </w:tcPr>
          <w:p w14:paraId="7C75914B">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Near-complete withdrawal of state financial support</w:t>
            </w:r>
          </w:p>
        </w:tc>
      </w:tr>
    </w:tbl>
    <w:p w14:paraId="05740972">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ans-serif" w:cs="Times New Roman"/>
          <w:color w:val="auto"/>
          <w:spacing w:val="0"/>
          <w:kern w:val="0"/>
          <w:sz w:val="20"/>
          <w:szCs w:val="20"/>
          <w:bdr w:val="none" w:color="auto" w:sz="0" w:space="0"/>
          <w:lang w:val="en-US" w:eastAsia="zh-CN" w:bidi="ar"/>
        </w:rPr>
        <w:t>  </w:t>
      </w:r>
    </w:p>
    <w:p w14:paraId="5608E5D8">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Monopolistic Data Concentration and the Infrastructure of Behavioral Control</w:t>
      </w:r>
    </w:p>
    <w:p w14:paraId="1F96BDF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Transitioning from a physical cash economy to an exclusively digital payment system eliminates financial privacy, replacing it with a continuous surveillance network. Cash transactions are inherently decentralized and leave no permanent data footprint. In contrast, every digital transaction executed via UPI leaves a trace, creating a permanent, centralized record of an individual's financial behavior.   </w:t>
      </w:r>
    </w:p>
    <w:p w14:paraId="68ADDC1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digital trail is captured and leveraged by both government agencies and private corporate intermediaries. Because UPI requires a third-party application layer to facilitate transactions, a significant portion of public payments is mediated by foreign-funded private corporations. Two dominant players—Walmart-backed PhonePe and Google-backed Google Pay—control over 83% to 85% of all UPI transaction volumes. These private platforms harvest massive amounts of non-transactional user data, including:   </w:t>
      </w:r>
    </w:p>
    <w:p w14:paraId="52141F91">
      <w:pPr>
        <w:keepNext w:val="0"/>
        <w:keepLines w:val="0"/>
        <w:widowControl/>
        <w:numPr>
          <w:ilvl w:val="0"/>
          <w:numId w:val="2"/>
        </w:numPr>
        <w:suppressLineNumbers w:val="0"/>
        <w:spacing w:before="0" w:beforeAutospacing="0" w:after="0" w:afterAutospacing="0"/>
        <w:ind w:left="0" w:right="0" w:hanging="360"/>
        <w:rPr>
          <w:rFonts w:hint="default" w:ascii="Times New Roman" w:hAnsi="Times New Roman" w:cs="Times New Roman"/>
          <w:color w:val="auto"/>
        </w:rPr>
      </w:pPr>
    </w:p>
    <w:p w14:paraId="41318A3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Real-time GPS Location &amp; IP Addresses:</w:t>
      </w:r>
      <w:r>
        <w:rPr>
          <w:rFonts w:hint="default" w:ascii="Times New Roman" w:hAnsi="Times New Roman" w:eastAsia="sans-serif" w:cs="Times New Roman"/>
          <w:color w:val="auto"/>
          <w:spacing w:val="0"/>
          <w:sz w:val="20"/>
          <w:szCs w:val="20"/>
        </w:rPr>
        <w:t xml:space="preserve"> Tracking exact physical movements during every transaction.   </w:t>
      </w:r>
    </w:p>
    <w:p w14:paraId="3749F194">
      <w:pPr>
        <w:keepNext w:val="0"/>
        <w:keepLines w:val="0"/>
        <w:widowControl/>
        <w:numPr>
          <w:ilvl w:val="0"/>
          <w:numId w:val="2"/>
        </w:numPr>
        <w:suppressLineNumbers w:val="0"/>
        <w:spacing w:before="0" w:beforeAutospacing="0" w:after="0" w:afterAutospacing="0"/>
        <w:ind w:left="0" w:right="0" w:hanging="360"/>
        <w:rPr>
          <w:rFonts w:hint="default" w:ascii="Times New Roman" w:hAnsi="Times New Roman" w:cs="Times New Roman"/>
          <w:color w:val="auto"/>
        </w:rPr>
      </w:pPr>
    </w:p>
    <w:p w14:paraId="3E36489E">
      <w:pPr>
        <w:keepNext w:val="0"/>
        <w:keepLines w:val="0"/>
        <w:widowControl/>
        <w:numPr>
          <w:ilvl w:val="0"/>
          <w:numId w:val="2"/>
        </w:numPr>
        <w:suppressLineNumbers w:val="0"/>
        <w:spacing w:before="0" w:beforeAutospacing="0" w:after="0" w:afterAutospacing="0"/>
        <w:ind w:left="0" w:right="0" w:hanging="360"/>
        <w:rPr>
          <w:rFonts w:hint="default" w:ascii="Times New Roman" w:hAnsi="Times New Roman" w:cs="Times New Roman"/>
          <w:color w:val="auto"/>
        </w:rPr>
      </w:pPr>
    </w:p>
    <w:p w14:paraId="607DB5D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Device Fingerprints:</w:t>
      </w:r>
      <w:r>
        <w:rPr>
          <w:rFonts w:hint="default" w:ascii="Times New Roman" w:hAnsi="Times New Roman" w:eastAsia="sans-serif" w:cs="Times New Roman"/>
          <w:color w:val="auto"/>
          <w:spacing w:val="0"/>
          <w:sz w:val="20"/>
          <w:szCs w:val="20"/>
        </w:rPr>
        <w:t xml:space="preserve"> Mapping IMEI numbers, operating systems, and installed software to link all activities to a single device.   </w:t>
      </w:r>
    </w:p>
    <w:p w14:paraId="5233503E">
      <w:pPr>
        <w:keepNext w:val="0"/>
        <w:keepLines w:val="0"/>
        <w:widowControl/>
        <w:numPr>
          <w:ilvl w:val="0"/>
          <w:numId w:val="2"/>
        </w:numPr>
        <w:suppressLineNumbers w:val="0"/>
        <w:spacing w:before="0" w:beforeAutospacing="0" w:after="0" w:afterAutospacing="0"/>
        <w:ind w:left="0" w:right="0" w:hanging="360"/>
        <w:rPr>
          <w:rFonts w:hint="default" w:ascii="Times New Roman" w:hAnsi="Times New Roman" w:cs="Times New Roman"/>
          <w:color w:val="auto"/>
        </w:rPr>
      </w:pPr>
    </w:p>
    <w:p w14:paraId="28E0C850">
      <w:pPr>
        <w:keepNext w:val="0"/>
        <w:keepLines w:val="0"/>
        <w:widowControl/>
        <w:numPr>
          <w:ilvl w:val="0"/>
          <w:numId w:val="2"/>
        </w:numPr>
        <w:suppressLineNumbers w:val="0"/>
        <w:spacing w:before="0" w:beforeAutospacing="0" w:after="0" w:afterAutospacing="0"/>
        <w:ind w:left="0" w:right="0" w:hanging="360"/>
        <w:rPr>
          <w:rFonts w:hint="default" w:ascii="Times New Roman" w:hAnsi="Times New Roman" w:cs="Times New Roman"/>
          <w:color w:val="auto"/>
        </w:rPr>
      </w:pPr>
    </w:p>
    <w:p w14:paraId="4B6901B9">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Social Graphs:</w:t>
      </w:r>
      <w:r>
        <w:rPr>
          <w:rFonts w:hint="default" w:ascii="Times New Roman" w:hAnsi="Times New Roman" w:eastAsia="sans-serif" w:cs="Times New Roman"/>
          <w:color w:val="auto"/>
          <w:spacing w:val="0"/>
          <w:sz w:val="20"/>
          <w:szCs w:val="20"/>
        </w:rPr>
        <w:t xml:space="preserve"> Analyzing peer-to-peer transfers to reconstruct an individual's complete personal and professional network.   </w:t>
      </w:r>
    </w:p>
    <w:p w14:paraId="0E20CB14">
      <w:pPr>
        <w:keepNext w:val="0"/>
        <w:keepLines w:val="0"/>
        <w:widowControl/>
        <w:numPr>
          <w:ilvl w:val="0"/>
          <w:numId w:val="2"/>
        </w:numPr>
        <w:suppressLineNumbers w:val="0"/>
        <w:spacing w:before="0" w:beforeAutospacing="0" w:after="0" w:afterAutospacing="0"/>
        <w:ind w:left="0" w:right="0" w:hanging="360"/>
        <w:rPr>
          <w:rFonts w:hint="default" w:ascii="Times New Roman" w:hAnsi="Times New Roman" w:cs="Times New Roman"/>
          <w:color w:val="auto"/>
        </w:rPr>
      </w:pPr>
    </w:p>
    <w:p w14:paraId="1D5D42D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data is used to build highly invasive financial profiles. These profiles can be commercialized to cross-sell financial products, deny credit based on spending patterns (such as frequenting bars or gambling portals), or increase insurance premiums by inferring health conditions from payments made at clinics or pharmacies.   </w:t>
      </w:r>
    </w:p>
    <w:p w14:paraId="6938286B">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At a systemic level, this continuous monitoring creates a chilling effect on civil liberties. The knowledge that all financial flows are tracked and can be retroactively analyzed by state authorities alters public behavior. This dynamic discourages individuals from donating to independent journalists, civil rights organizations, or marginalized communities out of fear of financial reprisal, self-censorship, or state scrutiny.   </w:t>
      </w:r>
    </w:p>
    <w:tbl>
      <w:tblPr>
        <w:tblW w:w="791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Layout w:type="autofit"/>
        <w:tblCellMar>
          <w:top w:w="15" w:type="dxa"/>
          <w:left w:w="15" w:type="dxa"/>
          <w:bottom w:w="15" w:type="dxa"/>
          <w:right w:w="15" w:type="dxa"/>
        </w:tblCellMar>
      </w:tblPr>
      <w:tblGrid>
        <w:gridCol w:w="1323"/>
        <w:gridCol w:w="1625"/>
        <w:gridCol w:w="1600"/>
        <w:gridCol w:w="1686"/>
        <w:gridCol w:w="1676"/>
      </w:tblGrid>
      <w:tr w14:paraId="3713D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Header/>
          <w:tblCellSpacing w:w="15" w:type="dxa"/>
        </w:trPr>
        <w:tc>
          <w:tcPr>
            <w:tcW w:w="0" w:type="auto"/>
            <w:shd w:val="clear" w:color="auto" w:fill="282A2C"/>
            <w:tcMar>
              <w:top w:w="96" w:type="dxa"/>
              <w:left w:w="144" w:type="dxa"/>
              <w:bottom w:w="96" w:type="dxa"/>
              <w:right w:w="144" w:type="dxa"/>
            </w:tcMar>
            <w:vAlign w:val="top"/>
          </w:tcPr>
          <w:p w14:paraId="73F912F2">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Payment Platform</w:t>
            </w:r>
          </w:p>
        </w:tc>
        <w:tc>
          <w:tcPr>
            <w:tcW w:w="0" w:type="auto"/>
            <w:shd w:val="clear" w:color="auto" w:fill="282A2C"/>
            <w:tcMar>
              <w:top w:w="96" w:type="dxa"/>
              <w:left w:w="144" w:type="dxa"/>
              <w:bottom w:w="96" w:type="dxa"/>
              <w:right w:w="144" w:type="dxa"/>
            </w:tcMar>
            <w:vAlign w:val="top"/>
          </w:tcPr>
          <w:p w14:paraId="0033C666">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Volume Market Share (December 2025)</w:t>
            </w:r>
          </w:p>
        </w:tc>
        <w:tc>
          <w:tcPr>
            <w:tcW w:w="0" w:type="auto"/>
            <w:shd w:val="clear" w:color="auto" w:fill="282A2C"/>
            <w:tcMar>
              <w:top w:w="96" w:type="dxa"/>
              <w:left w:w="144" w:type="dxa"/>
              <w:bottom w:w="96" w:type="dxa"/>
              <w:right w:w="144" w:type="dxa"/>
            </w:tcMar>
            <w:vAlign w:val="top"/>
          </w:tcPr>
          <w:p w14:paraId="0DB31709">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Value Market Share (December 2025)</w:t>
            </w:r>
          </w:p>
        </w:tc>
        <w:tc>
          <w:tcPr>
            <w:tcW w:w="0" w:type="auto"/>
            <w:shd w:val="clear" w:color="auto" w:fill="282A2C"/>
            <w:tcMar>
              <w:top w:w="96" w:type="dxa"/>
              <w:left w:w="144" w:type="dxa"/>
              <w:bottom w:w="96" w:type="dxa"/>
              <w:right w:w="144" w:type="dxa"/>
            </w:tcMar>
            <w:vAlign w:val="top"/>
          </w:tcPr>
          <w:p w14:paraId="5B284479">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Transaction Volume (December 2025)</w:t>
            </w:r>
          </w:p>
        </w:tc>
        <w:tc>
          <w:tcPr>
            <w:tcW w:w="0" w:type="auto"/>
            <w:shd w:val="clear" w:color="auto" w:fill="282A2C"/>
            <w:tcMar>
              <w:top w:w="96" w:type="dxa"/>
              <w:left w:w="144" w:type="dxa"/>
              <w:bottom w:w="96" w:type="dxa"/>
              <w:right w:w="144" w:type="dxa"/>
            </w:tcMar>
            <w:vAlign w:val="top"/>
          </w:tcPr>
          <w:p w14:paraId="49AA706D">
            <w:pPr>
              <w:keepNext w:val="0"/>
              <w:keepLines w:val="0"/>
              <w:widowControl/>
              <w:suppressLineNumbers w:val="0"/>
              <w:bidi w:val="0"/>
              <w:jc w:val="center"/>
              <w:textAlignment w:val="top"/>
              <w:rPr>
                <w:rFonts w:hint="default" w:ascii="Times New Roman" w:hAnsi="Times New Roman" w:eastAsia="sans-serif" w:cs="Times New Roman"/>
                <w:b/>
                <w:bCs/>
                <w:color w:val="auto"/>
                <w:spacing w:val="0"/>
                <w:sz w:val="20"/>
                <w:szCs w:val="20"/>
              </w:rPr>
            </w:pPr>
            <w:r>
              <w:rPr>
                <w:rFonts w:hint="default" w:ascii="Times New Roman" w:hAnsi="Times New Roman" w:eastAsia="sans-serif" w:cs="Times New Roman"/>
                <w:b/>
                <w:bCs/>
                <w:color w:val="auto"/>
                <w:spacing w:val="0"/>
                <w:kern w:val="0"/>
                <w:sz w:val="20"/>
                <w:szCs w:val="20"/>
                <w:bdr w:val="none" w:color="auto" w:sz="0" w:space="0"/>
                <w:lang w:val="en-US" w:eastAsia="zh-CN" w:bidi="ar"/>
              </w:rPr>
              <w:t>Transaction Value (December 2025)</w:t>
            </w:r>
          </w:p>
        </w:tc>
      </w:tr>
      <w:tr w14:paraId="0A32C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20D82AF8">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PhonePe</w:t>
            </w:r>
          </w:p>
        </w:tc>
        <w:tc>
          <w:tcPr>
            <w:tcW w:w="0" w:type="auto"/>
            <w:shd w:val="clear" w:color="auto" w:fill="1B1B1B"/>
            <w:tcMar>
              <w:top w:w="96" w:type="dxa"/>
              <w:left w:w="144" w:type="dxa"/>
              <w:bottom w:w="96" w:type="dxa"/>
              <w:right w:w="144" w:type="dxa"/>
            </w:tcMar>
            <w:vAlign w:val="top"/>
          </w:tcPr>
          <w:p w14:paraId="572B2E8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45.35% </w:t>
            </w:r>
          </w:p>
        </w:tc>
        <w:tc>
          <w:tcPr>
            <w:tcW w:w="0" w:type="auto"/>
            <w:shd w:val="clear" w:color="auto" w:fill="1B1B1B"/>
            <w:tcMar>
              <w:top w:w="96" w:type="dxa"/>
              <w:left w:w="144" w:type="dxa"/>
              <w:bottom w:w="96" w:type="dxa"/>
              <w:right w:w="144" w:type="dxa"/>
            </w:tcMar>
            <w:vAlign w:val="top"/>
          </w:tcPr>
          <w:p w14:paraId="0CC36F6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48.68% </w:t>
            </w:r>
          </w:p>
        </w:tc>
        <w:tc>
          <w:tcPr>
            <w:tcW w:w="0" w:type="auto"/>
            <w:shd w:val="clear" w:color="auto" w:fill="1B1B1B"/>
            <w:tcMar>
              <w:top w:w="96" w:type="dxa"/>
              <w:left w:w="144" w:type="dxa"/>
              <w:bottom w:w="96" w:type="dxa"/>
              <w:right w:w="144" w:type="dxa"/>
            </w:tcMar>
            <w:vAlign w:val="top"/>
          </w:tcPr>
          <w:p w14:paraId="03F9F5A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~9.81 Billion </w:t>
            </w:r>
          </w:p>
        </w:tc>
        <w:tc>
          <w:tcPr>
            <w:tcW w:w="0" w:type="auto"/>
            <w:shd w:val="clear" w:color="auto" w:fill="1B1B1B"/>
            <w:tcMar>
              <w:top w:w="96" w:type="dxa"/>
              <w:left w:w="144" w:type="dxa"/>
              <w:bottom w:w="96" w:type="dxa"/>
              <w:right w:w="144" w:type="dxa"/>
            </w:tcMar>
            <w:vAlign w:val="top"/>
          </w:tcPr>
          <w:p w14:paraId="7D14A3CA">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₹13.61 Lakh Crore </w:t>
            </w:r>
          </w:p>
        </w:tc>
      </w:tr>
      <w:tr w14:paraId="27A7F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E1F20"/>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354190C9">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Google Pay</w:t>
            </w:r>
          </w:p>
        </w:tc>
        <w:tc>
          <w:tcPr>
            <w:tcW w:w="0" w:type="auto"/>
            <w:shd w:val="clear" w:color="auto" w:fill="1B1B1B"/>
            <w:tcMar>
              <w:top w:w="96" w:type="dxa"/>
              <w:left w:w="144" w:type="dxa"/>
              <w:bottom w:w="96" w:type="dxa"/>
              <w:right w:w="144" w:type="dxa"/>
            </w:tcMar>
            <w:vAlign w:val="top"/>
          </w:tcPr>
          <w:p w14:paraId="4A6F2265">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34.64% </w:t>
            </w:r>
          </w:p>
        </w:tc>
        <w:tc>
          <w:tcPr>
            <w:tcW w:w="0" w:type="auto"/>
            <w:shd w:val="clear" w:color="auto" w:fill="1B1B1B"/>
            <w:tcMar>
              <w:top w:w="96" w:type="dxa"/>
              <w:left w:w="144" w:type="dxa"/>
              <w:bottom w:w="96" w:type="dxa"/>
              <w:right w:w="144" w:type="dxa"/>
            </w:tcMar>
            <w:vAlign w:val="top"/>
          </w:tcPr>
          <w:p w14:paraId="5FF30BE2">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34.25% </w:t>
            </w:r>
          </w:p>
        </w:tc>
        <w:tc>
          <w:tcPr>
            <w:tcW w:w="0" w:type="auto"/>
            <w:shd w:val="clear" w:color="auto" w:fill="1B1B1B"/>
            <w:tcMar>
              <w:top w:w="96" w:type="dxa"/>
              <w:left w:w="144" w:type="dxa"/>
              <w:bottom w:w="96" w:type="dxa"/>
              <w:right w:w="144" w:type="dxa"/>
            </w:tcMar>
            <w:vAlign w:val="top"/>
          </w:tcPr>
          <w:p w14:paraId="7D2BD709">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7.50 Billion </w:t>
            </w:r>
          </w:p>
        </w:tc>
        <w:tc>
          <w:tcPr>
            <w:tcW w:w="0" w:type="auto"/>
            <w:shd w:val="clear" w:color="auto" w:fill="1B1B1B"/>
            <w:tcMar>
              <w:top w:w="96" w:type="dxa"/>
              <w:left w:w="144" w:type="dxa"/>
              <w:bottom w:w="96" w:type="dxa"/>
              <w:right w:w="144" w:type="dxa"/>
            </w:tcMar>
            <w:vAlign w:val="top"/>
          </w:tcPr>
          <w:p w14:paraId="4190F95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₹9.58 Lakh Crore </w:t>
            </w:r>
          </w:p>
        </w:tc>
      </w:tr>
      <w:tr w14:paraId="7FA59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134C68FE">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Paytm</w:t>
            </w:r>
          </w:p>
        </w:tc>
        <w:tc>
          <w:tcPr>
            <w:tcW w:w="0" w:type="auto"/>
            <w:shd w:val="clear" w:color="auto" w:fill="1B1B1B"/>
            <w:tcMar>
              <w:top w:w="96" w:type="dxa"/>
              <w:left w:w="144" w:type="dxa"/>
              <w:bottom w:w="96" w:type="dxa"/>
              <w:right w:w="144" w:type="dxa"/>
            </w:tcMar>
            <w:vAlign w:val="top"/>
          </w:tcPr>
          <w:p w14:paraId="3CA3074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7.65% </w:t>
            </w:r>
          </w:p>
        </w:tc>
        <w:tc>
          <w:tcPr>
            <w:tcW w:w="0" w:type="auto"/>
            <w:shd w:val="clear" w:color="auto" w:fill="1B1B1B"/>
            <w:tcMar>
              <w:top w:w="96" w:type="dxa"/>
              <w:left w:w="144" w:type="dxa"/>
              <w:bottom w:w="96" w:type="dxa"/>
              <w:right w:w="144" w:type="dxa"/>
            </w:tcMar>
            <w:vAlign w:val="top"/>
          </w:tcPr>
          <w:p w14:paraId="1FD9031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6.32% </w:t>
            </w:r>
          </w:p>
        </w:tc>
        <w:tc>
          <w:tcPr>
            <w:tcW w:w="0" w:type="auto"/>
            <w:shd w:val="clear" w:color="auto" w:fill="1B1B1B"/>
            <w:tcMar>
              <w:top w:w="96" w:type="dxa"/>
              <w:left w:w="144" w:type="dxa"/>
              <w:bottom w:w="96" w:type="dxa"/>
              <w:right w:w="144" w:type="dxa"/>
            </w:tcMar>
            <w:vAlign w:val="top"/>
          </w:tcPr>
          <w:p w14:paraId="7994830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1.65 Billion </w:t>
            </w:r>
          </w:p>
        </w:tc>
        <w:tc>
          <w:tcPr>
            <w:tcW w:w="0" w:type="auto"/>
            <w:shd w:val="clear" w:color="auto" w:fill="1B1B1B"/>
            <w:tcMar>
              <w:top w:w="96" w:type="dxa"/>
              <w:left w:w="144" w:type="dxa"/>
              <w:bottom w:w="96" w:type="dxa"/>
              <w:right w:w="144" w:type="dxa"/>
            </w:tcMar>
            <w:vAlign w:val="top"/>
          </w:tcPr>
          <w:p w14:paraId="0604887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₹1.77 Lakh Crore </w:t>
            </w:r>
          </w:p>
        </w:tc>
      </w:tr>
      <w:tr w14:paraId="68A2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1B1B1B"/>
            <w:tcMar>
              <w:top w:w="96" w:type="dxa"/>
              <w:left w:w="144" w:type="dxa"/>
              <w:bottom w:w="96" w:type="dxa"/>
              <w:right w:w="144" w:type="dxa"/>
            </w:tcMar>
            <w:vAlign w:val="top"/>
          </w:tcPr>
          <w:p w14:paraId="0FEF2684">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b/>
                <w:bCs/>
                <w:color w:val="auto"/>
                <w:spacing w:val="0"/>
                <w:kern w:val="0"/>
                <w:sz w:val="18"/>
                <w:szCs w:val="18"/>
                <w:bdr w:val="none" w:color="auto" w:sz="0" w:space="0"/>
                <w:lang w:val="en-US" w:eastAsia="zh-CN" w:bidi="ar"/>
              </w:rPr>
              <w:t>Others (Navi, BHIM, CRED)</w:t>
            </w:r>
          </w:p>
        </w:tc>
        <w:tc>
          <w:tcPr>
            <w:tcW w:w="0" w:type="auto"/>
            <w:shd w:val="clear" w:color="auto" w:fill="1B1B1B"/>
            <w:tcMar>
              <w:top w:w="96" w:type="dxa"/>
              <w:left w:w="144" w:type="dxa"/>
              <w:bottom w:w="96" w:type="dxa"/>
              <w:right w:w="144" w:type="dxa"/>
            </w:tcMar>
            <w:vAlign w:val="top"/>
          </w:tcPr>
          <w:p w14:paraId="740E66CD">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~12.36%</w:t>
            </w:r>
          </w:p>
        </w:tc>
        <w:tc>
          <w:tcPr>
            <w:tcW w:w="0" w:type="auto"/>
            <w:shd w:val="clear" w:color="auto" w:fill="1B1B1B"/>
            <w:tcMar>
              <w:top w:w="96" w:type="dxa"/>
              <w:left w:w="144" w:type="dxa"/>
              <w:bottom w:w="96" w:type="dxa"/>
              <w:right w:w="144" w:type="dxa"/>
            </w:tcMar>
            <w:vAlign w:val="top"/>
          </w:tcPr>
          <w:p w14:paraId="610D992D">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~10.75%</w:t>
            </w:r>
          </w:p>
        </w:tc>
        <w:tc>
          <w:tcPr>
            <w:tcW w:w="0" w:type="auto"/>
            <w:shd w:val="clear" w:color="auto" w:fill="1B1B1B"/>
            <w:tcMar>
              <w:top w:w="96" w:type="dxa"/>
              <w:left w:w="144" w:type="dxa"/>
              <w:bottom w:w="96" w:type="dxa"/>
              <w:right w:w="144" w:type="dxa"/>
            </w:tcMar>
            <w:vAlign w:val="top"/>
          </w:tcPr>
          <w:p w14:paraId="7E337CD7">
            <w:pPr>
              <w:keepNext w:val="0"/>
              <w:keepLines w:val="0"/>
              <w:widowControl/>
              <w:suppressLineNumbers w:val="0"/>
              <w:bidi w:val="0"/>
              <w:jc w:val="left"/>
              <w:textAlignment w:val="top"/>
              <w:rPr>
                <w:rFonts w:hint="default" w:ascii="Times New Roman" w:hAnsi="Times New Roman" w:eastAsia="sans-serif" w:cs="Times New Roman"/>
                <w:color w:val="auto"/>
                <w:spacing w:val="0"/>
                <w:sz w:val="18"/>
                <w:szCs w:val="18"/>
              </w:rPr>
            </w:pPr>
            <w:r>
              <w:rPr>
                <w:rFonts w:hint="default" w:ascii="Times New Roman" w:hAnsi="Times New Roman" w:eastAsia="sans-serif" w:cs="Times New Roman"/>
                <w:color w:val="auto"/>
                <w:spacing w:val="0"/>
                <w:kern w:val="0"/>
                <w:sz w:val="18"/>
                <w:szCs w:val="18"/>
                <w:bdr w:val="none" w:color="auto" w:sz="0" w:space="0"/>
                <w:lang w:val="en-US" w:eastAsia="zh-CN" w:bidi="ar"/>
              </w:rPr>
              <w:t>Fragmented</w:t>
            </w:r>
          </w:p>
        </w:tc>
        <w:tc>
          <w:tcPr>
            <w:tcW w:w="0" w:type="auto"/>
            <w:shd w:val="clear" w:color="auto" w:fill="1B1B1B"/>
            <w:tcMar>
              <w:top w:w="96" w:type="dxa"/>
              <w:left w:w="144" w:type="dxa"/>
              <w:bottom w:w="96" w:type="dxa"/>
              <w:right w:w="144" w:type="dxa"/>
            </w:tcMar>
            <w:vAlign w:val="top"/>
          </w:tcPr>
          <w:p w14:paraId="290B108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18"/>
                <w:szCs w:val="18"/>
              </w:rPr>
              <w:t xml:space="preserve">Fragmented </w:t>
            </w:r>
          </w:p>
        </w:tc>
      </w:tr>
    </w:tbl>
    <w:p w14:paraId="3D6CD9DE">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ans-serif" w:cs="Times New Roman"/>
          <w:color w:val="auto"/>
          <w:spacing w:val="0"/>
          <w:kern w:val="0"/>
          <w:sz w:val="20"/>
          <w:szCs w:val="20"/>
          <w:bdr w:val="none" w:color="auto" w:sz="0" w:space="0"/>
          <w:lang w:val="en-US" w:eastAsia="zh-CN" w:bidi="ar"/>
        </w:rPr>
        <w:t>  </w:t>
      </w:r>
    </w:p>
    <w:p w14:paraId="34758F7D">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Jurisdictional Extremism: Innocent Account Freezes and Judicial Deficits</w:t>
      </w:r>
    </w:p>
    <w:p w14:paraId="13AD269D">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systemic risks of the UPI framework extend beyond corporate tracking into direct legal and financial vulnerability for ordinary citizens. The speed and multi-layered design of the digital system have made it a highly efficient conduit for laundering illicit funds through "money mule" networks. When cybercrime cells investigate online financial fraud, they trace the flow of stolen money across multiple layers of bank accounts. However, the automatic, heavy-handed enforcement mechanisms utilized by law enforcement often target innocent third parties.   </w:t>
      </w:r>
    </w:p>
    <w:p w14:paraId="53C7624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When an online financial scam is reported via the 1930 helpline or the National Cyber Crime Reporting Portal, cyber police divisions issue direct instructions to commercial banks to freeze any account that has interacted with the compromised fund trail. Because illicit money is rapidly fragmented and transferred across dozens of accounts—often through routine, legitimate commercial transactions—innocent merchants, fruit vendors, day laborers, and students unknowingly receive a tiny fraction of these disputed funds.   </w:t>
      </w:r>
    </w:p>
    <w:p w14:paraId="5236151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process triggers a severe enforcement failure:</w:t>
      </w:r>
    </w:p>
    <w:p w14:paraId="51139192">
      <w:pPr>
        <w:keepNext w:val="0"/>
        <w:keepLines w:val="0"/>
        <w:widowControl/>
        <w:numPr>
          <w:ilvl w:val="0"/>
          <w:numId w:val="3"/>
        </w:numPr>
        <w:suppressLineNumbers w:val="0"/>
        <w:spacing w:before="0" w:beforeAutospacing="0" w:after="0" w:afterAutospacing="0"/>
        <w:ind w:left="0" w:right="0" w:hanging="360"/>
        <w:rPr>
          <w:rFonts w:hint="default" w:ascii="Times New Roman" w:hAnsi="Times New Roman" w:cs="Times New Roman"/>
          <w:color w:val="auto"/>
        </w:rPr>
      </w:pPr>
    </w:p>
    <w:p w14:paraId="692736E1">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Total Account Freezes for Micro-Amounts:</w:t>
      </w:r>
      <w:r>
        <w:rPr>
          <w:rFonts w:hint="default" w:ascii="Times New Roman" w:hAnsi="Times New Roman" w:eastAsia="sans-serif" w:cs="Times New Roman"/>
          <w:color w:val="auto"/>
          <w:spacing w:val="0"/>
          <w:sz w:val="20"/>
          <w:szCs w:val="20"/>
        </w:rPr>
        <w:t xml:space="preserve"> Although legal guidelines specify that banks should only place a "lien" on the exact disputed amount, banks almost always comply with police directives by freezing the entire bank account, blocking all withdrawals and debit transactions. An innocent account holder can find their entire life savings frozen over a disputed transaction of as little as ₹2.   </w:t>
      </w:r>
    </w:p>
    <w:p w14:paraId="21387E55">
      <w:pPr>
        <w:keepNext w:val="0"/>
        <w:keepLines w:val="0"/>
        <w:widowControl/>
        <w:numPr>
          <w:ilvl w:val="0"/>
          <w:numId w:val="3"/>
        </w:numPr>
        <w:suppressLineNumbers w:val="0"/>
        <w:spacing w:before="0" w:beforeAutospacing="0" w:after="0" w:afterAutospacing="0"/>
        <w:ind w:left="0" w:right="0" w:hanging="360"/>
        <w:rPr>
          <w:rFonts w:hint="default" w:ascii="Times New Roman" w:hAnsi="Times New Roman" w:cs="Times New Roman"/>
          <w:color w:val="auto"/>
        </w:rPr>
      </w:pPr>
    </w:p>
    <w:p w14:paraId="1D660945">
      <w:pPr>
        <w:keepNext w:val="0"/>
        <w:keepLines w:val="0"/>
        <w:widowControl/>
        <w:numPr>
          <w:ilvl w:val="0"/>
          <w:numId w:val="3"/>
        </w:numPr>
        <w:suppressLineNumbers w:val="0"/>
        <w:spacing w:before="0" w:beforeAutospacing="0" w:after="0" w:afterAutospacing="0"/>
        <w:ind w:left="0" w:right="0" w:hanging="360"/>
        <w:rPr>
          <w:rFonts w:hint="default" w:ascii="Times New Roman" w:hAnsi="Times New Roman" w:cs="Times New Roman"/>
          <w:color w:val="auto"/>
        </w:rPr>
      </w:pPr>
    </w:p>
    <w:p w14:paraId="2E7756A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Absence of Prior Notification:</w:t>
      </w:r>
      <w:r>
        <w:rPr>
          <w:rFonts w:hint="default" w:ascii="Times New Roman" w:hAnsi="Times New Roman" w:eastAsia="sans-serif" w:cs="Times New Roman"/>
          <w:color w:val="auto"/>
          <w:spacing w:val="0"/>
          <w:sz w:val="20"/>
          <w:szCs w:val="20"/>
        </w:rPr>
        <w:t xml:space="preserve"> Accounts are blocked immediately without any prior warning, opportunity for explanation, or administrative due process, leaving citizens financially paralyzed in their daily lives.   </w:t>
      </w:r>
    </w:p>
    <w:p w14:paraId="3B50108C">
      <w:pPr>
        <w:keepNext w:val="0"/>
        <w:keepLines w:val="0"/>
        <w:widowControl/>
        <w:numPr>
          <w:ilvl w:val="0"/>
          <w:numId w:val="3"/>
        </w:numPr>
        <w:suppressLineNumbers w:val="0"/>
        <w:spacing w:before="0" w:beforeAutospacing="0" w:after="0" w:afterAutospacing="0"/>
        <w:ind w:left="0" w:right="0" w:hanging="360"/>
        <w:rPr>
          <w:rFonts w:hint="default" w:ascii="Times New Roman" w:hAnsi="Times New Roman" w:cs="Times New Roman"/>
          <w:color w:val="auto"/>
        </w:rPr>
      </w:pPr>
    </w:p>
    <w:p w14:paraId="35BC7459">
      <w:pPr>
        <w:keepNext w:val="0"/>
        <w:keepLines w:val="0"/>
        <w:widowControl/>
        <w:numPr>
          <w:ilvl w:val="0"/>
          <w:numId w:val="3"/>
        </w:numPr>
        <w:suppressLineNumbers w:val="0"/>
        <w:spacing w:before="0" w:beforeAutospacing="0" w:after="0" w:afterAutospacing="0"/>
        <w:ind w:left="0" w:right="0" w:hanging="360"/>
        <w:rPr>
          <w:rFonts w:hint="default" w:ascii="Times New Roman" w:hAnsi="Times New Roman" w:cs="Times New Roman"/>
          <w:color w:val="auto"/>
        </w:rPr>
      </w:pPr>
    </w:p>
    <w:p w14:paraId="3A80122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Extremes of Jurisdictional Harassment:</w:t>
      </w:r>
      <w:r>
        <w:rPr>
          <w:rFonts w:hint="default" w:ascii="Times New Roman" w:hAnsi="Times New Roman" w:eastAsia="sans-serif" w:cs="Times New Roman"/>
          <w:color w:val="auto"/>
          <w:spacing w:val="0"/>
          <w:sz w:val="20"/>
          <w:szCs w:val="20"/>
        </w:rPr>
        <w:t xml:space="preserve"> Because cyber investigations frequently span across multiple states, an innocent account holder in one state (e.g., Kerala) may have their account frozen by a police department in another state (e.g., Gujarat or Punjab).   </w:t>
      </w:r>
    </w:p>
    <w:p w14:paraId="31C06342">
      <w:pPr>
        <w:keepNext w:val="0"/>
        <w:keepLines w:val="0"/>
        <w:widowControl/>
        <w:numPr>
          <w:ilvl w:val="0"/>
          <w:numId w:val="3"/>
        </w:numPr>
        <w:suppressLineNumbers w:val="0"/>
        <w:spacing w:before="0" w:beforeAutospacing="0" w:after="0" w:afterAutospacing="0"/>
        <w:ind w:left="0" w:right="0" w:hanging="360"/>
        <w:rPr>
          <w:rFonts w:hint="default" w:ascii="Times New Roman" w:hAnsi="Times New Roman" w:cs="Times New Roman"/>
          <w:color w:val="auto"/>
        </w:rPr>
      </w:pPr>
    </w:p>
    <w:p w14:paraId="30D3EFE8">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Resolving a bank freeze is a complex, time-consuming process. Innocent victims must locate the specific cyber cell in a distant state, hire out-of-state legal counsel, and submit extensive proof of transaction legitimacy just to secure a No Objection Certificate (NOC). This structural flaw shifts the burden of proof entirely onto the citizen, establishing a "guilty until proven innocent" regime that causes deep financial and psychological distress.   </w:t>
      </w:r>
    </w:p>
    <w:p w14:paraId="49B8FC14">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Systemic Latency, Peak-Hour Throttling, and Core Infrastructure Outages</w:t>
      </w:r>
    </w:p>
    <w:p w14:paraId="02BFEFF9">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starvation of funds within the digital payments ecosystem has directly translated into infrastructure decay. Because commercial banks must bear the processing costs of billions of free, low-value digital transactions without earning direct revenue, they have under-invested in upgrading their core banking systems to cope with the exponential growth in transaction volume. This infrastructure gap has resulted in recurring, systemic network outages.   </w:t>
      </w:r>
    </w:p>
    <w:p w14:paraId="7EDC8475">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vulnerability of the core UPI framework was exposed during a series of system disruptions in early 2025:</w:t>
      </w:r>
    </w:p>
    <w:p w14:paraId="401A25DD">
      <w:pPr>
        <w:keepNext w:val="0"/>
        <w:keepLines w:val="0"/>
        <w:widowControl/>
        <w:numPr>
          <w:ilvl w:val="0"/>
          <w:numId w:val="4"/>
        </w:numPr>
        <w:suppressLineNumbers w:val="0"/>
        <w:spacing w:before="0" w:beforeAutospacing="0" w:after="0" w:afterAutospacing="0"/>
        <w:ind w:left="0" w:right="0" w:hanging="360"/>
        <w:rPr>
          <w:rFonts w:hint="default" w:ascii="Times New Roman" w:hAnsi="Times New Roman" w:cs="Times New Roman"/>
          <w:color w:val="auto"/>
        </w:rPr>
      </w:pPr>
    </w:p>
    <w:p w14:paraId="61C0D6CE">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March and April 2025 Outages:</w:t>
      </w:r>
      <w:r>
        <w:rPr>
          <w:rFonts w:hint="default" w:ascii="Times New Roman" w:hAnsi="Times New Roman" w:eastAsia="sans-serif" w:cs="Times New Roman"/>
          <w:color w:val="auto"/>
          <w:spacing w:val="0"/>
          <w:sz w:val="20"/>
          <w:szCs w:val="20"/>
        </w:rPr>
        <w:t xml:space="preserve"> The UPI network suffered multiple widespread failures that left millions of users unable to complete basic retail transactions.   </w:t>
      </w:r>
    </w:p>
    <w:p w14:paraId="375B2100">
      <w:pPr>
        <w:keepNext w:val="0"/>
        <w:keepLines w:val="0"/>
        <w:widowControl/>
        <w:numPr>
          <w:ilvl w:val="0"/>
          <w:numId w:val="4"/>
        </w:numPr>
        <w:suppressLineNumbers w:val="0"/>
        <w:spacing w:before="0" w:beforeAutospacing="0" w:after="0" w:afterAutospacing="0"/>
        <w:ind w:left="0" w:right="0" w:hanging="360"/>
        <w:rPr>
          <w:rFonts w:hint="default" w:ascii="Times New Roman" w:hAnsi="Times New Roman" w:cs="Times New Roman"/>
          <w:color w:val="auto"/>
        </w:rPr>
      </w:pPr>
    </w:p>
    <w:p w14:paraId="7C2AEEEC">
      <w:pPr>
        <w:keepNext w:val="0"/>
        <w:keepLines w:val="0"/>
        <w:widowControl/>
        <w:numPr>
          <w:ilvl w:val="0"/>
          <w:numId w:val="4"/>
        </w:numPr>
        <w:suppressLineNumbers w:val="0"/>
        <w:spacing w:before="0" w:beforeAutospacing="0" w:after="0" w:afterAutospacing="0"/>
        <w:ind w:left="0" w:right="0" w:hanging="360"/>
        <w:rPr>
          <w:rFonts w:hint="default" w:ascii="Times New Roman" w:hAnsi="Times New Roman" w:cs="Times New Roman"/>
          <w:color w:val="auto"/>
        </w:rPr>
      </w:pPr>
    </w:p>
    <w:p w14:paraId="7E66809C">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The April 12, 2025 Failure:</w:t>
      </w:r>
      <w:r>
        <w:rPr>
          <w:rFonts w:hint="default" w:ascii="Times New Roman" w:hAnsi="Times New Roman" w:eastAsia="sans-serif" w:cs="Times New Roman"/>
          <w:color w:val="auto"/>
          <w:spacing w:val="0"/>
          <w:sz w:val="20"/>
          <w:szCs w:val="20"/>
        </w:rPr>
        <w:t xml:space="preserve"> This event was recorded as the longest UPI disruption in recent memory. The crash was triggered by an unexpected surge in "Check Transaction Status" API calls, exposing a flaw in the distributed architecture where unrestricted status checks effectively acted as a self-inflicted denial-of-service (DoS) attack.   </w:t>
      </w:r>
    </w:p>
    <w:p w14:paraId="5338E798">
      <w:pPr>
        <w:keepNext w:val="0"/>
        <w:keepLines w:val="0"/>
        <w:widowControl/>
        <w:numPr>
          <w:ilvl w:val="0"/>
          <w:numId w:val="4"/>
        </w:numPr>
        <w:suppressLineNumbers w:val="0"/>
        <w:spacing w:before="0" w:beforeAutospacing="0" w:after="0" w:afterAutospacing="0"/>
        <w:ind w:left="0" w:right="0" w:hanging="360"/>
        <w:rPr>
          <w:rFonts w:hint="default" w:ascii="Times New Roman" w:hAnsi="Times New Roman" w:cs="Times New Roman"/>
          <w:color w:val="auto"/>
        </w:rPr>
      </w:pPr>
    </w:p>
    <w:p w14:paraId="69E13411">
      <w:pPr>
        <w:keepNext w:val="0"/>
        <w:keepLines w:val="0"/>
        <w:widowControl/>
        <w:numPr>
          <w:ilvl w:val="0"/>
          <w:numId w:val="4"/>
        </w:numPr>
        <w:suppressLineNumbers w:val="0"/>
        <w:spacing w:before="0" w:beforeAutospacing="0" w:after="0" w:afterAutospacing="0"/>
        <w:ind w:left="0" w:right="0" w:hanging="360"/>
        <w:rPr>
          <w:rFonts w:hint="default" w:ascii="Times New Roman" w:hAnsi="Times New Roman" w:cs="Times New Roman"/>
          <w:color w:val="auto"/>
        </w:rPr>
      </w:pPr>
    </w:p>
    <w:p w14:paraId="429A84E4">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The May 12, 2025 Outage:</w:t>
      </w:r>
      <w:r>
        <w:rPr>
          <w:rFonts w:hint="default" w:ascii="Times New Roman" w:hAnsi="Times New Roman" w:eastAsia="sans-serif" w:cs="Times New Roman"/>
          <w:color w:val="auto"/>
          <w:spacing w:val="0"/>
          <w:sz w:val="20"/>
          <w:szCs w:val="20"/>
        </w:rPr>
        <w:t xml:space="preserve"> A major server outage lasting over five hours occurred when a newly deployed data center failed to handle a sudden traffic spike, overwhelming bank backend systems.   </w:t>
      </w:r>
    </w:p>
    <w:p w14:paraId="56C72AE7">
      <w:pPr>
        <w:keepNext w:val="0"/>
        <w:keepLines w:val="0"/>
        <w:widowControl/>
        <w:numPr>
          <w:ilvl w:val="0"/>
          <w:numId w:val="4"/>
        </w:numPr>
        <w:suppressLineNumbers w:val="0"/>
        <w:spacing w:before="0" w:beforeAutospacing="0" w:after="0" w:afterAutospacing="0"/>
        <w:ind w:left="0" w:right="0" w:hanging="360"/>
        <w:rPr>
          <w:rFonts w:hint="default" w:ascii="Times New Roman" w:hAnsi="Times New Roman" w:cs="Times New Roman"/>
          <w:color w:val="auto"/>
        </w:rPr>
      </w:pPr>
    </w:p>
    <w:p w14:paraId="35094AA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These disruptions highlight a fundamental design flaw: the absence of an instant, real-time backup system within the national digital payment grid. If a single critical node in the distributed banking network fails, the entire transaction chain is paralyzed.   </w:t>
      </w:r>
    </w:p>
    <w:p w14:paraId="3AA6839A">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Furthermore, during peak usage hours (typically between 6:00 PM and 9:00 PM), bank servers experience severe traffic congestion. To protect their legacy mainframe systems from complete failure, commercial banks frequently engage in deliberate load-shedding and transaction throttling. Small-value micropayments are systematically queued, delayed, or declined first. This defensive throttling by banks is often misconstrued by the public as a localized app glitch, when it is actually a structural defense mechanism of an overloaded, under-funded banking infrastructure.   </w:t>
      </w:r>
    </w:p>
    <w:p w14:paraId="54AA3C82">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Social Exclusion, Demographic Stratification, and the Declining Velocity of Money</w:t>
      </w:r>
    </w:p>
    <w:p w14:paraId="4E7D186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aggressive political push toward a cashless economy is often framed as an engine of democratic financial inclusion. However, empirical studies on the ground show that this digital transition has intensified social and demographic divisions. Rather than serving as an equalizer, UPI has created barriers that exclude vulnerable segments of the population.</w:t>
      </w:r>
    </w:p>
    <w:p w14:paraId="0D45A457">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digital exclusion operates across multiple dimensions:</w:t>
      </w:r>
    </w:p>
    <w:p w14:paraId="35C79615">
      <w:pPr>
        <w:keepNext w:val="0"/>
        <w:keepLines w:val="0"/>
        <w:widowControl/>
        <w:numPr>
          <w:ilvl w:val="0"/>
          <w:numId w:val="5"/>
        </w:numPr>
        <w:suppressLineNumbers w:val="0"/>
        <w:spacing w:before="0" w:beforeAutospacing="0" w:after="0" w:afterAutospacing="0"/>
        <w:ind w:left="0" w:right="0" w:hanging="360"/>
        <w:rPr>
          <w:rFonts w:hint="default" w:ascii="Times New Roman" w:hAnsi="Times New Roman" w:cs="Times New Roman"/>
          <w:color w:val="auto"/>
        </w:rPr>
      </w:pPr>
    </w:p>
    <w:p w14:paraId="186DFAB3">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Geographic Connectivity Divides:</w:t>
      </w:r>
      <w:r>
        <w:rPr>
          <w:rFonts w:hint="default" w:ascii="Times New Roman" w:hAnsi="Times New Roman" w:eastAsia="sans-serif" w:cs="Times New Roman"/>
          <w:color w:val="auto"/>
          <w:spacing w:val="0"/>
          <w:sz w:val="20"/>
          <w:szCs w:val="20"/>
        </w:rPr>
        <w:t xml:space="preserve"> While urban centers enjoy high-speed optical networks, rural and remote areas remain constrained by weak mobile signals and unstable bandwidth. Because UPI requires real-time internet connectivity to authorize transactions, high network latency in rural regions results in frequent transaction failures. This unreliability undermines the confidence of rural merchants, forcing them to remain reliant on physical cash.   </w:t>
      </w:r>
    </w:p>
    <w:p w14:paraId="55518A58">
      <w:pPr>
        <w:keepNext w:val="0"/>
        <w:keepLines w:val="0"/>
        <w:widowControl/>
        <w:numPr>
          <w:ilvl w:val="0"/>
          <w:numId w:val="5"/>
        </w:numPr>
        <w:suppressLineNumbers w:val="0"/>
        <w:spacing w:before="0" w:beforeAutospacing="0" w:after="0" w:afterAutospacing="0"/>
        <w:ind w:left="0" w:right="0" w:hanging="360"/>
        <w:rPr>
          <w:rFonts w:hint="default" w:ascii="Times New Roman" w:hAnsi="Times New Roman" w:cs="Times New Roman"/>
          <w:color w:val="auto"/>
        </w:rPr>
      </w:pPr>
    </w:p>
    <w:p w14:paraId="6D232520">
      <w:pPr>
        <w:keepNext w:val="0"/>
        <w:keepLines w:val="0"/>
        <w:widowControl/>
        <w:numPr>
          <w:ilvl w:val="0"/>
          <w:numId w:val="5"/>
        </w:numPr>
        <w:suppressLineNumbers w:val="0"/>
        <w:spacing w:before="0" w:beforeAutospacing="0" w:after="0" w:afterAutospacing="0"/>
        <w:ind w:left="0" w:right="0" w:hanging="360"/>
        <w:rPr>
          <w:rFonts w:hint="default" w:ascii="Times New Roman" w:hAnsi="Times New Roman" w:cs="Times New Roman"/>
          <w:color w:val="auto"/>
        </w:rPr>
      </w:pPr>
    </w:p>
    <w:p w14:paraId="7526F33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Age and Literacy Barriers:</w:t>
      </w:r>
      <w:r>
        <w:rPr>
          <w:rFonts w:hint="default" w:ascii="Times New Roman" w:hAnsi="Times New Roman" w:eastAsia="sans-serif" w:cs="Times New Roman"/>
          <w:color w:val="auto"/>
          <w:spacing w:val="0"/>
          <w:sz w:val="20"/>
          <w:szCs w:val="20"/>
        </w:rPr>
        <w:t xml:space="preserve"> The interface design of digital payment applications remains complex for elderly citizens and those with low literacy levels. Language barriers further compound this problem, as most advanced security alerts and interface options are not fully accessible in local dialects. This complexity forces older or less-literate individuals to depend on younger family members or third-party intermediaries to execute basic transactions, exposing them to social engineering scams and financial exploitation.   </w:t>
      </w:r>
    </w:p>
    <w:p w14:paraId="7EC3702A">
      <w:pPr>
        <w:keepNext w:val="0"/>
        <w:keepLines w:val="0"/>
        <w:widowControl/>
        <w:numPr>
          <w:ilvl w:val="0"/>
          <w:numId w:val="5"/>
        </w:numPr>
        <w:suppressLineNumbers w:val="0"/>
        <w:spacing w:before="0" w:beforeAutospacing="0" w:after="0" w:afterAutospacing="0"/>
        <w:ind w:left="0" w:right="0" w:hanging="360"/>
        <w:rPr>
          <w:rFonts w:hint="default" w:ascii="Times New Roman" w:hAnsi="Times New Roman" w:cs="Times New Roman"/>
          <w:color w:val="auto"/>
        </w:rPr>
      </w:pPr>
    </w:p>
    <w:p w14:paraId="02118C02">
      <w:pPr>
        <w:keepNext w:val="0"/>
        <w:keepLines w:val="0"/>
        <w:widowControl/>
        <w:numPr>
          <w:ilvl w:val="0"/>
          <w:numId w:val="5"/>
        </w:numPr>
        <w:suppressLineNumbers w:val="0"/>
        <w:spacing w:before="0" w:beforeAutospacing="0" w:after="0" w:afterAutospacing="0"/>
        <w:ind w:left="0" w:right="0" w:hanging="360"/>
        <w:rPr>
          <w:rFonts w:hint="default" w:ascii="Times New Roman" w:hAnsi="Times New Roman" w:cs="Times New Roman"/>
          <w:color w:val="auto"/>
        </w:rPr>
      </w:pPr>
    </w:p>
    <w:p w14:paraId="2AF7D90B">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b/>
          <w:bCs/>
          <w:color w:val="auto"/>
          <w:spacing w:val="0"/>
          <w:sz w:val="20"/>
          <w:szCs w:val="20"/>
        </w:rPr>
        <w:t>Gendered Autonomy Discrepancies:</w:t>
      </w:r>
      <w:r>
        <w:rPr>
          <w:rFonts w:hint="default" w:ascii="Times New Roman" w:hAnsi="Times New Roman" w:eastAsia="sans-serif" w:cs="Times New Roman"/>
          <w:color w:val="auto"/>
          <w:spacing w:val="0"/>
          <w:sz w:val="20"/>
          <w:szCs w:val="20"/>
        </w:rPr>
        <w:t xml:space="preserve"> The control of digital financial tools remains deeply unequal. Even in major metropolitan cities, men and younger family members continue to dominate and control digital household finances. Women, particularly mothers and older female relatives, are often late to adopt digital payment platforms—many only setting up accounts in 2026. This delay is driven by a domestic assumption that women are more vulnerable to online fraud, which restricts their access to digital wallets and reinforces traditional dependence on male family members for basic financial transactions.   </w:t>
      </w:r>
    </w:p>
    <w:p w14:paraId="6C0B58E4">
      <w:pPr>
        <w:keepNext w:val="0"/>
        <w:keepLines w:val="0"/>
        <w:widowControl/>
        <w:numPr>
          <w:ilvl w:val="0"/>
          <w:numId w:val="5"/>
        </w:numPr>
        <w:suppressLineNumbers w:val="0"/>
        <w:spacing w:before="0" w:beforeAutospacing="0" w:after="0" w:afterAutospacing="0"/>
        <w:ind w:left="0" w:right="0" w:hanging="360"/>
        <w:rPr>
          <w:rFonts w:hint="default" w:ascii="Times New Roman" w:hAnsi="Times New Roman" w:cs="Times New Roman"/>
          <w:color w:val="auto"/>
        </w:rPr>
      </w:pPr>
    </w:p>
    <w:p w14:paraId="6B1E5FF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By ignoring these deep structural divides, the rapid push to eliminate physical cash risks disenfranchising millions of citizens who lack the technology, digital literacy, or social autonomy to participate in a cashless economy.</w:t>
      </w:r>
    </w:p>
    <w:p w14:paraId="2327DC97">
      <w:pPr>
        <w:pStyle w:val="3"/>
        <w:keepNext w:val="0"/>
        <w:keepLines w:val="0"/>
        <w:widowControl/>
        <w:suppressLineNumbers w:val="0"/>
        <w:rPr>
          <w:rFonts w:hint="default" w:ascii="Times New Roman" w:hAnsi="Times New Roman" w:eastAsia="sans-serif" w:cs="Times New Roman"/>
          <w:color w:val="auto"/>
          <w:spacing w:val="0"/>
          <w:sz w:val="28"/>
          <w:szCs w:val="28"/>
        </w:rPr>
      </w:pPr>
      <w:r>
        <w:rPr>
          <w:rFonts w:hint="default" w:ascii="Times New Roman" w:hAnsi="Times New Roman" w:eastAsia="sans-serif" w:cs="Times New Roman"/>
          <w:color w:val="auto"/>
          <w:spacing w:val="0"/>
          <w:sz w:val="28"/>
          <w:szCs w:val="28"/>
          <w:bdr w:val="none" w:color="auto" w:sz="0" w:space="0"/>
        </w:rPr>
        <w:t>Nuanced Policy Conclusions</w:t>
      </w:r>
    </w:p>
    <w:p w14:paraId="777ADD8A">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strategic analysis of India's digital payments infrastructure demonstrates that the current Unified Payments Interface (UPI) model suffers from severe systemic contradictions. The popular narrative celebrating UPI as an unmitigated success overlooks critical economic, technological, and social liabilities. When evaluated through a rigorous policy framework, the system resembles an unstable public utility operating on a non-viable economic foundation.</w:t>
      </w:r>
    </w:p>
    <w:p w14:paraId="784D2E2A">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The core vulnerability is economic. The mandate of a zero-MDR regime has stripped the payment network of the organic revenue needed to sustain its operations. By starving commercial banks and fintech companies of transaction-based fees, the policy has created a structural deficit. This deficit is exacerbated by collapsing government subsidies, which now cover only a small fraction of real operational costs.</w:t>
      </w:r>
    </w:p>
    <w:p w14:paraId="229D774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To survive under this zero-revenue model, banks have been forced to under-invest in infrastructure, resulting in recurring server outages, delayed payments, and deliberate transaction throttling during peak hours. Furthermore, the entire system is locked in an economic deadlock: it cannot introduce fees without triggering a massive user migration back to cash, yet it cannot remain free without compromising the security, reliability, and expansion of the payment grid.</w:t>
      </w:r>
    </w:p>
    <w:p w14:paraId="5B6DD57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Beyond these economic issues, the transition to UPI has created significant privacy and security concerns. The network operates as a financial panopticon, collecting detailed transaction history, real-time location data, and social graphs that are harvested by private, foreign-funded intermediaries.</w:t>
      </w:r>
    </w:p>
    <w:p w14:paraId="05264160">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This continuous surveillance is accompanied by severe enforcement failures. Under the guise of combatting cybercrime, law enforcement agencies routinely freeze the entire bank accounts of innocent citizens over minor, multi-layered transaction trails, bypassing basic administrative due process.</w:t>
      </w:r>
    </w:p>
    <w:p w14:paraId="0C4E95B6">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Concurrently, the irreversible, high-speed nature of UPI has democratized and accelerated financial fraud. Scam cases and billions in losses continue to rise, while local police forces remain unable to investigate due to a massive forensic deficit and complex jurisdictional barriers.</w:t>
      </w:r>
    </w:p>
    <w:p w14:paraId="7B567732">
      <w:pPr>
        <w:pStyle w:val="6"/>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eastAsia="sans-serif" w:cs="Times New Roman"/>
          <w:color w:val="auto"/>
          <w:spacing w:val="0"/>
          <w:sz w:val="20"/>
          <w:szCs w:val="20"/>
        </w:rPr>
        <w:t>Finally, by ignoring persistent divides in internet connectivity, digital literacy, and gender autonomy, the aggressive push to eliminate physical cash risks excluding millions of rural, elderly, and female citizens. Far from being a flawless payment system, UPI is an under-funded public infrastructure marked by market concentration, security vulnerabilities, and severe legal risks for its users.</w:t>
      </w:r>
    </w:p>
    <w:p w14:paraId="42A31F5D">
      <w:pPr>
        <w:rPr>
          <w:rFonts w:hint="default" w:ascii="Times New Roman" w:hAnsi="Times New Roman" w:cs="Times New Roman"/>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Anything Script_1"/>
    <w:panose1 w:val="00000000000000000000"/>
    <w:charset w:val="00"/>
    <w:family w:val="auto"/>
    <w:pitch w:val="default"/>
    <w:sig w:usb0="00000000" w:usb1="00000000" w:usb2="00000000" w:usb3="00000000" w:csb0="00000000" w:csb1="00000000"/>
  </w:font>
  <w:font w:name="Anything Script_1">
    <w:panose1 w:val="02000500000000000000"/>
    <w:charset w:val="00"/>
    <w:family w:val="auto"/>
    <w:pitch w:val="default"/>
    <w:sig w:usb0="00000003" w:usb1="10000000" w:usb2="00000000" w:usb3="00000000" w:csb0="00000001" w:csb1="00000000"/>
  </w:font>
  <w:font w:name="KaTeX_Math">
    <w:altName w:val="Anything Script_1"/>
    <w:panose1 w:val="00000000000000000000"/>
    <w:charset w:val="00"/>
    <w:family w:val="auto"/>
    <w:pitch w:val="default"/>
    <w:sig w:usb0="00000000" w:usb1="00000000" w:usb2="00000000" w:usb3="00000000" w:csb0="00000000" w:csb1="00000000"/>
  </w:font>
  <w:font w:name="Valiant Times LC">
    <w:panose1 w:val="00000000000000000000"/>
    <w:charset w:val="00"/>
    <w:family w:val="auto"/>
    <w:pitch w:val="default"/>
    <w:sig w:usb0="80000007"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8451C"/>
    <w:multiLevelType w:val="multilevel"/>
    <w:tmpl w:val="F7D84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29370EBD"/>
    <w:multiLevelType w:val="multilevel"/>
    <w:tmpl w:val="29370E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2E11A83"/>
    <w:multiLevelType w:val="multilevel"/>
    <w:tmpl w:val="52E11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69BC718"/>
    <w:multiLevelType w:val="multilevel"/>
    <w:tmpl w:val="569BC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6459E658"/>
    <w:multiLevelType w:val="multilevel"/>
    <w:tmpl w:val="6459E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981A27"/>
    <w:rsid w:val="6C981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2026-05-19T13:05:00Z</dcterms:created>
  <dc:creator>91981</dc:creator>
  <cp:lastModifiedBy>hardik chokhani</cp:lastModifiedBy>
  <dcterms:modified xsi:type="dcterms:W3CDTF">2026-05-19T13:07:16Z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4EFA1BCB6507454A9A5220613067FFA4_11</vt:lpwstr>
  </property>
  <property fmtid="{D5CDD505-2E9C-101B-9397-08002B2CF9AE}" pid="4" name="KSOTemplateDocerSaveRecord">
    <vt:lpwstr>eyJoZGlkIjoiNjU5NGRiMTQ1NmM0MTYxNTk1NWM1YjFjNzg3YmRlYTgiLCJ1c2VySWQiOiI1Njc0MDI1OTQ3MzAifQ==</vt:lpwstr>
  </property>
</Properties>
</file>