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b/>
          <w:color w:val="1E3A8A"/>
          <w:sz w:val="44"/>
        </w:rPr>
        <w:t>DMOC: Comprehensive Platform Report &amp; Complete Operating Manual</w:t>
      </w:r>
    </w:p>
    <w:p>
      <w:pPr>
        <w:spacing w:before="40" w:after="280"/>
      </w:pPr>
      <w:r>
        <w:rPr>
          <w:color w:val="4F46E5"/>
          <w:sz w:val="24"/>
        </w:rPr>
        <w:t>Decision Marketing Operating System • Enterprise Multi-Store Modeling, Inventory Analytics &amp; Visual Workflow Engine</w:t>
      </w:r>
    </w:p>
    <w:tbl>
      <w:tblPr>
        <w:tblW w:type="auto" w:w="0"/>
        <w:jc w:val="center"/>
        <w:tblLook w:firstColumn="1" w:firstRow="1" w:lastColumn="0" w:lastRow="0" w:noHBand="0" w:noVBand="1" w:val="04A0"/>
      </w:tblPr>
      <w:tblGrid>
        <w:gridCol w:w="5040"/>
        <w:gridCol w:w="5040"/>
      </w:tblGrid>
      <w:tr>
        <w:tc>
          <w:tcPr>
            <w:tcW w:type="dxa" w:w="3168"/>
            <w:shd w:fill="F1F5F9"/>
            <w:tcMar>
              <w:top w:w="70" w:type="dxa"/>
              <w:bottom w:w="70" w:type="dxa"/>
              <w:left w:w="100" w:type="dxa"/>
              <w:right w:w="100" w:type="dxa"/>
            </w:tcMar>
          </w:tcPr>
          <w:p>
            <w:pPr>
              <w:spacing w:after="20"/>
            </w:pPr>
            <w:r>
              <w:rPr>
                <w:b/>
                <w:color w:val="1E293B"/>
                <w:sz w:val="18"/>
              </w:rPr>
              <w:t>Document Version</w:t>
            </w:r>
          </w:p>
        </w:tc>
        <w:tc>
          <w:tcPr>
            <w:tcW w:type="dxa" w:w="6192"/>
            <w:shd w:fill="FFFFFF"/>
            <w:tcMar>
              <w:top w:w="70" w:type="dxa"/>
              <w:bottom w:w="70" w:type="dxa"/>
              <w:left w:w="100" w:type="dxa"/>
              <w:right w:w="100" w:type="dxa"/>
            </w:tcMar>
          </w:tcPr>
          <w:p>
            <w:pPr>
              <w:spacing w:after="20"/>
            </w:pPr>
            <w:r>
              <w:rPr>
                <w:color w:val="475569"/>
                <w:sz w:val="18"/>
              </w:rPr>
              <w:t>3.0.0 (Comprehensive Technical &amp; Operational Standard)</w:t>
            </w:r>
          </w:p>
        </w:tc>
      </w:tr>
      <w:tr>
        <w:tc>
          <w:tcPr>
            <w:tcW w:type="dxa" w:w="3168"/>
            <w:shd w:fill="F1F5F9"/>
            <w:tcMar>
              <w:top w:w="70" w:type="dxa"/>
              <w:bottom w:w="70" w:type="dxa"/>
              <w:left w:w="100" w:type="dxa"/>
              <w:right w:w="100" w:type="dxa"/>
            </w:tcMar>
          </w:tcPr>
          <w:p>
            <w:pPr>
              <w:spacing w:after="20"/>
            </w:pPr>
            <w:r>
              <w:rPr>
                <w:b/>
                <w:color w:val="1E293B"/>
                <w:sz w:val="18"/>
              </w:rPr>
              <w:t>Official Classification</w:t>
            </w:r>
          </w:p>
        </w:tc>
        <w:tc>
          <w:tcPr>
            <w:tcW w:type="dxa" w:w="6192"/>
            <w:shd w:fill="FFFFFF"/>
            <w:tcMar>
              <w:top w:w="70" w:type="dxa"/>
              <w:bottom w:w="70" w:type="dxa"/>
              <w:left w:w="100" w:type="dxa"/>
              <w:right w:w="100" w:type="dxa"/>
            </w:tcMar>
          </w:tcPr>
          <w:p>
            <w:pPr>
              <w:spacing w:after="20"/>
            </w:pPr>
            <w:r>
              <w:rPr>
                <w:color w:val="475569"/>
                <w:sz w:val="18"/>
              </w:rPr>
              <w:t>Full System Architecture, Mathematical Foundations &amp; User Manual</w:t>
            </w:r>
          </w:p>
        </w:tc>
      </w:tr>
      <w:tr>
        <w:tc>
          <w:tcPr>
            <w:tcW w:type="dxa" w:w="3168"/>
            <w:shd w:fill="F1F5F9"/>
            <w:tcMar>
              <w:top w:w="70" w:type="dxa"/>
              <w:bottom w:w="70" w:type="dxa"/>
              <w:left w:w="100" w:type="dxa"/>
              <w:right w:w="100" w:type="dxa"/>
            </w:tcMar>
          </w:tcPr>
          <w:p>
            <w:pPr>
              <w:spacing w:after="20"/>
            </w:pPr>
            <w:r>
              <w:rPr>
                <w:b/>
                <w:color w:val="1E293B"/>
                <w:sz w:val="18"/>
              </w:rPr>
              <w:t>Platform Status</w:t>
            </w:r>
          </w:p>
        </w:tc>
        <w:tc>
          <w:tcPr>
            <w:tcW w:type="dxa" w:w="6192"/>
            <w:shd w:fill="FFFFFF"/>
            <w:tcMar>
              <w:top w:w="70" w:type="dxa"/>
              <w:bottom w:w="70" w:type="dxa"/>
              <w:left w:w="100" w:type="dxa"/>
              <w:right w:w="100" w:type="dxa"/>
            </w:tcMar>
          </w:tcPr>
          <w:p>
            <w:pPr>
              <w:spacing w:after="20"/>
            </w:pPr>
            <w:r>
              <w:rPr>
                <w:color w:val="475569"/>
                <w:sz w:val="18"/>
              </w:rPr>
              <w:t>Active, Validated, Production-Ready</w:t>
            </w:r>
          </w:p>
        </w:tc>
      </w:tr>
      <w:tr>
        <w:tc>
          <w:tcPr>
            <w:tcW w:type="dxa" w:w="3168"/>
            <w:shd w:fill="F1F5F9"/>
            <w:tcMar>
              <w:top w:w="70" w:type="dxa"/>
              <w:bottom w:w="70" w:type="dxa"/>
              <w:left w:w="100" w:type="dxa"/>
              <w:right w:w="100" w:type="dxa"/>
            </w:tcMar>
          </w:tcPr>
          <w:p>
            <w:pPr>
              <w:spacing w:after="20"/>
            </w:pPr>
            <w:r>
              <w:rPr>
                <w:b/>
                <w:color w:val="1E293B"/>
                <w:sz w:val="18"/>
              </w:rPr>
              <w:t>Target Audience</w:t>
            </w:r>
          </w:p>
        </w:tc>
        <w:tc>
          <w:tcPr>
            <w:tcW w:type="dxa" w:w="6192"/>
            <w:shd w:fill="FFFFFF"/>
            <w:tcMar>
              <w:top w:w="70" w:type="dxa"/>
              <w:bottom w:w="70" w:type="dxa"/>
              <w:left w:w="100" w:type="dxa"/>
              <w:right w:w="100" w:type="dxa"/>
            </w:tcMar>
          </w:tcPr>
          <w:p>
            <w:pPr>
              <w:spacing w:after="20"/>
            </w:pPr>
            <w:r>
              <w:rPr>
                <w:color w:val="475569"/>
                <w:sz w:val="18"/>
              </w:rPr>
              <w:t>Store Owners, Analysts, Decision Scientists, Enterprise Retailers, Engineers</w:t>
            </w:r>
          </w:p>
        </w:tc>
      </w:tr>
      <w:tr>
        <w:tc>
          <w:tcPr>
            <w:tcW w:type="dxa" w:w="3168"/>
            <w:shd w:fill="F1F5F9"/>
            <w:tcMar>
              <w:top w:w="70" w:type="dxa"/>
              <w:bottom w:w="70" w:type="dxa"/>
              <w:left w:w="100" w:type="dxa"/>
              <w:right w:w="100" w:type="dxa"/>
            </w:tcMar>
          </w:tcPr>
          <w:p>
            <w:pPr>
              <w:spacing w:after="20"/>
            </w:pPr>
            <w:r>
              <w:rPr>
                <w:b/>
                <w:color w:val="1E293B"/>
                <w:sz w:val="18"/>
              </w:rPr>
              <w:t>Repository URL</w:t>
            </w:r>
          </w:p>
        </w:tc>
        <w:tc>
          <w:tcPr>
            <w:tcW w:type="dxa" w:w="6192"/>
            <w:shd w:fill="FFFFFF"/>
            <w:tcMar>
              <w:top w:w="70" w:type="dxa"/>
              <w:bottom w:w="70" w:type="dxa"/>
              <w:left w:w="100" w:type="dxa"/>
              <w:right w:w="100" w:type="dxa"/>
            </w:tcMar>
          </w:tcPr>
          <w:p>
            <w:pPr>
              <w:spacing w:after="20"/>
            </w:pPr>
            <w:r>
              <w:rPr>
                <w:color w:val="475569"/>
                <w:sz w:val="18"/>
              </w:rPr>
              <w:t>https://github.com/hardik33217/DMOC.git (Branch: main)</w:t>
            </w:r>
          </w:p>
        </w:tc>
      </w:tr>
    </w:tbl>
    <w:p>
      <w:pPr>
        <w:spacing w:after="160"/>
      </w:pPr>
    </w:p>
    <w:p>
      <w:pPr>
        <w:keepNext/>
        <w:spacing w:before="200" w:after="120"/>
      </w:pPr>
      <w:r>
        <w:rPr>
          <w:rFonts w:ascii="Calibri" w:hAnsi="Calibri"/>
          <w:b/>
          <w:color w:val="1E3A8A"/>
          <w:sz w:val="34"/>
        </w:rPr>
        <w:t>1. Executive Summary &amp; Core Mission</w:t>
      </w:r>
    </w:p>
    <w:p>
      <w:pPr>
        <w:keepNext/>
        <w:spacing w:before="200" w:after="80"/>
      </w:pPr>
      <w:r>
        <w:rPr>
          <w:rFonts w:ascii="Calibri" w:hAnsi="Calibri"/>
          <w:b/>
          <w:color w:val="2563EB"/>
          <w:sz w:val="26"/>
        </w:rPr>
        <w:t>1.1 The Operational Crisis in Retail &amp; Store Decision-Making</w:t>
      </w:r>
    </w:p>
    <w:p>
      <w:pPr>
        <w:spacing w:before="0" w:after="100"/>
      </w:pPr>
      <w:r>
        <w:rPr>
          <w:rFonts w:ascii="Calibri" w:hAnsi="Calibri"/>
          <w:color w:val="1F2937"/>
          <w:sz w:val="20"/>
        </w:rPr>
        <w:t>Modern enterprise retail, pharmacy management, grocery commerce, and quick-delivery logistics operate under tight margins, fluctuating lead times, and intense demand volatility. Store owners and procurement officers face three critical challenges:</w:t>
      </w:r>
    </w:p>
    <w:p>
      <w:pPr>
        <w:pStyle w:val="ListBullet"/>
        <w:spacing w:before="20" w:after="60"/>
      </w:pPr>
      <w:r>
        <w:rPr>
          <w:rFonts w:ascii="Calibri" w:hAnsi="Calibri"/>
          <w:b/>
          <w:color w:val="111827"/>
          <w:sz w:val="19"/>
        </w:rPr>
        <w:t xml:space="preserve">1. Intuition-Driven Procurement Errors: </w:t>
      </w:r>
      <w:r>
        <w:rPr>
          <w:rFonts w:ascii="Calibri" w:hAnsi="Calibri"/>
          <w:color w:val="1F2937"/>
          <w:sz w:val="19"/>
        </w:rPr>
        <w:t>Store managers routinely reorder stock based on recent customer memory or subjective hunches rather than empirical sales velocity, lead-time variance, and holding carrying costs. This leads to severe stockouts during peak surges or massive cash lockup in dead inventory.</w:t>
      </w:r>
    </w:p>
    <w:p>
      <w:pPr>
        <w:pStyle w:val="ListBullet"/>
        <w:spacing w:before="20" w:after="60"/>
      </w:pPr>
      <w:r>
        <w:rPr>
          <w:rFonts w:ascii="Calibri" w:hAnsi="Calibri"/>
          <w:b/>
          <w:color w:val="111827"/>
          <w:sz w:val="19"/>
        </w:rPr>
        <w:t xml:space="preserve">2. Gross vs. Net Profit Confusion: </w:t>
      </w:r>
      <w:r>
        <w:rPr>
          <w:rFonts w:ascii="Calibri" w:hAnsi="Calibri"/>
          <w:color w:val="1F2937"/>
          <w:sz w:val="19"/>
        </w:rPr>
        <w:t>Standard accounting software itemizes gross margins on individual product sales but fails to incorporate daily store operating overhead (rent, electricity, refrigeration, staff wages, insurance) during order evaluation. Procurement that appears profitable on paper frequently generates net cash losses.</w:t>
      </w:r>
    </w:p>
    <w:p>
      <w:pPr>
        <w:pStyle w:val="ListBullet"/>
        <w:spacing w:before="20" w:after="60"/>
      </w:pPr>
      <w:r>
        <w:rPr>
          <w:rFonts w:ascii="Calibri" w:hAnsi="Calibri"/>
          <w:b/>
          <w:color w:val="111827"/>
          <w:sz w:val="19"/>
        </w:rPr>
        <w:t xml:space="preserve">3. Disconnected &amp; Static Spreadsheets: </w:t>
      </w:r>
      <w:r>
        <w:rPr>
          <w:rFonts w:ascii="Calibri" w:hAnsi="Calibri"/>
          <w:color w:val="1F2937"/>
          <w:sz w:val="19"/>
        </w:rPr>
        <w:t>Store teams rely on fragile, disconnected spreadsheets that lack live catalog data, cannot model stochastic risks, ignore regulatory restrictions (such as Indian NPPA DPCO drug price ceilings or Schedule H prescription mandates), and cannot be shared securely across store branches.</w:t>
      </w:r>
    </w:p>
    <w:p>
      <w:pPr>
        <w:keepNext/>
        <w:spacing w:before="200" w:after="80"/>
      </w:pPr>
      <w:r>
        <w:rPr>
          <w:rFonts w:ascii="Calibri" w:hAnsi="Calibri"/>
          <w:b/>
          <w:color w:val="2563EB"/>
          <w:sz w:val="26"/>
        </w:rPr>
        <w:t>1.2 The Mission &amp; Architectural Mandate of DMOC</w:t>
      </w:r>
    </w:p>
    <w:p>
      <w:pPr>
        <w:spacing w:before="0" w:after="100"/>
      </w:pPr>
      <w:r>
        <w:rPr>
          <w:rFonts w:ascii="Calibri" w:hAnsi="Calibri"/>
          <w:color w:val="1F2937"/>
          <w:sz w:val="20"/>
        </w:rPr>
        <w:t>DMOC (Decision Marketing Operating System) unites rigorous decision science, real-world catalog and regulatory APIs, inventory mechanics, and reactive visual workflows into a unified platform. DMOC's primary objectives are:</w:t>
      </w:r>
    </w:p>
    <w:p>
      <w:pPr>
        <w:pStyle w:val="ListBullet"/>
        <w:spacing w:before="20" w:after="60"/>
      </w:pPr>
      <w:r>
        <w:rPr>
          <w:rFonts w:ascii="Calibri" w:hAnsi="Calibri"/>
          <w:b/>
          <w:color w:val="111827"/>
          <w:sz w:val="19"/>
        </w:rPr>
        <w:t xml:space="preserve">• Democratize Decision Science: </w:t>
      </w:r>
      <w:r>
        <w:rPr>
          <w:rFonts w:ascii="Calibri" w:hAnsi="Calibri"/>
          <w:color w:val="1F2937"/>
          <w:sz w:val="19"/>
        </w:rPr>
        <w:t>Provides store managers and enterprise analysts with Multi-Criteria Decision Analysis (MCDA), Expected Monetary Value (EMV), Expected Utility Theory, and 10,000-run Monte Carlo stochastic simulations.</w:t>
      </w:r>
    </w:p>
    <w:p>
      <w:pPr>
        <w:pStyle w:val="ListBullet"/>
        <w:spacing w:before="20" w:after="60"/>
      </w:pPr>
      <w:r>
        <w:rPr>
          <w:rFonts w:ascii="Calibri" w:hAnsi="Calibri"/>
          <w:b/>
          <w:color w:val="111827"/>
          <w:sz w:val="19"/>
        </w:rPr>
        <w:t xml:space="preserve">• Real-World Catalog &amp; Regulatory Ingestion: </w:t>
      </w:r>
      <w:r>
        <w:rPr>
          <w:rFonts w:ascii="Calibri" w:hAnsi="Calibri"/>
          <w:color w:val="1F2937"/>
          <w:sz w:val="19"/>
        </w:rPr>
        <w:t>Connects directly with Open Food Facts for grocery and FMCG barcode validation, and official NPPA / CDSCO registries for pharmaceutical maximum price ceilings and prescription compliance.</w:t>
      </w:r>
    </w:p>
    <w:p>
      <w:pPr>
        <w:pStyle w:val="ListBullet"/>
        <w:spacing w:before="20" w:after="60"/>
      </w:pPr>
      <w:r>
        <w:rPr>
          <w:rFonts w:ascii="Calibri" w:hAnsi="Calibri"/>
          <w:b/>
          <w:color w:val="111827"/>
          <w:sz w:val="19"/>
        </w:rPr>
        <w:t xml:space="preserve">• Visual Node-Based Decision Canvas: </w:t>
      </w:r>
      <w:r>
        <w:rPr>
          <w:rFonts w:ascii="Calibri" w:hAnsi="Calibri"/>
          <w:color w:val="1F2937"/>
          <w:sz w:val="19"/>
        </w:rPr>
        <w:t>Allows non-technical operators to build non-linear computational flow graphs with 26 modular nodes, conditional if/else branching, and real-time execution tracing.</w:t>
      </w:r>
    </w:p>
    <w:p>
      <w:pPr>
        <w:pStyle w:val="ListBullet"/>
        <w:spacing w:before="20" w:after="60"/>
      </w:pPr>
      <w:r>
        <w:rPr>
          <w:rFonts w:ascii="Calibri" w:hAnsi="Calibri"/>
          <w:b/>
          <w:color w:val="111827"/>
          <w:sz w:val="19"/>
        </w:rPr>
        <w:t xml:space="preserve">• Transparent &amp; Auditable Intelligence: </w:t>
      </w:r>
      <w:r>
        <w:rPr>
          <w:rFonts w:ascii="Calibri" w:hAnsi="Calibri"/>
          <w:color w:val="1F2937"/>
          <w:sz w:val="19"/>
        </w:rPr>
        <w:t>Provides plain-language reasoning chains, interactive 3D spatial trees, break-even unit calculations, and printable executive briefs.</w:t>
      </w:r>
    </w:p>
    <w:tbl>
      <w:tblPr>
        <w:tblW w:type="auto" w:w="0"/>
        <w:jc w:val="center"/>
        <w:tblLayout w:type="fixed"/>
        <w:tblLook w:firstColumn="1" w:firstRow="1" w:lastColumn="0" w:lastRow="0" w:noHBand="0" w:noVBand="1" w:val="04A0"/>
      </w:tblPr>
      <w:tblGrid>
        <w:gridCol w:w="10080"/>
      </w:tblGrid>
      <w:tr>
        <w:tc>
          <w:tcPr>
            <w:tcW w:type="dxa" w:w="9360"/>
            <w:shd w:fill="F0F4F8"/>
            <w:tcMar>
              <w:top w:w="140" w:type="dxa"/>
              <w:bottom w:w="140" w:type="dxa"/>
              <w:left w:w="200" w:type="dxa"/>
              <w:right w:w="160" w:type="dxa"/>
            </w:tcMar>
            <w:tcBorders>
              <w:top w:val="none"/>
              <w:left w:val="single" w:sz="36" w:space="0" w:color="2563EB"/>
              <w:bottom w:val="none"/>
              <w:right w:val="none"/>
            </w:tcBorders>
          </w:tcPr>
          <w:p>
            <w:pPr>
              <w:spacing w:before="40" w:after="40"/>
            </w:pPr>
            <w:r>
              <w:rPr>
                <w:rFonts w:ascii="Calibri" w:hAnsi="Calibri"/>
                <w:b/>
                <w:color w:val="1E3A8A"/>
                <w:sz w:val="20"/>
              </w:rPr>
              <w:t xml:space="preserve">[CORE PHILOSOPHICAL COMMITMENT] </w:t>
            </w:r>
            <w:r>
              <w:rPr>
                <w:rFonts w:ascii="Calibri" w:hAnsi="Calibri"/>
                <w:color w:val="374151"/>
                <w:sz w:val="19"/>
              </w:rPr>
              <w:t>DMOC strictly distinguishes Gross Profit from Net Profit. Operating costs (store rent, electricity, wages, and logistics) are never assumed to be zero in any procurement or replenishment evaluation.</w:t>
            </w:r>
          </w:p>
        </w:tc>
      </w:tr>
    </w:tbl>
    <w:p>
      <w:r>
        <w:br w:type="page"/>
      </w:r>
    </w:p>
    <w:p>
      <w:pPr>
        <w:keepNext/>
        <w:spacing w:before="280" w:after="120"/>
      </w:pPr>
      <w:r>
        <w:rPr>
          <w:rFonts w:ascii="Calibri" w:hAnsi="Calibri"/>
          <w:b/>
          <w:color w:val="1E3A8A"/>
          <w:sz w:val="34"/>
        </w:rPr>
        <w:t>2. Theoretical Foundations &amp; Mathematical Decision Science</w:t>
      </w:r>
    </w:p>
    <w:p>
      <w:pPr>
        <w:spacing w:before="0" w:after="100"/>
      </w:pPr>
      <w:r>
        <w:rPr>
          <w:rFonts w:ascii="Calibri" w:hAnsi="Calibri"/>
          <w:color w:val="1F2937"/>
          <w:sz w:val="20"/>
        </w:rPr>
        <w:t>DMOC is built upon established, peer-reviewed mathematical methodologies implemented in the core calculation engine (decisionEngine.ts). Every calculation is auditable, deterministic where required, and statistically robust.</w:t>
      </w:r>
    </w:p>
    <w:p>
      <w:pPr>
        <w:keepNext/>
        <w:spacing w:before="200" w:after="80"/>
      </w:pPr>
      <w:r>
        <w:rPr>
          <w:rFonts w:ascii="Calibri" w:hAnsi="Calibri"/>
          <w:b/>
          <w:color w:val="2563EB"/>
          <w:sz w:val="26"/>
        </w:rPr>
        <w:t>2.1 Multi-Criteria Decision Analysis (MCDA)</w:t>
      </w:r>
    </w:p>
    <w:p>
      <w:pPr>
        <w:spacing w:before="0" w:after="100"/>
      </w:pPr>
      <w:r>
        <w:rPr>
          <w:rFonts w:ascii="Calibri" w:hAnsi="Calibri"/>
          <w:color w:val="1F2937"/>
          <w:sz w:val="20"/>
        </w:rPr>
        <w:t>Multi-Criteria Decision Analysis evaluates competing options across multiple orthogonal criteria, each assigned a relative percentage weight w_j such that the sum of all weights equals 100%:</w:t>
      </w:r>
    </w:p>
    <w:tbl>
      <w:tblPr>
        <w:tblW w:type="auto" w:w="0"/>
        <w:jc w:val="center"/>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0284C7"/>
              <w:bottom w:val="single" w:sz="4" w:space="0" w:color="E2E8F0"/>
              <w:right w:val="single" w:sz="4" w:space="0" w:color="E2E8F0"/>
            </w:tcBorders>
          </w:tcPr>
          <w:p>
            <w:pPr>
              <w:spacing w:before="40" w:after="40"/>
              <w:jc w:val="center"/>
            </w:pPr>
            <w:r>
              <w:rPr>
                <w:rFonts w:ascii="Cambria Math" w:hAnsi="Cambria Math"/>
                <w:b/>
                <w:color w:val="0F172A"/>
                <w:sz w:val="22"/>
              </w:rPr>
              <w:t>∑ (from j=1 to m) w_j = 100%,  where w_j &gt; 0</w:t>
            </w:r>
          </w:p>
          <w:p>
            <w:pPr>
              <w:spacing w:before="40" w:after="40"/>
              <w:jc w:val="center"/>
            </w:pPr>
            <w:r>
              <w:rPr>
                <w:rFonts w:ascii="Calibri" w:hAnsi="Calibri"/>
                <w:i/>
                <w:color w:val="64748B"/>
                <w:sz w:val="18"/>
              </w:rPr>
              <w:t>Weight Normalization Constraint</w:t>
            </w:r>
          </w:p>
        </w:tc>
      </w:tr>
    </w:tbl>
    <w:p>
      <w:pPr>
        <w:keepNext/>
        <w:spacing w:before="160" w:after="60"/>
      </w:pPr>
      <w:r>
        <w:rPr>
          <w:rFonts w:ascii="Calibri" w:hAnsi="Calibri"/>
          <w:b/>
          <w:color w:val="111827"/>
          <w:sz w:val="22"/>
        </w:rPr>
        <w:t>Linear Normalization</w:t>
      </w:r>
    </w:p>
    <w:p>
      <w:pPr>
        <w:spacing w:before="0" w:after="100"/>
      </w:pPr>
      <w:r>
        <w:rPr>
          <w:rFonts w:ascii="Calibri" w:hAnsi="Calibri"/>
          <w:color w:val="1F2937"/>
          <w:sz w:val="20"/>
        </w:rPr>
        <w:t>Criteria can represent either maximization (e.g., net revenue, shelf velocity, supplier reliability) or minimization (e.g., wholesale unit cost, return rate, working capital risk). DMOC maps disparate physical and financial units into dimensionless normalized utility values r_ij in [0, 1]:</w:t>
      </w:r>
    </w:p>
    <w:tbl>
      <w:tblPr>
        <w:tblW w:type="auto" w:w="0"/>
        <w:jc w:val="center"/>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0284C7"/>
              <w:bottom w:val="single" w:sz="4" w:space="0" w:color="E2E8F0"/>
              <w:right w:val="single" w:sz="4" w:space="0" w:color="E2E8F0"/>
            </w:tcBorders>
          </w:tcPr>
          <w:p>
            <w:pPr>
              <w:spacing w:before="40" w:after="40"/>
              <w:jc w:val="center"/>
            </w:pPr>
            <w:r>
              <w:rPr>
                <w:rFonts w:ascii="Cambria Math" w:hAnsi="Cambria Math"/>
                <w:b/>
                <w:color w:val="0F172A"/>
                <w:sz w:val="22"/>
              </w:rPr>
              <w:t>Maximization:  r_ij = (x_ij - x_j^min) / (x_j^max - x_j^min)</w:t>
              <w:br/>
              <w:t>Minimization:   r_ij = (x_j^max - x_ij) / (x_j^max - x_j^min)</w:t>
            </w:r>
          </w:p>
          <w:p>
            <w:pPr>
              <w:spacing w:before="40" w:after="40"/>
              <w:jc w:val="center"/>
            </w:pPr>
            <w:r>
              <w:rPr>
                <w:rFonts w:ascii="Calibri" w:hAnsi="Calibri"/>
                <w:i/>
                <w:color w:val="64748B"/>
                <w:sz w:val="18"/>
              </w:rPr>
              <w:t>Linear Utility Transformation (Handles zero-variance edge cases by assigning r_ij = 1.0)</w:t>
            </w:r>
          </w:p>
        </w:tc>
      </w:tr>
    </w:tbl>
    <w:p>
      <w:pPr>
        <w:keepNext/>
        <w:spacing w:before="160" w:after="60"/>
      </w:pPr>
      <w:r>
        <w:rPr>
          <w:rFonts w:ascii="Calibri" w:hAnsi="Calibri"/>
          <w:b/>
          <w:color w:val="111827"/>
          <w:sz w:val="22"/>
        </w:rPr>
        <w:t>Weighted Sum Model (WSM)</w:t>
      </w:r>
    </w:p>
    <w:p>
      <w:pPr>
        <w:spacing w:before="0" w:after="100"/>
      </w:pPr>
      <w:r>
        <w:rPr>
          <w:rFonts w:ascii="Calibri" w:hAnsi="Calibri"/>
          <w:color w:val="1F2937"/>
          <w:sz w:val="20"/>
        </w:rPr>
        <w:t>The composite performance score S_i for each competing alternative i is calculated as:</w:t>
      </w:r>
    </w:p>
    <w:tbl>
      <w:tblPr>
        <w:tblW w:type="auto" w:w="0"/>
        <w:jc w:val="center"/>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0284C7"/>
              <w:bottom w:val="single" w:sz="4" w:space="0" w:color="E2E8F0"/>
              <w:right w:val="single" w:sz="4" w:space="0" w:color="E2E8F0"/>
            </w:tcBorders>
          </w:tcPr>
          <w:p>
            <w:pPr>
              <w:spacing w:before="40" w:after="40"/>
              <w:jc w:val="center"/>
            </w:pPr>
            <w:r>
              <w:rPr>
                <w:rFonts w:ascii="Cambria Math" w:hAnsi="Cambria Math"/>
                <w:b/>
                <w:color w:val="0F172A"/>
                <w:sz w:val="22"/>
              </w:rPr>
              <w:t>S_i = ∑ (from j=1 to m) w_j · r_ij</w:t>
            </w:r>
          </w:p>
          <w:p>
            <w:pPr>
              <w:spacing w:before="40" w:after="40"/>
              <w:jc w:val="center"/>
            </w:pPr>
            <w:r>
              <w:rPr>
                <w:rFonts w:ascii="Calibri" w:hAnsi="Calibri"/>
                <w:i/>
                <w:color w:val="64748B"/>
                <w:sz w:val="18"/>
              </w:rPr>
              <w:t>Aggregate Weighted Performance Score</w:t>
            </w:r>
          </w:p>
        </w:tc>
      </w:tr>
    </w:tbl>
    <w:p>
      <w:pPr>
        <w:keepNext/>
        <w:spacing w:before="200" w:after="80"/>
      </w:pPr>
      <w:r>
        <w:rPr>
          <w:rFonts w:ascii="Calibri" w:hAnsi="Calibri"/>
          <w:b/>
          <w:color w:val="2563EB"/>
          <w:sz w:val="26"/>
        </w:rPr>
        <w:t>2.2 Expected Monetary Value (EMV)</w:t>
      </w:r>
    </w:p>
    <w:p>
      <w:pPr>
        <w:spacing w:before="0" w:after="100"/>
      </w:pPr>
      <w:r>
        <w:rPr>
          <w:rFonts w:ascii="Calibri" w:hAnsi="Calibri"/>
          <w:color w:val="1F2937"/>
          <w:sz w:val="20"/>
        </w:rPr>
        <w:t>Under conditions of risk and discrete uncertainty, each alternative i produces a set of mutually exclusive potential outcomes O_ik, each associated with an empirical probability P(O_ik) and monetary payoff X_ik:</w:t>
      </w:r>
    </w:p>
    <w:tbl>
      <w:tblPr>
        <w:tblW w:type="auto" w:w="0"/>
        <w:jc w:val="center"/>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0284C7"/>
              <w:bottom w:val="single" w:sz="4" w:space="0" w:color="E2E8F0"/>
              <w:right w:val="single" w:sz="4" w:space="0" w:color="E2E8F0"/>
            </w:tcBorders>
          </w:tcPr>
          <w:p>
            <w:pPr>
              <w:spacing w:before="40" w:after="40"/>
              <w:jc w:val="center"/>
            </w:pPr>
            <w:r>
              <w:rPr>
                <w:rFonts w:ascii="Cambria Math" w:hAnsi="Cambria Math"/>
                <w:b/>
                <w:color w:val="0F172A"/>
                <w:sz w:val="22"/>
              </w:rPr>
              <w:t>EMV_i = ∑ (from k=1 to K) P(O_ik) · X_ik,  where ∑ P(O_ik) = 1.0</w:t>
            </w:r>
          </w:p>
          <w:p>
            <w:pPr>
              <w:spacing w:before="40" w:after="40"/>
              <w:jc w:val="center"/>
            </w:pPr>
            <w:r>
              <w:rPr>
                <w:rFonts w:ascii="Calibri" w:hAnsi="Calibri"/>
                <w:i/>
                <w:color w:val="64748B"/>
                <w:sz w:val="18"/>
              </w:rPr>
              <w:t>Expected Monetary Value Formula</w:t>
            </w:r>
          </w:p>
        </w:tc>
      </w:tr>
    </w:tbl>
    <w:p>
      <w:pPr>
        <w:spacing w:before="0" w:after="100"/>
      </w:pPr>
      <w:r>
        <w:rPr>
          <w:rFonts w:ascii="Calibri" w:hAnsi="Calibri"/>
          <w:color w:val="1F2937"/>
          <w:sz w:val="20"/>
        </w:rPr>
        <w:t>DMOC computes the EMV spread across all alternatives to determine optimal risk-adjusted capital allocations, factoring in both optimistic upside and catastrophic loss scenarios.</w:t>
      </w:r>
    </w:p>
    <w:p>
      <w:pPr>
        <w:keepNext/>
        <w:spacing w:before="200" w:after="80"/>
      </w:pPr>
      <w:r>
        <w:rPr>
          <w:rFonts w:ascii="Calibri" w:hAnsi="Calibri"/>
          <w:b/>
          <w:color w:val="2563EB"/>
          <w:sz w:val="26"/>
        </w:rPr>
        <w:t>2.3 Expected Utility Theory (von Neumann–Morgenstern)</w:t>
      </w:r>
    </w:p>
    <w:p>
      <w:pPr>
        <w:spacing w:before="0" w:after="100"/>
      </w:pPr>
      <w:r>
        <w:rPr>
          <w:rFonts w:ascii="Calibri" w:hAnsi="Calibri"/>
          <w:color w:val="1F2937"/>
          <w:sz w:val="20"/>
        </w:rPr>
        <w:t>In retail and inventory procurement, monetary value does not scale linearly with psychological satisfaction due to asymmetric downside risk aversion. A loss of $10,000 can cause bankruptcy, whereas a gain of $10,000 provides modest growth. DMOC maps monetary payoffs or qualitative outcomes to utility values U(O_ik) in [0, 100]:</w:t>
      </w:r>
    </w:p>
    <w:tbl>
      <w:tblPr>
        <w:tblW w:type="auto" w:w="0"/>
        <w:jc w:val="center"/>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0284C7"/>
              <w:bottom w:val="single" w:sz="4" w:space="0" w:color="E2E8F0"/>
              <w:right w:val="single" w:sz="4" w:space="0" w:color="E2E8F0"/>
            </w:tcBorders>
          </w:tcPr>
          <w:p>
            <w:pPr>
              <w:spacing w:before="40" w:after="40"/>
              <w:jc w:val="center"/>
            </w:pPr>
            <w:r>
              <w:rPr>
                <w:rFonts w:ascii="Cambria Math" w:hAnsi="Cambria Math"/>
                <w:b/>
                <w:color w:val="0F172A"/>
                <w:sz w:val="22"/>
              </w:rPr>
              <w:t>EU_i = ∑ (from k=1 to K) P(O_ik) · U(O_ik)</w:t>
            </w:r>
          </w:p>
          <w:p>
            <w:pPr>
              <w:spacing w:before="40" w:after="40"/>
              <w:jc w:val="center"/>
            </w:pPr>
            <w:r>
              <w:rPr>
                <w:rFonts w:ascii="Calibri" w:hAnsi="Calibri"/>
                <w:i/>
                <w:color w:val="64748B"/>
                <w:sz w:val="18"/>
              </w:rPr>
              <w:t>Risk-Averse Expected Utility</w:t>
            </w:r>
          </w:p>
        </w:tc>
      </w:tr>
    </w:tbl>
    <w:p>
      <w:pPr>
        <w:keepNext/>
        <w:spacing w:before="200" w:after="80"/>
      </w:pPr>
      <w:r>
        <w:rPr>
          <w:rFonts w:ascii="Calibri" w:hAnsi="Calibri"/>
          <w:b/>
          <w:color w:val="2563EB"/>
          <w:sz w:val="26"/>
        </w:rPr>
        <w:t>2.4 Monte Carlo Stochastic Risk Simulation</w:t>
      </w:r>
    </w:p>
    <w:p>
      <w:pPr>
        <w:spacing w:before="0" w:after="100"/>
      </w:pPr>
      <w:r>
        <w:rPr>
          <w:rFonts w:ascii="Calibri" w:hAnsi="Calibri"/>
          <w:color w:val="1F2937"/>
          <w:sz w:val="20"/>
        </w:rPr>
        <w:t>Real-world sales demand and supplier delivery windows are stochastic rather than fixed. DMOC executes a high-speed pseudo-random Monte Carlo engine running up to 10,000 iterations per scenario:</w:t>
      </w:r>
    </w:p>
    <w:p>
      <w:pPr>
        <w:pStyle w:val="ListBullet"/>
        <w:spacing w:before="20" w:after="60"/>
      </w:pPr>
      <w:r>
        <w:rPr>
          <w:rFonts w:ascii="Calibri" w:hAnsi="Calibri"/>
          <w:b/>
          <w:color w:val="111827"/>
          <w:sz w:val="19"/>
        </w:rPr>
        <w:t xml:space="preserve">1. Probability Distribution Sampling: </w:t>
      </w:r>
      <w:r>
        <w:rPr>
          <w:rFonts w:ascii="Calibri" w:hAnsi="Calibri"/>
          <w:color w:val="1F2937"/>
          <w:sz w:val="19"/>
        </w:rPr>
        <w:t>Draws random values across parameterized normal, uniform, or triangular distributions representing customer footfall and supplier fulfillment delays.</w:t>
      </w:r>
    </w:p>
    <w:p>
      <w:pPr>
        <w:pStyle w:val="ListBullet"/>
        <w:spacing w:before="20" w:after="60"/>
      </w:pPr>
      <w:r>
        <w:rPr>
          <w:rFonts w:ascii="Calibri" w:hAnsi="Calibri"/>
          <w:b/>
          <w:color w:val="111827"/>
          <w:sz w:val="19"/>
        </w:rPr>
        <w:t xml:space="preserve">2. Empirical Percentile Estimation: </w:t>
      </w:r>
      <w:r>
        <w:rPr>
          <w:rFonts w:ascii="Calibri" w:hAnsi="Calibri"/>
          <w:color w:val="1F2937"/>
          <w:sz w:val="19"/>
        </w:rPr>
        <w:t>Computes empirical percentiles including P10 (Pessimistic Downside with 90% confidence), P50 (Median Baseline), and P90 (Optimistic High-Demand Ceiling).</w:t>
      </w:r>
    </w:p>
    <w:p>
      <w:pPr>
        <w:pStyle w:val="ListBullet"/>
        <w:spacing w:before="20" w:after="60"/>
      </w:pPr>
      <w:r>
        <w:rPr>
          <w:rFonts w:ascii="Calibri" w:hAnsi="Calibri"/>
          <w:b/>
          <w:color w:val="111827"/>
          <w:sz w:val="19"/>
        </w:rPr>
        <w:t xml:space="preserve">3. Statistical Moments: </w:t>
      </w:r>
      <w:r>
        <w:rPr>
          <w:rFonts w:ascii="Calibri" w:hAnsi="Calibri"/>
          <w:color w:val="1F2937"/>
          <w:sz w:val="19"/>
        </w:rPr>
        <w:t>Calculates mean expected return μ, variance σ^2, standard deviation σ, and value-at-risk (VaR).</w:t>
      </w:r>
    </w:p>
    <w:p>
      <w:pPr>
        <w:keepNext/>
        <w:spacing w:before="200" w:after="80"/>
      </w:pPr>
      <w:r>
        <w:rPr>
          <w:rFonts w:ascii="Calibri" w:hAnsi="Calibri"/>
          <w:b/>
          <w:color w:val="2563EB"/>
          <w:sz w:val="26"/>
        </w:rPr>
        <w:t>2.5 Sensitivity Analysis &amp; Tipping Points</w:t>
      </w:r>
    </w:p>
    <w:p>
      <w:pPr>
        <w:spacing w:before="0" w:after="100"/>
      </w:pPr>
      <w:r>
        <w:rPr>
          <w:rFonts w:ascii="Calibri" w:hAnsi="Calibri"/>
          <w:color w:val="1F2937"/>
          <w:sz w:val="20"/>
        </w:rPr>
        <w:t>DMOC systematically perturbs individual criterion weights w_j from 0% to 100% while proportionately scaling remaining weights. It detects tipping points—the exact numerical weight threshold where the leading business recommendation flips to a competing alternative.</w:t>
      </w:r>
    </w:p>
    <w:p>
      <w:r>
        <w:br w:type="page"/>
      </w:r>
    </w:p>
    <w:p>
      <w:pPr>
        <w:keepNext/>
        <w:spacing w:before="280" w:after="120"/>
      </w:pPr>
      <w:r>
        <w:rPr>
          <w:rFonts w:ascii="Calibri" w:hAnsi="Calibri"/>
          <w:b/>
          <w:color w:val="1E3A8A"/>
          <w:sz w:val="34"/>
        </w:rPr>
        <w:t>3. Financial &amp; Inventory Mechanics</w:t>
      </w:r>
    </w:p>
    <w:p>
      <w:pPr>
        <w:spacing w:before="0" w:after="100"/>
      </w:pPr>
      <w:r>
        <w:rPr>
          <w:rFonts w:ascii="Calibri" w:hAnsi="Calibri"/>
          <w:color w:val="1F2937"/>
          <w:sz w:val="20"/>
        </w:rPr>
        <w:t>Store decisions must reflect financial reality. DMOC executes strict mathematical accounting across every inventory restock, pricing adjustment, and supplier order.</w:t>
      </w:r>
    </w:p>
    <w:p>
      <w:pPr>
        <w:keepNext/>
        <w:spacing w:before="200" w:after="80"/>
      </w:pPr>
      <w:r>
        <w:rPr>
          <w:rFonts w:ascii="Calibri" w:hAnsi="Calibri"/>
          <w:b/>
          <w:color w:val="2563EB"/>
          <w:sz w:val="26"/>
        </w:rPr>
        <w:t>3.1 Gross Profit vs. Net Profit Breakdown</w:t>
      </w:r>
    </w:p>
    <w:p>
      <w:pPr>
        <w:spacing w:before="0" w:after="100"/>
      </w:pPr>
      <w:r>
        <w:rPr>
          <w:rFonts w:ascii="Calibri" w:hAnsi="Calibri"/>
          <w:color w:val="1F2937"/>
          <w:sz w:val="20"/>
        </w:rPr>
        <w:t>Traditional retail tools mislead store owners by displaying high gross margins while ignoring fixed store overhead. DMOC requires and calculates both:</w:t>
      </w:r>
    </w:p>
    <w:tbl>
      <w:tblPr>
        <w:tblW w:type="auto" w:w="0"/>
        <w:jc w:val="center"/>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0284C7"/>
              <w:bottom w:val="single" w:sz="4" w:space="0" w:color="E2E8F0"/>
              <w:right w:val="single" w:sz="4" w:space="0" w:color="E2E8F0"/>
            </w:tcBorders>
          </w:tcPr>
          <w:p>
            <w:pPr>
              <w:spacing w:before="40" w:after="40"/>
              <w:jc w:val="center"/>
            </w:pPr>
            <w:r>
              <w:rPr>
                <w:rFonts w:ascii="Cambria Math" w:hAnsi="Cambria Math"/>
                <w:b/>
                <w:color w:val="0F172A"/>
                <w:sz w:val="22"/>
              </w:rPr>
              <w:t>Gross Revenue = Units Sold × Selling Price</w:t>
              <w:br/>
              <w:t>Cost of Goods Sold (COGS) = Units Sold × Purchase Price</w:t>
              <w:br/>
              <w:t>Gross Profit = Gross Revenue - COGS</w:t>
              <w:br/>
              <w:t>Gross Margin % = (Gross Profit / Gross Revenue) × 100</w:t>
            </w:r>
          </w:p>
          <w:p>
            <w:pPr>
              <w:spacing w:before="40" w:after="40"/>
              <w:jc w:val="center"/>
            </w:pPr>
            <w:r>
              <w:rPr>
                <w:rFonts w:ascii="Calibri" w:hAnsi="Calibri"/>
                <w:i/>
                <w:color w:val="64748B"/>
                <w:sz w:val="18"/>
              </w:rPr>
              <w:t>Gross Profit Formulations</w:t>
            </w:r>
          </w:p>
        </w:tc>
      </w:tr>
    </w:tbl>
    <w:p>
      <w:pPr>
        <w:spacing w:before="0" w:after="100"/>
      </w:pPr>
      <w:r>
        <w:rPr>
          <w:rFonts w:ascii="Calibri" w:hAnsi="Calibri"/>
          <w:color w:val="1F2937"/>
          <w:sz w:val="20"/>
        </w:rPr>
        <w:t>To calculate true Net Profit, DMOC apportions the store's verified monthly operating overhead (rent, electricity, refrigeration, staff wages, insurance) proportionally across operational working days and sales volume:</w:t>
      </w:r>
    </w:p>
    <w:tbl>
      <w:tblPr>
        <w:tblW w:type="auto" w:w="0"/>
        <w:jc w:val="center"/>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0284C7"/>
              <w:bottom w:val="single" w:sz="4" w:space="0" w:color="E2E8F0"/>
              <w:right w:val="single" w:sz="4" w:space="0" w:color="E2E8F0"/>
            </w:tcBorders>
          </w:tcPr>
          <w:p>
            <w:pPr>
              <w:spacing w:before="40" w:after="40"/>
              <w:jc w:val="center"/>
            </w:pPr>
            <w:r>
              <w:rPr>
                <w:rFonts w:ascii="Cambria Math" w:hAnsi="Cambria Math"/>
                <w:b/>
                <w:color w:val="0F172A"/>
                <w:sz w:val="22"/>
              </w:rPr>
              <w:t>Daily Operating Overhead = Monthly Operating Expenses / 30</w:t>
              <w:br/>
              <w:t>Allocated Overhead = Daily Operating Overhead × Holding Window (Days)</w:t>
              <w:br/>
              <w:t>Net Profit = Gross Profit - Allocated Overhead - Holding/Financing Costs</w:t>
              <w:br/>
              <w:t>Net Margin % = (Net Profit / Gross Revenue) × 100</w:t>
            </w:r>
          </w:p>
          <w:p>
            <w:pPr>
              <w:spacing w:before="40" w:after="40"/>
              <w:jc w:val="center"/>
            </w:pPr>
            <w:r>
              <w:rPr>
                <w:rFonts w:ascii="Calibri" w:hAnsi="Calibri"/>
                <w:i/>
                <w:color w:val="64748B"/>
                <w:sz w:val="18"/>
              </w:rPr>
              <w:t>Net Bottom-Line Margin Formulations</w:t>
            </w:r>
          </w:p>
        </w:tc>
      </w:tr>
    </w:tbl>
    <w:p>
      <w:pPr>
        <w:keepNext/>
        <w:spacing w:before="200" w:after="80"/>
      </w:pPr>
      <w:r>
        <w:rPr>
          <w:rFonts w:ascii="Calibri" w:hAnsi="Calibri"/>
          <w:b/>
          <w:color w:val="2563EB"/>
          <w:sz w:val="26"/>
        </w:rPr>
        <w:t>3.2 Inventory Reorder Point (ROP) &amp; Safety Stock</w:t>
      </w:r>
    </w:p>
    <w:p>
      <w:pPr>
        <w:spacing w:before="0" w:after="100"/>
      </w:pPr>
      <w:r>
        <w:rPr>
          <w:rFonts w:ascii="Calibri" w:hAnsi="Calibri"/>
          <w:color w:val="1F2937"/>
          <w:sz w:val="20"/>
        </w:rPr>
        <w:t>To prevent catastrophic stockouts during demand surges without tying up excess cash, DMOC utilizes dynamic safety stock and lead-time demand calculations:</w:t>
      </w:r>
    </w:p>
    <w:tbl>
      <w:tblPr>
        <w:tblW w:type="auto" w:w="0"/>
        <w:jc w:val="center"/>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0284C7"/>
              <w:bottom w:val="single" w:sz="4" w:space="0" w:color="E2E8F0"/>
              <w:right w:val="single" w:sz="4" w:space="0" w:color="E2E8F0"/>
            </w:tcBorders>
          </w:tcPr>
          <w:p>
            <w:pPr>
              <w:spacing w:before="40" w:after="40"/>
              <w:jc w:val="center"/>
            </w:pPr>
            <w:r>
              <w:rPr>
                <w:rFonts w:ascii="Cambria Math" w:hAnsi="Cambria Math"/>
                <w:b/>
                <w:color w:val="0F172A"/>
                <w:sz w:val="22"/>
              </w:rPr>
              <w:t>Daily Sales Velocity (V_d) = (∑ Units Sold in Past N Days) / N</w:t>
              <w:br/>
              <w:t>Lead Time Demand = V_d × Supplier Lead Time (Days)</w:t>
              <w:br/>
              <w:t>Safety Stock = Z × σ_lead × √(Supplier Lead Time)</w:t>
              <w:br/>
              <w:t>Reorder Point (ROP) = Lead Time Demand + Safety Stock</w:t>
            </w:r>
          </w:p>
          <w:p>
            <w:pPr>
              <w:spacing w:before="40" w:after="40"/>
              <w:jc w:val="center"/>
            </w:pPr>
            <w:r>
              <w:rPr>
                <w:rFonts w:ascii="Calibri" w:hAnsi="Calibri"/>
                <w:i/>
                <w:color w:val="64748B"/>
                <w:sz w:val="18"/>
              </w:rPr>
              <w:t>Dynamic Reorder Point &amp; Safety Stock Formulations (Z = 1.65 for 95% service level)</w:t>
            </w:r>
          </w:p>
        </w:tc>
      </w:tr>
    </w:tbl>
    <w:p>
      <w:pPr>
        <w:spacing w:before="0" w:after="100"/>
      </w:pPr>
      <w:r>
        <w:rPr>
          <w:rFonts w:ascii="Calibri" w:hAnsi="Calibri"/>
          <w:color w:val="1F2937"/>
          <w:sz w:val="20"/>
        </w:rPr>
        <w:t>When physical stock on hand drops below ROP, DMOC automatically flags the item with low-stock warnings and drafts an optimized procurement order.</w:t>
      </w:r>
    </w:p>
    <w:p>
      <w:pPr>
        <w:keepNext/>
        <w:spacing w:before="200" w:after="80"/>
      </w:pPr>
      <w:r>
        <w:rPr>
          <w:rFonts w:ascii="Calibri" w:hAnsi="Calibri"/>
          <w:b/>
          <w:color w:val="2563EB"/>
          <w:sz w:val="26"/>
        </w:rPr>
        <w:t>3.3 Working Capital Risk &amp; Break-Even Quantity</w:t>
      </w:r>
    </w:p>
    <w:p>
      <w:pPr>
        <w:spacing w:before="0" w:after="100"/>
      </w:pPr>
      <w:r>
        <w:rPr>
          <w:rFonts w:ascii="Calibri" w:hAnsi="Calibri"/>
          <w:color w:val="1F2937"/>
          <w:sz w:val="20"/>
        </w:rPr>
        <w:t>Every purchase order commits working capital that cannot be deployed elsewhere. DMOC calculates the break-even volume and capital commitment horizon:</w:t>
      </w:r>
    </w:p>
    <w:tbl>
      <w:tblPr>
        <w:tblW w:type="auto" w:w="0"/>
        <w:jc w:val="center"/>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0284C7"/>
              <w:bottom w:val="single" w:sz="4" w:space="0" w:color="E2E8F0"/>
              <w:right w:val="single" w:sz="4" w:space="0" w:color="E2E8F0"/>
            </w:tcBorders>
          </w:tcPr>
          <w:p>
            <w:pPr>
              <w:spacing w:before="40" w:after="40"/>
              <w:jc w:val="center"/>
            </w:pPr>
            <w:r>
              <w:rPr>
                <w:rFonts w:ascii="Cambria Math" w:hAnsi="Cambria Math"/>
                <w:b/>
                <w:color w:val="0F172A"/>
                <w:sz w:val="22"/>
              </w:rPr>
              <w:t>Capital Committed = Proposed Order Quantity × Unit Wholesale Cost</w:t>
              <w:br/>
              <w:t>Contribution Margin per Unit = Unit Selling Price - Unit Purchase Cost</w:t>
              <w:br/>
              <w:t>Break-Even Units = ⌈ Allocated Overhead / Contribution Margin per Unit ⌉</w:t>
              <w:br/>
              <w:t>Days of Inventory Remaining = Current Stock on Hand / V_d</w:t>
            </w:r>
          </w:p>
          <w:p>
            <w:pPr>
              <w:spacing w:before="40" w:after="40"/>
              <w:jc w:val="center"/>
            </w:pPr>
            <w:r>
              <w:rPr>
                <w:rFonts w:ascii="Calibri" w:hAnsi="Calibri"/>
                <w:i/>
                <w:color w:val="64748B"/>
                <w:sz w:val="18"/>
              </w:rPr>
              <w:t>Working Capital &amp; Break-Even Formulations</w:t>
            </w:r>
          </w:p>
        </w:tc>
      </w:tr>
    </w:tbl>
    <w:p>
      <w:pPr>
        <w:keepNext/>
        <w:spacing w:before="160" w:after="60"/>
      </w:pPr>
      <w:r>
        <w:rPr>
          <w:rFonts w:ascii="Calibri" w:hAnsi="Calibri"/>
          <w:b/>
          <w:color w:val="111827"/>
          <w:sz w:val="22"/>
        </w:rPr>
        <w:t>Illustrative Financial Case: 50 Units Restock Order</w:t>
      </w:r>
    </w:p>
    <w:tbl>
      <w:tblPr>
        <w:tblW w:type="auto" w:w="0"/>
        <w:jc w:val="center"/>
        <w:tblLook w:firstColumn="1" w:firstRow="1" w:lastColumn="0" w:lastRow="0" w:noHBand="0" w:noVBand="1" w:val="04A0"/>
      </w:tblPr>
      <w:tblGrid>
        <w:gridCol w:w="3360"/>
        <w:gridCol w:w="3360"/>
        <w:gridCol w:w="3360"/>
      </w:tblGrid>
      <w:tr>
        <w:tc>
          <w:tcPr>
            <w:tcW w:type="dxa" w:w="3168"/>
            <w:shd w:fill="1E3A8A"/>
            <w:tcMar>
              <w:top w:w="120" w:type="dxa"/>
              <w:bottom w:w="120" w:type="dxa"/>
              <w:left w:w="140" w:type="dxa"/>
              <w:right w:w="140" w:type="dxa"/>
            </w:tcMar>
          </w:tcPr>
          <w:p>
            <w:pPr>
              <w:spacing w:before="40" w:after="40"/>
            </w:pPr>
            <w:r>
              <w:rPr>
                <w:rFonts w:ascii="Calibri" w:hAnsi="Calibri"/>
                <w:b/>
                <w:color w:val="FFFFFF"/>
                <w:sz w:val="19"/>
              </w:rPr>
              <w:t>Financial Metric</w:t>
            </w:r>
          </w:p>
        </w:tc>
        <w:tc>
          <w:tcPr>
            <w:tcW w:type="dxa" w:w="3024"/>
            <w:shd w:fill="1E3A8A"/>
            <w:tcMar>
              <w:top w:w="120" w:type="dxa"/>
              <w:bottom w:w="120" w:type="dxa"/>
              <w:left w:w="140" w:type="dxa"/>
              <w:right w:w="140" w:type="dxa"/>
            </w:tcMar>
          </w:tcPr>
          <w:p>
            <w:pPr>
              <w:spacing w:before="40" w:after="40"/>
            </w:pPr>
            <w:r>
              <w:rPr>
                <w:rFonts w:ascii="Calibri" w:hAnsi="Calibri"/>
                <w:b/>
                <w:color w:val="FFFFFF"/>
                <w:sz w:val="19"/>
              </w:rPr>
              <w:t>Standard Retail Tool</w:t>
            </w:r>
          </w:p>
        </w:tc>
        <w:tc>
          <w:tcPr>
            <w:tcW w:type="dxa" w:w="3168"/>
            <w:shd w:fill="1E3A8A"/>
            <w:tcMar>
              <w:top w:w="120" w:type="dxa"/>
              <w:bottom w:w="120" w:type="dxa"/>
              <w:left w:w="140" w:type="dxa"/>
              <w:right w:w="140" w:type="dxa"/>
            </w:tcMar>
          </w:tcPr>
          <w:p>
            <w:pPr>
              <w:spacing w:before="40" w:after="40"/>
            </w:pPr>
            <w:r>
              <w:rPr>
                <w:rFonts w:ascii="Calibri" w:hAnsi="Calibri"/>
                <w:b/>
                <w:color w:val="FFFFFF"/>
                <w:sz w:val="19"/>
              </w:rPr>
              <w:t>DMOC Evidence Engine</w:t>
            </w:r>
          </w:p>
        </w:tc>
      </w:tr>
      <w:tr>
        <w:tc>
          <w:tcPr>
            <w:tcW w:type="dxa" w:w="3168"/>
            <w:shd w:fill="FFFFFF"/>
            <w:tcMar>
              <w:top w:w="100" w:type="dxa"/>
              <w:bottom w:w="100" w:type="dxa"/>
              <w:left w:w="140" w:type="dxa"/>
              <w:right w:w="140" w:type="dxa"/>
            </w:tcMar>
          </w:tcPr>
          <w:p>
            <w:pPr>
              <w:spacing w:before="40" w:after="40"/>
            </w:pPr>
            <w:r>
              <w:rPr>
                <w:rFonts w:ascii="Calibri" w:hAnsi="Calibri"/>
                <w:color w:val="1F2937"/>
                <w:sz w:val="18"/>
              </w:rPr>
              <w:t>Wholesale Cost (50 × $20)</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$1,000.00</w:t>
            </w:r>
          </w:p>
        </w:tc>
        <w:tc>
          <w:tcPr>
            <w:tcW w:type="dxa" w:w="3168"/>
            <w:shd w:fill="FFFFFF"/>
            <w:tcMar>
              <w:top w:w="100" w:type="dxa"/>
              <w:bottom w:w="100" w:type="dxa"/>
              <w:left w:w="140" w:type="dxa"/>
              <w:right w:w="140" w:type="dxa"/>
            </w:tcMar>
          </w:tcPr>
          <w:p>
            <w:pPr>
              <w:spacing w:before="40" w:after="40"/>
            </w:pPr>
            <w:r>
              <w:rPr>
                <w:rFonts w:ascii="Calibri" w:hAnsi="Calibri"/>
                <w:color w:val="1F2937"/>
                <w:sz w:val="18"/>
              </w:rPr>
              <w:t>$1,000.00</w:t>
            </w:r>
          </w:p>
        </w:tc>
      </w:tr>
      <w:tr>
        <w:tc>
          <w:tcPr>
            <w:tcW w:type="dxa" w:w="3168"/>
            <w:shd w:fill="F9FAFB"/>
            <w:tcMar>
              <w:top w:w="100" w:type="dxa"/>
              <w:bottom w:w="100" w:type="dxa"/>
              <w:left w:w="140" w:type="dxa"/>
              <w:right w:w="140" w:type="dxa"/>
            </w:tcMar>
          </w:tcPr>
          <w:p>
            <w:pPr>
              <w:spacing w:before="40" w:after="40"/>
            </w:pPr>
            <w:r>
              <w:rPr>
                <w:rFonts w:ascii="Calibri" w:hAnsi="Calibri"/>
                <w:color w:val="1F2937"/>
                <w:sz w:val="18"/>
              </w:rPr>
              <w:t>Gross Revenue (50 × $30)</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$1,500.00</w:t>
            </w:r>
          </w:p>
        </w:tc>
        <w:tc>
          <w:tcPr>
            <w:tcW w:type="dxa" w:w="3168"/>
            <w:shd w:fill="F9FAFB"/>
            <w:tcMar>
              <w:top w:w="100" w:type="dxa"/>
              <w:bottom w:w="100" w:type="dxa"/>
              <w:left w:w="140" w:type="dxa"/>
              <w:right w:w="140" w:type="dxa"/>
            </w:tcMar>
          </w:tcPr>
          <w:p>
            <w:pPr>
              <w:spacing w:before="40" w:after="40"/>
            </w:pPr>
            <w:r>
              <w:rPr>
                <w:rFonts w:ascii="Calibri" w:hAnsi="Calibri"/>
                <w:color w:val="1F2937"/>
                <w:sz w:val="18"/>
              </w:rPr>
              <w:t>$1,500.00</w:t>
            </w:r>
          </w:p>
        </w:tc>
      </w:tr>
      <w:tr>
        <w:tc>
          <w:tcPr>
            <w:tcW w:type="dxa" w:w="3168"/>
            <w:shd w:fill="FFFFFF"/>
            <w:tcMar>
              <w:top w:w="100" w:type="dxa"/>
              <w:bottom w:w="100" w:type="dxa"/>
              <w:left w:w="140" w:type="dxa"/>
              <w:right w:w="140" w:type="dxa"/>
            </w:tcMar>
          </w:tcPr>
          <w:p>
            <w:pPr>
              <w:spacing w:before="40" w:after="40"/>
            </w:pPr>
            <w:r>
              <w:rPr>
                <w:rFonts w:ascii="Calibri" w:hAnsi="Calibri"/>
                <w:color w:val="1F2937"/>
                <w:sz w:val="18"/>
              </w:rPr>
              <w:t>Gross Profit</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$500.00 (33.3% Margin)</w:t>
            </w:r>
          </w:p>
        </w:tc>
        <w:tc>
          <w:tcPr>
            <w:tcW w:type="dxa" w:w="3168"/>
            <w:shd w:fill="FFFFFF"/>
            <w:tcMar>
              <w:top w:w="100" w:type="dxa"/>
              <w:bottom w:w="100" w:type="dxa"/>
              <w:left w:w="140" w:type="dxa"/>
              <w:right w:w="140" w:type="dxa"/>
            </w:tcMar>
          </w:tcPr>
          <w:p>
            <w:pPr>
              <w:spacing w:before="40" w:after="40"/>
            </w:pPr>
            <w:r>
              <w:rPr>
                <w:rFonts w:ascii="Calibri" w:hAnsi="Calibri"/>
                <w:color w:val="1F2937"/>
                <w:sz w:val="18"/>
              </w:rPr>
              <w:t>$500.00 (33.3% Margin)</w:t>
            </w:r>
          </w:p>
        </w:tc>
      </w:tr>
      <w:tr>
        <w:tc>
          <w:tcPr>
            <w:tcW w:type="dxa" w:w="3168"/>
            <w:shd w:fill="F9FAFB"/>
            <w:tcMar>
              <w:top w:w="100" w:type="dxa"/>
              <w:bottom w:w="100" w:type="dxa"/>
              <w:left w:w="140" w:type="dxa"/>
              <w:right w:w="140" w:type="dxa"/>
            </w:tcMar>
          </w:tcPr>
          <w:p>
            <w:pPr>
              <w:spacing w:before="40" w:after="40"/>
            </w:pPr>
            <w:r>
              <w:rPr>
                <w:rFonts w:ascii="Calibri" w:hAnsi="Calibri"/>
                <w:color w:val="1F2937"/>
                <w:sz w:val="18"/>
              </w:rPr>
              <w:t>Allocated Overhead (Rent/Power)</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$0.00 (Ignored)</w:t>
            </w:r>
          </w:p>
        </w:tc>
        <w:tc>
          <w:tcPr>
            <w:tcW w:type="dxa" w:w="3168"/>
            <w:shd w:fill="F9FAFB"/>
            <w:tcMar>
              <w:top w:w="100" w:type="dxa"/>
              <w:bottom w:w="100" w:type="dxa"/>
              <w:left w:w="140" w:type="dxa"/>
              <w:right w:w="140" w:type="dxa"/>
            </w:tcMar>
          </w:tcPr>
          <w:p>
            <w:pPr>
              <w:spacing w:before="40" w:after="40"/>
            </w:pPr>
            <w:r>
              <w:rPr>
                <w:rFonts w:ascii="Calibri" w:hAnsi="Calibri"/>
                <w:color w:val="1F2937"/>
                <w:sz w:val="18"/>
              </w:rPr>
              <w:t>$280.00 (Factored over 14 days)</w:t>
            </w:r>
          </w:p>
        </w:tc>
      </w:tr>
      <w:tr>
        <w:tc>
          <w:tcPr>
            <w:tcW w:type="dxa" w:w="3168"/>
            <w:shd w:fill="FFFFFF"/>
            <w:tcMar>
              <w:top w:w="100" w:type="dxa"/>
              <w:bottom w:w="100" w:type="dxa"/>
              <w:left w:w="140" w:type="dxa"/>
              <w:right w:w="140" w:type="dxa"/>
            </w:tcMar>
          </w:tcPr>
          <w:p>
            <w:pPr>
              <w:spacing w:before="40" w:after="40"/>
            </w:pPr>
            <w:r>
              <w:rPr>
                <w:rFonts w:ascii="Calibri" w:hAnsi="Calibri"/>
                <w:color w:val="1F2937"/>
                <w:sz w:val="18"/>
              </w:rPr>
              <w:t>True Net Profit</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$500.00 (Misleading)</w:t>
            </w:r>
          </w:p>
        </w:tc>
        <w:tc>
          <w:tcPr>
            <w:tcW w:type="dxa" w:w="3168"/>
            <w:shd w:fill="FFFFFF"/>
            <w:tcMar>
              <w:top w:w="100" w:type="dxa"/>
              <w:bottom w:w="100" w:type="dxa"/>
              <w:left w:w="140" w:type="dxa"/>
              <w:right w:w="140" w:type="dxa"/>
            </w:tcMar>
          </w:tcPr>
          <w:p>
            <w:pPr>
              <w:spacing w:before="40" w:after="40"/>
            </w:pPr>
            <w:r>
              <w:rPr>
                <w:rFonts w:ascii="Calibri" w:hAnsi="Calibri"/>
                <w:color w:val="1F2937"/>
                <w:sz w:val="18"/>
              </w:rPr>
              <w:t>$220.00 (14.7% Real Bottom Line)</w:t>
            </w:r>
          </w:p>
        </w:tc>
      </w:tr>
    </w:tbl>
    <w:p>
      <w:r>
        <w:br w:type="page"/>
      </w:r>
    </w:p>
    <w:p>
      <w:pPr>
        <w:keepNext/>
        <w:spacing w:before="280" w:after="120"/>
      </w:pPr>
      <w:r>
        <w:rPr>
          <w:rFonts w:ascii="Calibri" w:hAnsi="Calibri"/>
          <w:b/>
          <w:color w:val="1E3A8A"/>
          <w:sz w:val="34"/>
        </w:rPr>
        <w:t>4. System Architecture &amp; Technology Stack</w:t>
      </w:r>
    </w:p>
    <w:p>
      <w:pPr>
        <w:spacing w:before="0" w:after="100"/>
      </w:pPr>
      <w:r>
        <w:rPr>
          <w:rFonts w:ascii="Calibri" w:hAnsi="Calibri"/>
          <w:color w:val="1F2937"/>
          <w:sz w:val="20"/>
        </w:rPr>
        <w:t>DMOC employs a modular, high-performance TypeScript monorepo architecture with clean separation of concerns across presentation, state, computation, and data persistence.</w:t>
      </w:r>
    </w:p>
    <w:p>
      <w:pPr>
        <w:keepNext/>
        <w:spacing w:before="200" w:after="80"/>
      </w:pPr>
      <w:r>
        <w:rPr>
          <w:rFonts w:ascii="Calibri" w:hAnsi="Calibri"/>
          <w:b/>
          <w:color w:val="2563EB"/>
          <w:sz w:val="26"/>
        </w:rPr>
        <w:t>4.1 Monorepo Structural Breakdown</w:t>
      </w:r>
    </w:p>
    <w:p>
      <w:pPr>
        <w:pStyle w:val="ListBullet"/>
        <w:spacing w:before="20" w:after="60"/>
      </w:pPr>
      <w:r>
        <w:rPr>
          <w:rFonts w:ascii="Calibri" w:hAnsi="Calibri"/>
          <w:b/>
          <w:color w:val="111827"/>
          <w:sz w:val="19"/>
        </w:rPr>
        <w:t xml:space="preserve">• frontend/: </w:t>
      </w:r>
      <w:r>
        <w:rPr>
          <w:rFonts w:ascii="Calibri" w:hAnsi="Calibri"/>
          <w:color w:val="1F2937"/>
          <w:sz w:val="19"/>
        </w:rPr>
        <w:t>React 18, Vite, Tailwind CSS, @xyflow/react v12, Three.js 3D Decision Tree, Zustand state store, and responsive glassmorphism UI.</w:t>
      </w:r>
    </w:p>
    <w:p>
      <w:pPr>
        <w:pStyle w:val="ListBullet"/>
        <w:spacing w:before="20" w:after="60"/>
      </w:pPr>
      <w:r>
        <w:rPr>
          <w:rFonts w:ascii="Calibri" w:hAnsi="Calibri"/>
          <w:b/>
          <w:color w:val="111827"/>
          <w:sz w:val="19"/>
        </w:rPr>
        <w:t xml:space="preserve">• backend/: </w:t>
      </w:r>
      <w:r>
        <w:rPr>
          <w:rFonts w:ascii="Calibri" w:hAnsi="Calibri"/>
          <w:color w:val="1F2937"/>
          <w:sz w:val="19"/>
        </w:rPr>
        <w:t>Node.js 20, Express, Prisma ORM, SQLite (local development) / PostgreSQL (production cloud), Argon2id encryption, and calculation microservices.</w:t>
      </w:r>
    </w:p>
    <w:p>
      <w:pPr>
        <w:pStyle w:val="ListBullet"/>
        <w:spacing w:before="20" w:after="60"/>
      </w:pPr>
      <w:r>
        <w:rPr>
          <w:rFonts w:ascii="Calibri" w:hAnsi="Calibri"/>
          <w:b/>
          <w:color w:val="111827"/>
          <w:sz w:val="19"/>
        </w:rPr>
        <w:t xml:space="preserve">• shared/: </w:t>
      </w:r>
      <w:r>
        <w:rPr>
          <w:rFonts w:ascii="Calibri" w:hAnsi="Calibri"/>
          <w:color w:val="1F2937"/>
          <w:sz w:val="19"/>
        </w:rPr>
        <w:t>Shared TypeScript interfaces, Zod request/response validation schemas, and common mathematical type definitions.</w:t>
      </w:r>
    </w:p>
    <w:p>
      <w:pPr>
        <w:keepNext/>
        <w:spacing w:before="200" w:after="80"/>
      </w:pPr>
      <w:r>
        <w:rPr>
          <w:rFonts w:ascii="Calibri" w:hAnsi="Calibri"/>
          <w:b/>
          <w:color w:val="2563EB"/>
          <w:sz w:val="26"/>
        </w:rPr>
        <w:t>4.2 Technology Stack Matrix</w:t>
      </w:r>
    </w:p>
    <w:tbl>
      <w:tblPr>
        <w:tblW w:type="auto" w:w="0"/>
        <w:jc w:val="center"/>
        <w:tblLook w:firstColumn="1" w:firstRow="1" w:lastColumn="0" w:lastRow="0" w:noHBand="0" w:noVBand="1" w:val="04A0"/>
      </w:tblPr>
      <w:tblGrid>
        <w:gridCol w:w="2520"/>
        <w:gridCol w:w="2520"/>
        <w:gridCol w:w="2520"/>
        <w:gridCol w:w="2520"/>
      </w:tblGrid>
      <w:tr>
        <w:tc>
          <w:tcPr>
            <w:tcW w:type="dxa" w:w="2160"/>
            <w:shd w:fill="1E3A8A"/>
            <w:tcMar>
              <w:top w:w="120" w:type="dxa"/>
              <w:bottom w:w="120" w:type="dxa"/>
              <w:left w:w="140" w:type="dxa"/>
              <w:right w:w="140" w:type="dxa"/>
            </w:tcMar>
          </w:tcPr>
          <w:p>
            <w:pPr>
              <w:spacing w:before="40" w:after="40"/>
            </w:pPr>
            <w:r>
              <w:rPr>
                <w:rFonts w:ascii="Calibri" w:hAnsi="Calibri"/>
                <w:b/>
                <w:color w:val="FFFFFF"/>
                <w:sz w:val="19"/>
              </w:rPr>
              <w:t>Layer / Subsystem</w:t>
            </w:r>
          </w:p>
        </w:tc>
        <w:tc>
          <w:tcPr>
            <w:tcW w:type="dxa" w:w="2304"/>
            <w:shd w:fill="1E3A8A"/>
            <w:tcMar>
              <w:top w:w="120" w:type="dxa"/>
              <w:bottom w:w="120" w:type="dxa"/>
              <w:left w:w="140" w:type="dxa"/>
              <w:right w:w="140" w:type="dxa"/>
            </w:tcMar>
          </w:tcPr>
          <w:p>
            <w:pPr>
              <w:spacing w:before="40" w:after="40"/>
            </w:pPr>
            <w:r>
              <w:rPr>
                <w:rFonts w:ascii="Calibri" w:hAnsi="Calibri"/>
                <w:b/>
                <w:color w:val="FFFFFF"/>
                <w:sz w:val="19"/>
              </w:rPr>
              <w:t>Technology</w:t>
            </w:r>
          </w:p>
        </w:tc>
        <w:tc>
          <w:tcPr>
            <w:tcW w:type="dxa" w:w="1440"/>
            <w:shd w:fill="1E3A8A"/>
            <w:tcMar>
              <w:top w:w="120" w:type="dxa"/>
              <w:bottom w:w="120" w:type="dxa"/>
              <w:left w:w="140" w:type="dxa"/>
              <w:right w:w="140" w:type="dxa"/>
            </w:tcMar>
          </w:tcPr>
          <w:p>
            <w:pPr>
              <w:spacing w:before="40" w:after="40"/>
            </w:pPr>
            <w:r>
              <w:rPr>
                <w:rFonts w:ascii="Calibri" w:hAnsi="Calibri"/>
                <w:b/>
                <w:color w:val="FFFFFF"/>
                <w:sz w:val="19"/>
              </w:rPr>
              <w:t>Version</w:t>
            </w:r>
          </w:p>
        </w:tc>
        <w:tc>
          <w:tcPr>
            <w:tcW w:type="dxa" w:w="3456"/>
            <w:shd w:fill="1E3A8A"/>
            <w:tcMar>
              <w:top w:w="120" w:type="dxa"/>
              <w:bottom w:w="120" w:type="dxa"/>
              <w:left w:w="140" w:type="dxa"/>
              <w:right w:w="140" w:type="dxa"/>
            </w:tcMar>
          </w:tcPr>
          <w:p>
            <w:pPr>
              <w:spacing w:before="40" w:after="40"/>
            </w:pPr>
            <w:r>
              <w:rPr>
                <w:rFonts w:ascii="Calibri" w:hAnsi="Calibri"/>
                <w:b/>
                <w:color w:val="FFFFFF"/>
                <w:sz w:val="19"/>
              </w:rPr>
              <w:t>Architectural Role &amp; Purpose</w:t>
            </w:r>
          </w:p>
        </w:tc>
      </w:tr>
      <w:tr>
        <w:tc>
          <w:tcPr>
            <w:tcW w:type="dxa" w:w="2160"/>
            <w:shd w:fill="FFFFFF"/>
            <w:tcMar>
              <w:top w:w="100" w:type="dxa"/>
              <w:bottom w:w="100" w:type="dxa"/>
              <w:left w:w="140" w:type="dxa"/>
              <w:right w:w="140" w:type="dxa"/>
            </w:tcMar>
          </w:tcPr>
          <w:p>
            <w:pPr>
              <w:spacing w:before="40" w:after="40"/>
            </w:pPr>
            <w:r>
              <w:rPr>
                <w:rFonts w:ascii="Calibri" w:hAnsi="Calibri"/>
                <w:color w:val="1F2937"/>
                <w:sz w:val="18"/>
              </w:rPr>
              <w:t>Frontend Core</w:t>
            </w:r>
          </w:p>
        </w:tc>
        <w:tc>
          <w:tcPr>
            <w:tcW w:type="dxa" w:w="2304"/>
            <w:shd w:fill="FFFFFF"/>
            <w:tcMar>
              <w:top w:w="100" w:type="dxa"/>
              <w:bottom w:w="100" w:type="dxa"/>
              <w:left w:w="140" w:type="dxa"/>
              <w:right w:w="140" w:type="dxa"/>
            </w:tcMar>
          </w:tcPr>
          <w:p>
            <w:pPr>
              <w:spacing w:before="40" w:after="40"/>
            </w:pPr>
            <w:r>
              <w:rPr>
                <w:rFonts w:ascii="Calibri" w:hAnsi="Calibri"/>
                <w:color w:val="1F2937"/>
                <w:sz w:val="18"/>
              </w:rPr>
              <w:t>React + TypeScript</w:t>
            </w:r>
          </w:p>
        </w:tc>
        <w:tc>
          <w:tcPr>
            <w:tcW w:type="dxa" w:w="1440"/>
            <w:shd w:fill="FFFFFF"/>
            <w:tcMar>
              <w:top w:w="100" w:type="dxa"/>
              <w:bottom w:w="100" w:type="dxa"/>
              <w:left w:w="140" w:type="dxa"/>
              <w:right w:w="140" w:type="dxa"/>
            </w:tcMar>
          </w:tcPr>
          <w:p>
            <w:pPr>
              <w:spacing w:before="40" w:after="40"/>
            </w:pPr>
            <w:r>
              <w:rPr>
                <w:rFonts w:ascii="Calibri" w:hAnsi="Calibri"/>
                <w:color w:val="1F2937"/>
                <w:sz w:val="18"/>
              </w:rPr>
              <w:t>18.3.1</w:t>
            </w:r>
          </w:p>
        </w:tc>
        <w:tc>
          <w:tcPr>
            <w:tcW w:type="dxa" w:w="3456"/>
            <w:shd w:fill="FFFFFF"/>
            <w:tcMar>
              <w:top w:w="100" w:type="dxa"/>
              <w:bottom w:w="100" w:type="dxa"/>
              <w:left w:w="140" w:type="dxa"/>
              <w:right w:w="140" w:type="dxa"/>
            </w:tcMar>
          </w:tcPr>
          <w:p>
            <w:pPr>
              <w:spacing w:before="40" w:after="40"/>
            </w:pPr>
            <w:r>
              <w:rPr>
                <w:rFonts w:ascii="Calibri" w:hAnsi="Calibri"/>
                <w:color w:val="1F2937"/>
                <w:sz w:val="18"/>
              </w:rPr>
              <w:t>Modular component hierarchy with strict compile-time types</w:t>
            </w:r>
          </w:p>
        </w:tc>
      </w:tr>
      <w:tr>
        <w:tc>
          <w:tcPr>
            <w:tcW w:type="dxa" w:w="2160"/>
            <w:shd w:fill="F9FAFB"/>
            <w:tcMar>
              <w:top w:w="100" w:type="dxa"/>
              <w:bottom w:w="100" w:type="dxa"/>
              <w:left w:w="140" w:type="dxa"/>
              <w:right w:w="140" w:type="dxa"/>
            </w:tcMar>
          </w:tcPr>
          <w:p>
            <w:pPr>
              <w:spacing w:before="40" w:after="40"/>
            </w:pPr>
            <w:r>
              <w:rPr>
                <w:rFonts w:ascii="Calibri" w:hAnsi="Calibri"/>
                <w:color w:val="1F2937"/>
                <w:sz w:val="18"/>
              </w:rPr>
              <w:t>Build Tooling</w:t>
            </w:r>
          </w:p>
        </w:tc>
        <w:tc>
          <w:tcPr>
            <w:tcW w:type="dxa" w:w="2304"/>
            <w:shd w:fill="F9FAFB"/>
            <w:tcMar>
              <w:top w:w="100" w:type="dxa"/>
              <w:bottom w:w="100" w:type="dxa"/>
              <w:left w:w="140" w:type="dxa"/>
              <w:right w:w="140" w:type="dxa"/>
            </w:tcMar>
          </w:tcPr>
          <w:p>
            <w:pPr>
              <w:spacing w:before="40" w:after="40"/>
            </w:pPr>
            <w:r>
              <w:rPr>
                <w:rFonts w:ascii="Calibri" w:hAnsi="Calibri"/>
                <w:color w:val="1F2937"/>
                <w:sz w:val="18"/>
              </w:rPr>
              <w:t>Vite</w:t>
            </w:r>
          </w:p>
        </w:tc>
        <w:tc>
          <w:tcPr>
            <w:tcW w:type="dxa" w:w="1440"/>
            <w:shd w:fill="F9FAFB"/>
            <w:tcMar>
              <w:top w:w="100" w:type="dxa"/>
              <w:bottom w:w="100" w:type="dxa"/>
              <w:left w:w="140" w:type="dxa"/>
              <w:right w:w="140" w:type="dxa"/>
            </w:tcMar>
          </w:tcPr>
          <w:p>
            <w:pPr>
              <w:spacing w:before="40" w:after="40"/>
            </w:pPr>
            <w:r>
              <w:rPr>
                <w:rFonts w:ascii="Calibri" w:hAnsi="Calibri"/>
                <w:color w:val="1F2937"/>
                <w:sz w:val="18"/>
              </w:rPr>
              <w:t>5.4.21</w:t>
            </w:r>
          </w:p>
        </w:tc>
        <w:tc>
          <w:tcPr>
            <w:tcW w:type="dxa" w:w="3456"/>
            <w:shd w:fill="F9FAFB"/>
            <w:tcMar>
              <w:top w:w="100" w:type="dxa"/>
              <w:bottom w:w="100" w:type="dxa"/>
              <w:left w:w="140" w:type="dxa"/>
              <w:right w:w="140" w:type="dxa"/>
            </w:tcMar>
          </w:tcPr>
          <w:p>
            <w:pPr>
              <w:spacing w:before="40" w:after="40"/>
            </w:pPr>
            <w:r>
              <w:rPr>
                <w:rFonts w:ascii="Calibri" w:hAnsi="Calibri"/>
                <w:color w:val="1F2937"/>
                <w:sz w:val="18"/>
              </w:rPr>
              <w:t>Sub-second HMR and production bundle minification</w:t>
            </w:r>
          </w:p>
        </w:tc>
      </w:tr>
      <w:tr>
        <w:tc>
          <w:tcPr>
            <w:tcW w:type="dxa" w:w="2160"/>
            <w:shd w:fill="FFFFFF"/>
            <w:tcMar>
              <w:top w:w="100" w:type="dxa"/>
              <w:bottom w:w="100" w:type="dxa"/>
              <w:left w:w="140" w:type="dxa"/>
              <w:right w:w="140" w:type="dxa"/>
            </w:tcMar>
          </w:tcPr>
          <w:p>
            <w:pPr>
              <w:spacing w:before="40" w:after="40"/>
            </w:pPr>
            <w:r>
              <w:rPr>
                <w:rFonts w:ascii="Calibri" w:hAnsi="Calibri"/>
                <w:color w:val="1F2937"/>
                <w:sz w:val="18"/>
              </w:rPr>
              <w:t>Workflow Canvas</w:t>
            </w:r>
          </w:p>
        </w:tc>
        <w:tc>
          <w:tcPr>
            <w:tcW w:type="dxa" w:w="2304"/>
            <w:shd w:fill="FFFFFF"/>
            <w:tcMar>
              <w:top w:w="100" w:type="dxa"/>
              <w:bottom w:w="100" w:type="dxa"/>
              <w:left w:w="140" w:type="dxa"/>
              <w:right w:w="140" w:type="dxa"/>
            </w:tcMar>
          </w:tcPr>
          <w:p>
            <w:pPr>
              <w:spacing w:before="40" w:after="40"/>
            </w:pPr>
            <w:r>
              <w:rPr>
                <w:rFonts w:ascii="Calibri" w:hAnsi="Calibri"/>
                <w:color w:val="1F2937"/>
                <w:sz w:val="18"/>
              </w:rPr>
              <w:t>@xyflow/react</w:t>
            </w:r>
          </w:p>
        </w:tc>
        <w:tc>
          <w:tcPr>
            <w:tcW w:type="dxa" w:w="1440"/>
            <w:shd w:fill="FFFFFF"/>
            <w:tcMar>
              <w:top w:w="100" w:type="dxa"/>
              <w:bottom w:w="100" w:type="dxa"/>
              <w:left w:w="140" w:type="dxa"/>
              <w:right w:w="140" w:type="dxa"/>
            </w:tcMar>
          </w:tcPr>
          <w:p>
            <w:pPr>
              <w:spacing w:before="40" w:after="40"/>
            </w:pPr>
            <w:r>
              <w:rPr>
                <w:rFonts w:ascii="Calibri" w:hAnsi="Calibri"/>
                <w:color w:val="1F2937"/>
                <w:sz w:val="18"/>
              </w:rPr>
              <w:t>12.3.6</w:t>
            </w:r>
          </w:p>
        </w:tc>
        <w:tc>
          <w:tcPr>
            <w:tcW w:type="dxa" w:w="3456"/>
            <w:shd w:fill="FFFFFF"/>
            <w:tcMar>
              <w:top w:w="100" w:type="dxa"/>
              <w:bottom w:w="100" w:type="dxa"/>
              <w:left w:w="140" w:type="dxa"/>
              <w:right w:w="140" w:type="dxa"/>
            </w:tcMar>
          </w:tcPr>
          <w:p>
            <w:pPr>
              <w:spacing w:before="40" w:after="40"/>
            </w:pPr>
            <w:r>
              <w:rPr>
                <w:rFonts w:ascii="Calibri" w:hAnsi="Calibri"/>
                <w:color w:val="1F2937"/>
                <w:sz w:val="18"/>
              </w:rPr>
              <w:t>Visual node editor, custom handles, smooth bezier paths</w:t>
            </w:r>
          </w:p>
        </w:tc>
      </w:tr>
      <w:tr>
        <w:tc>
          <w:tcPr>
            <w:tcW w:type="dxa" w:w="2160"/>
            <w:shd w:fill="F9FAFB"/>
            <w:tcMar>
              <w:top w:w="100" w:type="dxa"/>
              <w:bottom w:w="100" w:type="dxa"/>
              <w:left w:w="140" w:type="dxa"/>
              <w:right w:w="140" w:type="dxa"/>
            </w:tcMar>
          </w:tcPr>
          <w:p>
            <w:pPr>
              <w:spacing w:before="40" w:after="40"/>
            </w:pPr>
            <w:r>
              <w:rPr>
                <w:rFonts w:ascii="Calibri" w:hAnsi="Calibri"/>
                <w:color w:val="1F2937"/>
                <w:sz w:val="18"/>
              </w:rPr>
              <w:t>3D Visualization</w:t>
            </w:r>
          </w:p>
        </w:tc>
        <w:tc>
          <w:tcPr>
            <w:tcW w:type="dxa" w:w="2304"/>
            <w:shd w:fill="F9FAFB"/>
            <w:tcMar>
              <w:top w:w="100" w:type="dxa"/>
              <w:bottom w:w="100" w:type="dxa"/>
              <w:left w:w="140" w:type="dxa"/>
              <w:right w:w="140" w:type="dxa"/>
            </w:tcMar>
          </w:tcPr>
          <w:p>
            <w:pPr>
              <w:spacing w:before="40" w:after="40"/>
            </w:pPr>
            <w:r>
              <w:rPr>
                <w:rFonts w:ascii="Calibri" w:hAnsi="Calibri"/>
                <w:color w:val="1F2937"/>
                <w:sz w:val="18"/>
              </w:rPr>
              <w:t>Three.js + R3F</w:t>
            </w:r>
          </w:p>
        </w:tc>
        <w:tc>
          <w:tcPr>
            <w:tcW w:type="dxa" w:w="1440"/>
            <w:shd w:fill="F9FAFB"/>
            <w:tcMar>
              <w:top w:w="100" w:type="dxa"/>
              <w:bottom w:w="100" w:type="dxa"/>
              <w:left w:w="140" w:type="dxa"/>
              <w:right w:w="140" w:type="dxa"/>
            </w:tcMar>
          </w:tcPr>
          <w:p>
            <w:pPr>
              <w:spacing w:before="40" w:after="40"/>
            </w:pPr>
            <w:r>
              <w:rPr>
                <w:rFonts w:ascii="Calibri" w:hAnsi="Calibri"/>
                <w:color w:val="1F2937"/>
                <w:sz w:val="18"/>
              </w:rPr>
              <w:t>0.160.0</w:t>
            </w:r>
          </w:p>
        </w:tc>
        <w:tc>
          <w:tcPr>
            <w:tcW w:type="dxa" w:w="3456"/>
            <w:shd w:fill="F9FAFB"/>
            <w:tcMar>
              <w:top w:w="100" w:type="dxa"/>
              <w:bottom w:w="100" w:type="dxa"/>
              <w:left w:w="140" w:type="dxa"/>
              <w:right w:w="140" w:type="dxa"/>
            </w:tcMar>
          </w:tcPr>
          <w:p>
            <w:pPr>
              <w:spacing w:before="40" w:after="40"/>
            </w:pPr>
            <w:r>
              <w:rPr>
                <w:rFonts w:ascii="Calibri" w:hAnsi="Calibri"/>
                <w:color w:val="1F2937"/>
                <w:sz w:val="18"/>
              </w:rPr>
              <w:t>3D hierarchical decision trees with orbital controls</w:t>
            </w:r>
          </w:p>
        </w:tc>
      </w:tr>
      <w:tr>
        <w:tc>
          <w:tcPr>
            <w:tcW w:type="dxa" w:w="2160"/>
            <w:shd w:fill="FFFFFF"/>
            <w:tcMar>
              <w:top w:w="100" w:type="dxa"/>
              <w:bottom w:w="100" w:type="dxa"/>
              <w:left w:w="140" w:type="dxa"/>
              <w:right w:w="140" w:type="dxa"/>
            </w:tcMar>
          </w:tcPr>
          <w:p>
            <w:pPr>
              <w:spacing w:before="40" w:after="40"/>
            </w:pPr>
            <w:r>
              <w:rPr>
                <w:rFonts w:ascii="Calibri" w:hAnsi="Calibri"/>
                <w:color w:val="1F2937"/>
                <w:sz w:val="18"/>
              </w:rPr>
              <w:t>State Management</w:t>
            </w:r>
          </w:p>
        </w:tc>
        <w:tc>
          <w:tcPr>
            <w:tcW w:type="dxa" w:w="2304"/>
            <w:shd w:fill="FFFFFF"/>
            <w:tcMar>
              <w:top w:w="100" w:type="dxa"/>
              <w:bottom w:w="100" w:type="dxa"/>
              <w:left w:w="140" w:type="dxa"/>
              <w:right w:w="140" w:type="dxa"/>
            </w:tcMar>
          </w:tcPr>
          <w:p>
            <w:pPr>
              <w:spacing w:before="40" w:after="40"/>
            </w:pPr>
            <w:r>
              <w:rPr>
                <w:rFonts w:ascii="Calibri" w:hAnsi="Calibri"/>
                <w:color w:val="1F2937"/>
                <w:sz w:val="18"/>
              </w:rPr>
              <w:t>Zustand + Immer</w:t>
            </w:r>
          </w:p>
        </w:tc>
        <w:tc>
          <w:tcPr>
            <w:tcW w:type="dxa" w:w="1440"/>
            <w:shd w:fill="FFFFFF"/>
            <w:tcMar>
              <w:top w:w="100" w:type="dxa"/>
              <w:bottom w:w="100" w:type="dxa"/>
              <w:left w:w="140" w:type="dxa"/>
              <w:right w:w="140" w:type="dxa"/>
            </w:tcMar>
          </w:tcPr>
          <w:p>
            <w:pPr>
              <w:spacing w:before="40" w:after="40"/>
            </w:pPr>
            <w:r>
              <w:rPr>
                <w:rFonts w:ascii="Calibri" w:hAnsi="Calibri"/>
                <w:color w:val="1F2937"/>
                <w:sz w:val="18"/>
              </w:rPr>
              <w:t>5.0.3</w:t>
            </w:r>
          </w:p>
        </w:tc>
        <w:tc>
          <w:tcPr>
            <w:tcW w:type="dxa" w:w="3456"/>
            <w:shd w:fill="FFFFFF"/>
            <w:tcMar>
              <w:top w:w="100" w:type="dxa"/>
              <w:bottom w:w="100" w:type="dxa"/>
              <w:left w:w="140" w:type="dxa"/>
              <w:right w:w="140" w:type="dxa"/>
            </w:tcMar>
          </w:tcPr>
          <w:p>
            <w:pPr>
              <w:spacing w:before="40" w:after="40"/>
            </w:pPr>
            <w:r>
              <w:rPr>
                <w:rFonts w:ascii="Calibri" w:hAnsi="Calibri"/>
                <w:color w:val="1F2937"/>
                <w:sz w:val="18"/>
              </w:rPr>
              <w:t>Reactive state, undo/redo stacks, persistent storage</w:t>
            </w:r>
          </w:p>
        </w:tc>
      </w:tr>
      <w:tr>
        <w:tc>
          <w:tcPr>
            <w:tcW w:type="dxa" w:w="2160"/>
            <w:shd w:fill="F9FAFB"/>
            <w:tcMar>
              <w:top w:w="100" w:type="dxa"/>
              <w:bottom w:w="100" w:type="dxa"/>
              <w:left w:w="140" w:type="dxa"/>
              <w:right w:w="140" w:type="dxa"/>
            </w:tcMar>
          </w:tcPr>
          <w:p>
            <w:pPr>
              <w:spacing w:before="40" w:after="40"/>
            </w:pPr>
            <w:r>
              <w:rPr>
                <w:rFonts w:ascii="Calibri" w:hAnsi="Calibri"/>
                <w:color w:val="1F2937"/>
                <w:sz w:val="18"/>
              </w:rPr>
              <w:t>Styling &amp; Tokens</w:t>
            </w:r>
          </w:p>
        </w:tc>
        <w:tc>
          <w:tcPr>
            <w:tcW w:type="dxa" w:w="2304"/>
            <w:shd w:fill="F9FAFB"/>
            <w:tcMar>
              <w:top w:w="100" w:type="dxa"/>
              <w:bottom w:w="100" w:type="dxa"/>
              <w:left w:w="140" w:type="dxa"/>
              <w:right w:w="140" w:type="dxa"/>
            </w:tcMar>
          </w:tcPr>
          <w:p>
            <w:pPr>
              <w:spacing w:before="40" w:after="40"/>
            </w:pPr>
            <w:r>
              <w:rPr>
                <w:rFonts w:ascii="Calibri" w:hAnsi="Calibri"/>
                <w:color w:val="1F2937"/>
                <w:sz w:val="18"/>
              </w:rPr>
              <w:t>Tailwind CSS</w:t>
            </w:r>
          </w:p>
        </w:tc>
        <w:tc>
          <w:tcPr>
            <w:tcW w:type="dxa" w:w="1440"/>
            <w:shd w:fill="F9FAFB"/>
            <w:tcMar>
              <w:top w:w="100" w:type="dxa"/>
              <w:bottom w:w="100" w:type="dxa"/>
              <w:left w:w="140" w:type="dxa"/>
              <w:right w:w="140" w:type="dxa"/>
            </w:tcMar>
          </w:tcPr>
          <w:p>
            <w:pPr>
              <w:spacing w:before="40" w:after="40"/>
            </w:pPr>
            <w:r>
              <w:rPr>
                <w:rFonts w:ascii="Calibri" w:hAnsi="Calibri"/>
                <w:color w:val="1F2937"/>
                <w:sz w:val="18"/>
              </w:rPr>
              <w:t>3.4.1</w:t>
            </w:r>
          </w:p>
        </w:tc>
        <w:tc>
          <w:tcPr>
            <w:tcW w:type="dxa" w:w="3456"/>
            <w:shd w:fill="F9FAFB"/>
            <w:tcMar>
              <w:top w:w="100" w:type="dxa"/>
              <w:bottom w:w="100" w:type="dxa"/>
              <w:left w:w="140" w:type="dxa"/>
              <w:right w:w="140" w:type="dxa"/>
            </w:tcMar>
          </w:tcPr>
          <w:p>
            <w:pPr>
              <w:spacing w:before="40" w:after="40"/>
            </w:pPr>
            <w:r>
              <w:rPr>
                <w:rFonts w:ascii="Calibri" w:hAnsi="Calibri"/>
                <w:color w:val="1F2937"/>
                <w:sz w:val="18"/>
              </w:rPr>
              <w:t>Curated HSL dark/light modes and Outfit typography</w:t>
            </w:r>
          </w:p>
        </w:tc>
      </w:tr>
      <w:tr>
        <w:tc>
          <w:tcPr>
            <w:tcW w:type="dxa" w:w="2160"/>
            <w:shd w:fill="FFFFFF"/>
            <w:tcMar>
              <w:top w:w="100" w:type="dxa"/>
              <w:bottom w:w="100" w:type="dxa"/>
              <w:left w:w="140" w:type="dxa"/>
              <w:right w:w="140" w:type="dxa"/>
            </w:tcMar>
          </w:tcPr>
          <w:p>
            <w:pPr>
              <w:spacing w:before="40" w:after="40"/>
            </w:pPr>
            <w:r>
              <w:rPr>
                <w:rFonts w:ascii="Calibri" w:hAnsi="Calibri"/>
                <w:color w:val="1F2937"/>
                <w:sz w:val="18"/>
              </w:rPr>
              <w:t>Backend Runtime</w:t>
            </w:r>
          </w:p>
        </w:tc>
        <w:tc>
          <w:tcPr>
            <w:tcW w:type="dxa" w:w="2304"/>
            <w:shd w:fill="FFFFFF"/>
            <w:tcMar>
              <w:top w:w="100" w:type="dxa"/>
              <w:bottom w:w="100" w:type="dxa"/>
              <w:left w:w="140" w:type="dxa"/>
              <w:right w:w="140" w:type="dxa"/>
            </w:tcMar>
          </w:tcPr>
          <w:p>
            <w:pPr>
              <w:spacing w:before="40" w:after="40"/>
            </w:pPr>
            <w:r>
              <w:rPr>
                <w:rFonts w:ascii="Calibri" w:hAnsi="Calibri"/>
                <w:color w:val="1F2937"/>
                <w:sz w:val="18"/>
              </w:rPr>
              <w:t>Node.js + Express</w:t>
            </w:r>
          </w:p>
        </w:tc>
        <w:tc>
          <w:tcPr>
            <w:tcW w:type="dxa" w:w="1440"/>
            <w:shd w:fill="FFFFFF"/>
            <w:tcMar>
              <w:top w:w="100" w:type="dxa"/>
              <w:bottom w:w="100" w:type="dxa"/>
              <w:left w:w="140" w:type="dxa"/>
              <w:right w:w="140" w:type="dxa"/>
            </w:tcMar>
          </w:tcPr>
          <w:p>
            <w:pPr>
              <w:spacing w:before="40" w:after="40"/>
            </w:pPr>
            <w:r>
              <w:rPr>
                <w:rFonts w:ascii="Calibri" w:hAnsi="Calibri"/>
                <w:color w:val="1F2937"/>
                <w:sz w:val="18"/>
              </w:rPr>
              <w:t>20.x / 4.19</w:t>
            </w:r>
          </w:p>
        </w:tc>
        <w:tc>
          <w:tcPr>
            <w:tcW w:type="dxa" w:w="3456"/>
            <w:shd w:fill="FFFFFF"/>
            <w:tcMar>
              <w:top w:w="100" w:type="dxa"/>
              <w:bottom w:w="100" w:type="dxa"/>
              <w:left w:w="140" w:type="dxa"/>
              <w:right w:w="140" w:type="dxa"/>
            </w:tcMar>
          </w:tcPr>
          <w:p>
            <w:pPr>
              <w:spacing w:before="40" w:after="40"/>
            </w:pPr>
            <w:r>
              <w:rPr>
                <w:rFonts w:ascii="Calibri" w:hAnsi="Calibri"/>
                <w:color w:val="1F2937"/>
                <w:sz w:val="18"/>
              </w:rPr>
              <w:t>High-throughput asynchronous REST microservices</w:t>
            </w:r>
          </w:p>
        </w:tc>
      </w:tr>
      <w:tr>
        <w:tc>
          <w:tcPr>
            <w:tcW w:type="dxa" w:w="2160"/>
            <w:shd w:fill="F9FAFB"/>
            <w:tcMar>
              <w:top w:w="100" w:type="dxa"/>
              <w:bottom w:w="100" w:type="dxa"/>
              <w:left w:w="140" w:type="dxa"/>
              <w:right w:w="140" w:type="dxa"/>
            </w:tcMar>
          </w:tcPr>
          <w:p>
            <w:pPr>
              <w:spacing w:before="40" w:after="40"/>
            </w:pPr>
            <w:r>
              <w:rPr>
                <w:rFonts w:ascii="Calibri" w:hAnsi="Calibri"/>
                <w:color w:val="1F2937"/>
                <w:sz w:val="18"/>
              </w:rPr>
              <w:t>ORM &amp; Schema</w:t>
            </w:r>
          </w:p>
        </w:tc>
        <w:tc>
          <w:tcPr>
            <w:tcW w:type="dxa" w:w="2304"/>
            <w:shd w:fill="F9FAFB"/>
            <w:tcMar>
              <w:top w:w="100" w:type="dxa"/>
              <w:bottom w:w="100" w:type="dxa"/>
              <w:left w:w="140" w:type="dxa"/>
              <w:right w:w="140" w:type="dxa"/>
            </w:tcMar>
          </w:tcPr>
          <w:p>
            <w:pPr>
              <w:spacing w:before="40" w:after="40"/>
            </w:pPr>
            <w:r>
              <w:rPr>
                <w:rFonts w:ascii="Calibri" w:hAnsi="Calibri"/>
                <w:color w:val="1F2937"/>
                <w:sz w:val="18"/>
              </w:rPr>
              <w:t>Prisma ORM</w:t>
            </w:r>
          </w:p>
        </w:tc>
        <w:tc>
          <w:tcPr>
            <w:tcW w:type="dxa" w:w="1440"/>
            <w:shd w:fill="F9FAFB"/>
            <w:tcMar>
              <w:top w:w="100" w:type="dxa"/>
              <w:bottom w:w="100" w:type="dxa"/>
              <w:left w:w="140" w:type="dxa"/>
              <w:right w:w="140" w:type="dxa"/>
            </w:tcMar>
          </w:tcPr>
          <w:p>
            <w:pPr>
              <w:spacing w:before="40" w:after="40"/>
            </w:pPr>
            <w:r>
              <w:rPr>
                <w:rFonts w:ascii="Calibri" w:hAnsi="Calibri"/>
                <w:color w:val="1F2937"/>
                <w:sz w:val="18"/>
              </w:rPr>
              <w:t>5.10.2</w:t>
            </w:r>
          </w:p>
        </w:tc>
        <w:tc>
          <w:tcPr>
            <w:tcW w:type="dxa" w:w="3456"/>
            <w:shd w:fill="F9FAFB"/>
            <w:tcMar>
              <w:top w:w="100" w:type="dxa"/>
              <w:bottom w:w="100" w:type="dxa"/>
              <w:left w:w="140" w:type="dxa"/>
              <w:right w:w="140" w:type="dxa"/>
            </w:tcMar>
          </w:tcPr>
          <w:p>
            <w:pPr>
              <w:spacing w:before="40" w:after="40"/>
            </w:pPr>
            <w:r>
              <w:rPr>
                <w:rFonts w:ascii="Calibri" w:hAnsi="Calibri"/>
                <w:color w:val="1F2937"/>
                <w:sz w:val="18"/>
              </w:rPr>
              <w:t>Type-safe database migrations and relation mapping</w:t>
            </w:r>
          </w:p>
        </w:tc>
      </w:tr>
      <w:tr>
        <w:tc>
          <w:tcPr>
            <w:tcW w:type="dxa" w:w="2160"/>
            <w:shd w:fill="FFFFFF"/>
            <w:tcMar>
              <w:top w:w="100" w:type="dxa"/>
              <w:bottom w:w="100" w:type="dxa"/>
              <w:left w:w="140" w:type="dxa"/>
              <w:right w:w="140" w:type="dxa"/>
            </w:tcMar>
          </w:tcPr>
          <w:p>
            <w:pPr>
              <w:spacing w:before="40" w:after="40"/>
            </w:pPr>
            <w:r>
              <w:rPr>
                <w:rFonts w:ascii="Calibri" w:hAnsi="Calibri"/>
                <w:color w:val="1F2937"/>
                <w:sz w:val="18"/>
              </w:rPr>
              <w:t>Database Engine</w:t>
            </w:r>
          </w:p>
        </w:tc>
        <w:tc>
          <w:tcPr>
            <w:tcW w:type="dxa" w:w="2304"/>
            <w:shd w:fill="FFFFFF"/>
            <w:tcMar>
              <w:top w:w="100" w:type="dxa"/>
              <w:bottom w:w="100" w:type="dxa"/>
              <w:left w:w="140" w:type="dxa"/>
              <w:right w:w="140" w:type="dxa"/>
            </w:tcMar>
          </w:tcPr>
          <w:p>
            <w:pPr>
              <w:spacing w:before="40" w:after="40"/>
            </w:pPr>
            <w:r>
              <w:rPr>
                <w:rFonts w:ascii="Calibri" w:hAnsi="Calibri"/>
                <w:color w:val="1F2937"/>
                <w:sz w:val="18"/>
              </w:rPr>
              <w:t>SQLite / PostgreSQL</w:t>
            </w:r>
          </w:p>
        </w:tc>
        <w:tc>
          <w:tcPr>
            <w:tcW w:type="dxa" w:w="1440"/>
            <w:shd w:fill="FFFFFF"/>
            <w:tcMar>
              <w:top w:w="100" w:type="dxa"/>
              <w:bottom w:w="100" w:type="dxa"/>
              <w:left w:w="140" w:type="dxa"/>
              <w:right w:w="140" w:type="dxa"/>
            </w:tcMar>
          </w:tcPr>
          <w:p>
            <w:pPr>
              <w:spacing w:before="40" w:after="40"/>
            </w:pPr>
            <w:r>
              <w:rPr>
                <w:rFonts w:ascii="Calibri" w:hAnsi="Calibri"/>
                <w:color w:val="1F2937"/>
                <w:sz w:val="18"/>
              </w:rPr>
              <w:t>3.x / 15+</w:t>
            </w:r>
          </w:p>
        </w:tc>
        <w:tc>
          <w:tcPr>
            <w:tcW w:type="dxa" w:w="3456"/>
            <w:shd w:fill="FFFFFF"/>
            <w:tcMar>
              <w:top w:w="100" w:type="dxa"/>
              <w:bottom w:w="100" w:type="dxa"/>
              <w:left w:w="140" w:type="dxa"/>
              <w:right w:w="140" w:type="dxa"/>
            </w:tcMar>
          </w:tcPr>
          <w:p>
            <w:pPr>
              <w:spacing w:before="40" w:after="40"/>
            </w:pPr>
            <w:r>
              <w:rPr>
                <w:rFonts w:ascii="Calibri" w:hAnsi="Calibri"/>
                <w:color w:val="1F2937"/>
                <w:sz w:val="18"/>
              </w:rPr>
              <w:t>Zero-config local storage &amp; high-concurrency cloud DB</w:t>
            </w:r>
          </w:p>
        </w:tc>
      </w:tr>
      <w:tr>
        <w:tc>
          <w:tcPr>
            <w:tcW w:type="dxa" w:w="2160"/>
            <w:shd w:fill="F9FAFB"/>
            <w:tcMar>
              <w:top w:w="100" w:type="dxa"/>
              <w:bottom w:w="100" w:type="dxa"/>
              <w:left w:w="140" w:type="dxa"/>
              <w:right w:w="140" w:type="dxa"/>
            </w:tcMar>
          </w:tcPr>
          <w:p>
            <w:pPr>
              <w:spacing w:before="40" w:after="40"/>
            </w:pPr>
            <w:r>
              <w:rPr>
                <w:rFonts w:ascii="Calibri" w:hAnsi="Calibri"/>
                <w:color w:val="1F2937"/>
                <w:sz w:val="18"/>
              </w:rPr>
              <w:t>Security Core</w:t>
            </w:r>
          </w:p>
        </w:tc>
        <w:tc>
          <w:tcPr>
            <w:tcW w:type="dxa" w:w="2304"/>
            <w:shd w:fill="F9FAFB"/>
            <w:tcMar>
              <w:top w:w="100" w:type="dxa"/>
              <w:bottom w:w="100" w:type="dxa"/>
              <w:left w:w="140" w:type="dxa"/>
              <w:right w:w="140" w:type="dxa"/>
            </w:tcMar>
          </w:tcPr>
          <w:p>
            <w:pPr>
              <w:spacing w:before="40" w:after="40"/>
            </w:pPr>
            <w:r>
              <w:rPr>
                <w:rFonts w:ascii="Calibri" w:hAnsi="Calibri"/>
                <w:color w:val="1F2937"/>
                <w:sz w:val="18"/>
              </w:rPr>
              <w:t>Argon2id + JWT</w:t>
            </w:r>
          </w:p>
        </w:tc>
        <w:tc>
          <w:tcPr>
            <w:tcW w:type="dxa" w:w="1440"/>
            <w:shd w:fill="F9FAFB"/>
            <w:tcMar>
              <w:top w:w="100" w:type="dxa"/>
              <w:bottom w:w="100" w:type="dxa"/>
              <w:left w:w="140" w:type="dxa"/>
              <w:right w:w="140" w:type="dxa"/>
            </w:tcMar>
          </w:tcPr>
          <w:p>
            <w:pPr>
              <w:spacing w:before="40" w:after="40"/>
            </w:pPr>
            <w:r>
              <w:rPr>
                <w:rFonts w:ascii="Calibri" w:hAnsi="Calibri"/>
                <w:color w:val="1F2937"/>
                <w:sz w:val="18"/>
              </w:rPr>
              <w:t>0.40 / 9.0</w:t>
            </w:r>
          </w:p>
        </w:tc>
        <w:tc>
          <w:tcPr>
            <w:tcW w:type="dxa" w:w="3456"/>
            <w:shd w:fill="F9FAFB"/>
            <w:tcMar>
              <w:top w:w="100" w:type="dxa"/>
              <w:bottom w:w="100" w:type="dxa"/>
              <w:left w:w="140" w:type="dxa"/>
              <w:right w:w="140" w:type="dxa"/>
            </w:tcMar>
          </w:tcPr>
          <w:p>
            <w:pPr>
              <w:spacing w:before="40" w:after="40"/>
            </w:pPr>
            <w:r>
              <w:rPr>
                <w:rFonts w:ascii="Calibri" w:hAnsi="Calibri"/>
                <w:color w:val="1F2937"/>
                <w:sz w:val="18"/>
              </w:rPr>
              <w:t>Memory-hard password hashing &amp; dual-token rotation</w:t>
            </w:r>
          </w:p>
        </w:tc>
      </w:tr>
    </w:tbl>
    <w:p>
      <w:pPr>
        <w:keepNext/>
        <w:spacing w:before="200" w:after="80"/>
      </w:pPr>
      <w:r>
        <w:rPr>
          <w:rFonts w:ascii="Calibri" w:hAnsi="Calibri"/>
          <w:b/>
          <w:color w:val="2563EB"/>
          <w:sz w:val="26"/>
        </w:rPr>
        <w:t>4.3 Architectural Execution Pipeline</w:t>
      </w:r>
    </w:p>
    <w:p>
      <w:pPr>
        <w:spacing w:before="0" w:after="100"/>
      </w:pPr>
      <w:r>
        <w:rPr>
          <w:rFonts w:ascii="Calibri" w:hAnsi="Calibri"/>
          <w:color w:val="1F2937"/>
          <w:sz w:val="20"/>
        </w:rPr>
        <w:t>1. Ingestion: Client queries are parsed by the Natural Language Processor, extracting business context, product entities, proposed volumes, and time horizons.</w:t>
        <w:br/>
        <w:t>2. Enrichment: The backend checks local store inventory. If unlisted or needing verification, it queries Open Food Facts or CDSCO registries.</w:t>
        <w:br/>
        <w:t>3. Multi-Path Simulation: The Inventory Decision Engine models Path A (Proposed), Path B (Status Quo), and Path C (Calibrated Optimal).</w:t>
        <w:br/>
        <w:t>4. Visual Graph Compilation: The simulation payload is automatically compiled into an editable directed acyclic graph (DAG) on the workflow canvas.</w:t>
        <w:br/>
        <w:t>5. Execution &amp; Audit: Running the workflow evaluates topological dependencies, recording execution times and node outputs into an immutable audit ledger.</w:t>
      </w:r>
    </w:p>
    <w:p>
      <w:r>
        <w:br w:type="page"/>
      </w:r>
    </w:p>
    <w:p>
      <w:pPr>
        <w:keepNext/>
        <w:spacing w:before="280" w:after="120"/>
      </w:pPr>
      <w:r>
        <w:rPr>
          <w:rFonts w:ascii="Calibri" w:hAnsi="Calibri"/>
          <w:b/>
          <w:color w:val="1E3A8A"/>
          <w:sz w:val="34"/>
        </w:rPr>
        <w:t>5. Data Architecture &amp; Schema Reference</w:t>
      </w:r>
    </w:p>
    <w:p>
      <w:pPr>
        <w:spacing w:before="0" w:after="100"/>
      </w:pPr>
      <w:r>
        <w:rPr>
          <w:rFonts w:ascii="Calibri" w:hAnsi="Calibri"/>
          <w:color w:val="1F2937"/>
          <w:sz w:val="20"/>
        </w:rPr>
        <w:t>DMOC models real-world store operations and decision science using an enterprise Prisma schema supporting multi-tenant workspace isolation and transactional integrity.</w:t>
      </w:r>
    </w:p>
    <w:p>
      <w:pPr>
        <w:keepNext/>
        <w:spacing w:before="200" w:after="80"/>
      </w:pPr>
      <w:r>
        <w:rPr>
          <w:rFonts w:ascii="Calibri" w:hAnsi="Calibri"/>
          <w:b/>
          <w:color w:val="2563EB"/>
          <w:sz w:val="26"/>
        </w:rPr>
        <w:t>5.1 Multi-Store Business &amp; Catalog Models</w:t>
      </w:r>
    </w:p>
    <w:p>
      <w:pPr>
        <w:pStyle w:val="ListBullet"/>
        <w:spacing w:before="20" w:after="60"/>
      </w:pPr>
      <w:r>
        <w:rPr>
          <w:rFonts w:ascii="Calibri" w:hAnsi="Calibri"/>
          <w:b/>
          <w:color w:val="111827"/>
          <w:sz w:val="19"/>
        </w:rPr>
        <w:t xml:space="preserve">1. Business Profile: </w:t>
      </w:r>
      <w:r>
        <w:rPr>
          <w:rFonts w:ascii="Calibri" w:hAnsi="Calibri"/>
          <w:color w:val="1F2937"/>
          <w:sz w:val="19"/>
        </w:rPr>
        <w:t>Represents a distinct store, shop, or enterprise workspace. Contains monthly revenue, fixed operating costs, currency code (INR, USD, EUR), tax percentage, and the critical isSample boolean flag.</w:t>
      </w:r>
    </w:p>
    <w:p>
      <w:pPr>
        <w:pStyle w:val="ListBullet"/>
        <w:spacing w:before="20" w:after="60"/>
      </w:pPr>
      <w:r>
        <w:rPr>
          <w:rFonts w:ascii="Calibri" w:hAnsi="Calibri"/>
          <w:b/>
          <w:color w:val="111827"/>
          <w:sz w:val="19"/>
        </w:rPr>
        <w:t xml:space="preserve">2. Product Catalog: </w:t>
      </w:r>
      <w:r>
        <w:rPr>
          <w:rFonts w:ascii="Calibri" w:hAnsi="Calibri"/>
          <w:color w:val="1F2937"/>
          <w:sz w:val="19"/>
        </w:rPr>
        <w:t>Itemizes physical stock, SKU/barcode, category (Medicine, FMCG, Grocery), purchase cost, selling price, reorder threshold, shelf life in days, prescription requirements (Schedule H/H1), and legal price ceiling (DPCO MRP).</w:t>
      </w:r>
    </w:p>
    <w:p>
      <w:pPr>
        <w:pStyle w:val="ListBullet"/>
        <w:spacing w:before="20" w:after="60"/>
      </w:pPr>
      <w:r>
        <w:rPr>
          <w:rFonts w:ascii="Calibri" w:hAnsi="Calibri"/>
          <w:b/>
          <w:color w:val="111827"/>
          <w:sz w:val="19"/>
        </w:rPr>
        <w:t xml:space="preserve">3. Supplier Ledger: </w:t>
      </w:r>
      <w:r>
        <w:rPr>
          <w:rFonts w:ascii="Calibri" w:hAnsi="Calibri"/>
          <w:color w:val="1F2937"/>
          <w:sz w:val="19"/>
        </w:rPr>
        <w:t>Tracks wholesale vendors, contact records, payment terms (Net 30, COD), lead time in days, minimum order quantity (MOQ), and reliability scoring.</w:t>
      </w:r>
    </w:p>
    <w:p>
      <w:pPr>
        <w:pStyle w:val="ListBullet"/>
        <w:spacing w:before="20" w:after="60"/>
      </w:pPr>
      <w:r>
        <w:rPr>
          <w:rFonts w:ascii="Calibri" w:hAnsi="Calibri"/>
          <w:b/>
          <w:color w:val="111827"/>
          <w:sz w:val="19"/>
        </w:rPr>
        <w:t xml:space="preserve">4. Stock Movements: </w:t>
      </w:r>
      <w:r>
        <w:rPr>
          <w:rFonts w:ascii="Calibri" w:hAnsi="Calibri"/>
          <w:color w:val="1F2937"/>
          <w:sz w:val="19"/>
        </w:rPr>
        <w:t>Append-only audit trail capturing every inventory increment, customer sale, stock write-off, or return, ensuring tamper-proof stock reconciliations.</w:t>
      </w:r>
    </w:p>
    <w:p>
      <w:pPr>
        <w:pStyle w:val="ListBullet"/>
        <w:spacing w:before="20" w:after="60"/>
      </w:pPr>
      <w:r>
        <w:rPr>
          <w:rFonts w:ascii="Calibri" w:hAnsi="Calibri"/>
          <w:b/>
          <w:color w:val="111827"/>
          <w:sz w:val="19"/>
        </w:rPr>
        <w:t xml:space="preserve">5. Sales Ledger: </w:t>
      </w:r>
      <w:r>
        <w:rPr>
          <w:rFonts w:ascii="Calibri" w:hAnsi="Calibri"/>
          <w:color w:val="1F2937"/>
          <w:sz w:val="19"/>
        </w:rPr>
        <w:t>Records timestamped sales transactions with unit price, discount, tax, and calculated net profit contribution.</w:t>
      </w:r>
    </w:p>
    <w:p>
      <w:pPr>
        <w:keepNext/>
        <w:spacing w:before="200" w:after="80"/>
      </w:pPr>
      <w:r>
        <w:rPr>
          <w:rFonts w:ascii="Calibri" w:hAnsi="Calibri"/>
          <w:b/>
          <w:color w:val="2563EB"/>
          <w:sz w:val="26"/>
        </w:rPr>
        <w:t>5.2 Decision &amp; Workflow Graph Models</w:t>
      </w:r>
    </w:p>
    <w:p>
      <w:pPr>
        <w:pStyle w:val="ListBullet"/>
        <w:spacing w:before="20" w:after="60"/>
      </w:pPr>
      <w:r>
        <w:rPr>
          <w:rFonts w:ascii="Calibri" w:hAnsi="Calibri"/>
          <w:b/>
          <w:color w:val="111827"/>
          <w:sz w:val="19"/>
        </w:rPr>
        <w:t xml:space="preserve">1. Decision: </w:t>
      </w:r>
      <w:r>
        <w:rPr>
          <w:rFonts w:ascii="Calibri" w:hAnsi="Calibri"/>
          <w:color w:val="1F2937"/>
          <w:sz w:val="19"/>
        </w:rPr>
        <w:t>Stores the strategic decision inquiry, category (business, retail, pharmacy, financial), description, status, and deadline.</w:t>
      </w:r>
    </w:p>
    <w:p>
      <w:pPr>
        <w:pStyle w:val="ListBullet"/>
        <w:spacing w:before="20" w:after="60"/>
      </w:pPr>
      <w:r>
        <w:rPr>
          <w:rFonts w:ascii="Calibri" w:hAnsi="Calibri"/>
          <w:b/>
          <w:color w:val="111827"/>
          <w:sz w:val="19"/>
        </w:rPr>
        <w:t xml:space="preserve">2. Alternative: </w:t>
      </w:r>
      <w:r>
        <w:rPr>
          <w:rFonts w:ascii="Calibri" w:hAnsi="Calibri"/>
          <w:color w:val="1F2937"/>
          <w:sz w:val="19"/>
        </w:rPr>
        <w:t>Competing choices being evaluated (e.g., 'Order 50 Packs', 'Wait 1 Week', 'Order 25 Packs').</w:t>
      </w:r>
    </w:p>
    <w:p>
      <w:pPr>
        <w:pStyle w:val="ListBullet"/>
        <w:spacing w:before="20" w:after="60"/>
      </w:pPr>
      <w:r>
        <w:rPr>
          <w:rFonts w:ascii="Calibri" w:hAnsi="Calibri"/>
          <w:b/>
          <w:color w:val="111827"/>
          <w:sz w:val="19"/>
        </w:rPr>
        <w:t xml:space="preserve">3. Criterion: </w:t>
      </w:r>
      <w:r>
        <w:rPr>
          <w:rFonts w:ascii="Calibri" w:hAnsi="Calibri"/>
          <w:color w:val="1F2937"/>
          <w:sz w:val="19"/>
        </w:rPr>
        <w:t>Evaluation dimensions (e.g., 'Net Profit Margin', 'Stockout Risk', 'Holding Cost') with maximization/minimization directions and priority weights.</w:t>
      </w:r>
    </w:p>
    <w:p>
      <w:pPr>
        <w:pStyle w:val="ListBullet"/>
        <w:spacing w:before="20" w:after="60"/>
      </w:pPr>
      <w:r>
        <w:rPr>
          <w:rFonts w:ascii="Calibri" w:hAnsi="Calibri"/>
          <w:b/>
          <w:color w:val="111827"/>
          <w:sz w:val="19"/>
        </w:rPr>
        <w:t xml:space="preserve">4. Outcome: </w:t>
      </w:r>
      <w:r>
        <w:rPr>
          <w:rFonts w:ascii="Calibri" w:hAnsi="Calibri"/>
          <w:color w:val="1F2937"/>
          <w:sz w:val="19"/>
        </w:rPr>
        <w:t>Quantifiable consequences attached to alternatives with probability, monetary payoff, and risk tier (low, medium, high, critical).</w:t>
      </w:r>
    </w:p>
    <w:p>
      <w:pPr>
        <w:pStyle w:val="ListBullet"/>
        <w:spacing w:before="20" w:after="60"/>
      </w:pPr>
      <w:r>
        <w:rPr>
          <w:rFonts w:ascii="Calibri" w:hAnsi="Calibri"/>
          <w:b/>
          <w:color w:val="111827"/>
          <w:sz w:val="19"/>
        </w:rPr>
        <w:t xml:space="preserve">5. Workflow: </w:t>
      </w:r>
      <w:r>
        <w:rPr>
          <w:rFonts w:ascii="Calibri" w:hAnsi="Calibri"/>
          <w:color w:val="1F2937"/>
          <w:sz w:val="19"/>
        </w:rPr>
        <w:t>Defines visual flow graphs with versioning, auto-increment counters, and template references.</w:t>
      </w:r>
    </w:p>
    <w:p>
      <w:pPr>
        <w:pStyle w:val="ListBullet"/>
        <w:spacing w:before="20" w:after="60"/>
      </w:pPr>
      <w:r>
        <w:rPr>
          <w:rFonts w:ascii="Calibri" w:hAnsi="Calibri"/>
          <w:b/>
          <w:color w:val="111827"/>
          <w:sz w:val="19"/>
        </w:rPr>
        <w:t xml:space="preserve">6. WorkflowNode: </w:t>
      </w:r>
      <w:r>
        <w:rPr>
          <w:rFonts w:ascii="Calibri" w:hAnsi="Calibri"/>
          <w:color w:val="1F2937"/>
          <w:sz w:val="19"/>
        </w:rPr>
        <w:t>Individual blocks on the canvas with coordinates (positionX, positionY), node type (26 types), and serialized JSON configuration.</w:t>
      </w:r>
    </w:p>
    <w:p>
      <w:pPr>
        <w:pStyle w:val="ListBullet"/>
        <w:spacing w:before="20" w:after="60"/>
      </w:pPr>
      <w:r>
        <w:rPr>
          <w:rFonts w:ascii="Calibri" w:hAnsi="Calibri"/>
          <w:b/>
          <w:color w:val="111827"/>
          <w:sz w:val="19"/>
        </w:rPr>
        <w:t xml:space="preserve">7. WorkflowEdge: </w:t>
      </w:r>
      <w:r>
        <w:rPr>
          <w:rFonts w:ascii="Calibri" w:hAnsi="Calibri"/>
          <w:color w:val="1F2937"/>
          <w:sz w:val="19"/>
        </w:rPr>
        <w:t>Directed connections linking a sourceNodeId and sourceHandle to a targetNodeId and targetHandle.</w:t>
      </w:r>
    </w:p>
    <w:p>
      <w:pPr>
        <w:pStyle w:val="ListBullet"/>
        <w:spacing w:before="20" w:after="60"/>
      </w:pPr>
      <w:r>
        <w:rPr>
          <w:rFonts w:ascii="Calibri" w:hAnsi="Calibri"/>
          <w:b/>
          <w:color w:val="111827"/>
          <w:sz w:val="19"/>
        </w:rPr>
        <w:t xml:space="preserve">8. WorkflowRun: </w:t>
      </w:r>
      <w:r>
        <w:rPr>
          <w:rFonts w:ascii="Calibri" w:hAnsi="Calibri"/>
          <w:color w:val="1F2937"/>
          <w:sz w:val="19"/>
        </w:rPr>
        <w:t>Execution logs capturing run timestamp, overall status (running, completed, failed), and node-by-node execution duration in milliseconds.</w:t>
      </w:r>
    </w:p>
    <w:p>
      <w:pPr>
        <w:keepNext/>
        <w:spacing w:before="200" w:after="80"/>
      </w:pPr>
      <w:r>
        <w:rPr>
          <w:rFonts w:ascii="Calibri" w:hAnsi="Calibri"/>
          <w:b/>
          <w:color w:val="2563EB"/>
          <w:sz w:val="26"/>
        </w:rPr>
        <w:t>5.3 Strict Separation of Sample Demo Data</w:t>
      </w:r>
    </w:p>
    <w:tbl>
      <w:tblPr>
        <w:tblW w:type="auto" w:w="0"/>
        <w:jc w:val="center"/>
        <w:tblLayout w:type="fixed"/>
        <w:tblLook w:firstColumn="1" w:firstRow="1" w:lastColumn="0" w:lastRow="0" w:noHBand="0" w:noVBand="1" w:val="04A0"/>
      </w:tblPr>
      <w:tblGrid>
        <w:gridCol w:w="10080"/>
      </w:tblGrid>
      <w:tr>
        <w:tc>
          <w:tcPr>
            <w:tcW w:type="dxa" w:w="9360"/>
            <w:shd w:fill="F0F4F8"/>
            <w:tcMar>
              <w:top w:w="140" w:type="dxa"/>
              <w:bottom w:w="140" w:type="dxa"/>
              <w:left w:w="200" w:type="dxa"/>
              <w:right w:w="160" w:type="dxa"/>
            </w:tcMar>
            <w:tcBorders>
              <w:top w:val="none"/>
              <w:left w:val="single" w:sz="36" w:space="0" w:color="2563EB"/>
              <w:bottom w:val="none"/>
              <w:right w:val="none"/>
            </w:tcBorders>
          </w:tcPr>
          <w:p>
            <w:pPr>
              <w:spacing w:before="40" w:after="40"/>
            </w:pPr>
            <w:r>
              <w:rPr>
                <w:rFonts w:ascii="Calibri" w:hAnsi="Calibri"/>
                <w:b/>
                <w:color w:val="1E3A8A"/>
                <w:sz w:val="20"/>
              </w:rPr>
              <w:t xml:space="preserve">[DATA INTEGRITY &amp; ISOLATION] </w:t>
            </w:r>
            <w:r>
              <w:rPr>
                <w:rFonts w:ascii="Calibri" w:hAnsi="Calibri"/>
                <w:color w:val="374151"/>
                <w:sz w:val="19"/>
              </w:rPr>
              <w:t>DMOC workspaces explicitly separate sample demonstration stores (such as 'Arogya Medical Store' and 'FreshMart Grocery') from real user businesses using the 'isSample: true' database flag. Sample data is clearly badged in the UI and can be deleted or reset with a single click without affecting real business ledgers.</w:t>
            </w:r>
          </w:p>
        </w:tc>
      </w:tr>
    </w:tbl>
    <w:p>
      <w:r>
        <w:br w:type="page"/>
      </w:r>
    </w:p>
    <w:p>
      <w:pPr>
        <w:keepNext/>
        <w:spacing w:before="280" w:after="120"/>
      </w:pPr>
      <w:r>
        <w:rPr>
          <w:rFonts w:ascii="Calibri" w:hAnsi="Calibri"/>
          <w:b/>
          <w:color w:val="1E3A8A"/>
          <w:sz w:val="34"/>
        </w:rPr>
        <w:t>6. Natural Language Decision Wizard &amp; Real Data Ingestion</w:t>
      </w:r>
    </w:p>
    <w:p>
      <w:pPr>
        <w:spacing w:before="0" w:after="100"/>
      </w:pPr>
      <w:r>
        <w:rPr>
          <w:rFonts w:ascii="Calibri" w:hAnsi="Calibri"/>
          <w:color w:val="1F2937"/>
          <w:sz w:val="20"/>
        </w:rPr>
        <w:t>DMOC features an intelligent decision wizard (BusinessDecisionWizard.tsx) that allows non-technical store operators to submit business dilemmas in everyday plain English.</w:t>
      </w:r>
    </w:p>
    <w:p>
      <w:pPr>
        <w:keepNext/>
        <w:spacing w:before="200" w:after="80"/>
      </w:pPr>
      <w:r>
        <w:rPr>
          <w:rFonts w:ascii="Calibri" w:hAnsi="Calibri"/>
          <w:b/>
          <w:color w:val="2563EB"/>
          <w:sz w:val="26"/>
        </w:rPr>
        <w:t>6.1 The Natural Language Processing Pipeline</w:t>
      </w:r>
    </w:p>
    <w:p>
      <w:pPr>
        <w:spacing w:before="0" w:after="100"/>
      </w:pPr>
      <w:r>
        <w:rPr>
          <w:rFonts w:ascii="Calibri" w:hAnsi="Calibri"/>
          <w:color w:val="1F2937"/>
          <w:sz w:val="20"/>
        </w:rPr>
        <w:t>When an operator types: 'I own a pharmacy store. Should I order 50 additional packs of Paracetamol 650mg before the weekend?'</w:t>
      </w:r>
    </w:p>
    <w:p>
      <w:pPr>
        <w:pStyle w:val="ListBullet"/>
        <w:spacing w:before="20" w:after="60"/>
      </w:pPr>
      <w:r>
        <w:rPr>
          <w:rFonts w:ascii="Calibri" w:hAnsi="Calibri"/>
          <w:b/>
          <w:color w:val="111827"/>
          <w:sz w:val="19"/>
        </w:rPr>
        <w:t xml:space="preserve">• Step 1 (Context Detection): </w:t>
      </w:r>
      <w:r>
        <w:rPr>
          <w:rFonts w:ascii="Calibri" w:hAnsi="Calibri"/>
          <w:color w:val="1F2937"/>
          <w:sz w:val="19"/>
        </w:rPr>
        <w:t>Detects that the user operates a medical store or pharmacy.</w:t>
      </w:r>
    </w:p>
    <w:p>
      <w:pPr>
        <w:pStyle w:val="ListBullet"/>
        <w:spacing w:before="20" w:after="60"/>
      </w:pPr>
      <w:r>
        <w:rPr>
          <w:rFonts w:ascii="Calibri" w:hAnsi="Calibri"/>
          <w:b/>
          <w:color w:val="111827"/>
          <w:sz w:val="19"/>
        </w:rPr>
        <w:t xml:space="preserve">• Step 2 (Entity Extraction): </w:t>
      </w:r>
      <w:r>
        <w:rPr>
          <w:rFonts w:ascii="Calibri" w:hAnsi="Calibri"/>
          <w:color w:val="1F2937"/>
          <w:sz w:val="19"/>
        </w:rPr>
        <w:t>Extracts 'Paracetamol 650mg' as target product and '50 units' as requested replenishment.</w:t>
      </w:r>
    </w:p>
    <w:p>
      <w:pPr>
        <w:pStyle w:val="ListBullet"/>
        <w:spacing w:before="20" w:after="60"/>
      </w:pPr>
      <w:r>
        <w:rPr>
          <w:rFonts w:ascii="Calibri" w:hAnsi="Calibri"/>
          <w:b/>
          <w:color w:val="111827"/>
          <w:sz w:val="19"/>
        </w:rPr>
        <w:t xml:space="preserve">• Step 3 (Temporal Horizon): </w:t>
      </w:r>
      <w:r>
        <w:rPr>
          <w:rFonts w:ascii="Calibri" w:hAnsi="Calibri"/>
          <w:color w:val="1F2937"/>
          <w:sz w:val="19"/>
        </w:rPr>
        <w:t>Identifies 'weekend' as a 3-day high-demand sales velocity window.</w:t>
      </w:r>
    </w:p>
    <w:p>
      <w:pPr>
        <w:pStyle w:val="ListBullet"/>
        <w:spacing w:before="20" w:after="60"/>
      </w:pPr>
      <w:r>
        <w:rPr>
          <w:rFonts w:ascii="Calibri" w:hAnsi="Calibri"/>
          <w:b/>
          <w:color w:val="111827"/>
          <w:sz w:val="19"/>
        </w:rPr>
        <w:t xml:space="preserve">• Step 4 (Catalog Correlation): </w:t>
      </w:r>
      <w:r>
        <w:rPr>
          <w:rFonts w:ascii="Calibri" w:hAnsi="Calibri"/>
          <w:color w:val="1F2937"/>
          <w:sz w:val="19"/>
        </w:rPr>
        <w:t>Scans active workspace inventory. If found, loads current stock and supplier terms; if missing, initiates real-world API lookup.</w:t>
      </w:r>
    </w:p>
    <w:p>
      <w:pPr>
        <w:keepNext/>
        <w:spacing w:before="200" w:after="80"/>
      </w:pPr>
      <w:r>
        <w:rPr>
          <w:rFonts w:ascii="Calibri" w:hAnsi="Calibri"/>
          <w:b/>
          <w:color w:val="2563EB"/>
          <w:sz w:val="26"/>
        </w:rPr>
        <w:t>6.2 External Data Verification &amp; Regulatory Compliance</w:t>
      </w:r>
    </w:p>
    <w:p>
      <w:pPr>
        <w:spacing w:before="0" w:after="100"/>
      </w:pPr>
      <w:r>
        <w:rPr>
          <w:rFonts w:ascii="Calibri" w:hAnsi="Calibri"/>
          <w:color w:val="1F2937"/>
          <w:sz w:val="20"/>
        </w:rPr>
        <w:t>To eliminate guessing, DMOC cross-references queries against official external APIs:</w:t>
      </w:r>
    </w:p>
    <w:p>
      <w:pPr>
        <w:pStyle w:val="ListBullet"/>
        <w:spacing w:before="20" w:after="60"/>
      </w:pPr>
      <w:r>
        <w:rPr>
          <w:rFonts w:ascii="Calibri" w:hAnsi="Calibri"/>
          <w:b/>
          <w:color w:val="111827"/>
          <w:sz w:val="19"/>
        </w:rPr>
        <w:t xml:space="preserve">1. Open Food Facts API: </w:t>
      </w:r>
      <w:r>
        <w:rPr>
          <w:rFonts w:ascii="Calibri" w:hAnsi="Calibri"/>
          <w:color w:val="1F2937"/>
          <w:sz w:val="19"/>
        </w:rPr>
        <w:t>Real-time lookup across millions of grocery and FMCG products. Retrieves barcode data, brand verification, pack sizes, ingredients, and categories.</w:t>
      </w:r>
    </w:p>
    <w:p>
      <w:pPr>
        <w:pStyle w:val="ListBullet"/>
        <w:spacing w:before="20" w:after="60"/>
      </w:pPr>
      <w:r>
        <w:rPr>
          <w:rFonts w:ascii="Calibri" w:hAnsi="Calibri"/>
          <w:b/>
          <w:color w:val="111827"/>
          <w:sz w:val="19"/>
        </w:rPr>
        <w:t xml:space="preserve">2. NPPA Drug Price Ceilings: </w:t>
      </w:r>
      <w:r>
        <w:rPr>
          <w:rFonts w:ascii="Calibri" w:hAnsi="Calibri"/>
          <w:color w:val="1F2937"/>
          <w:sz w:val="19"/>
        </w:rPr>
        <w:t>Verifies medicine prices against statutory National Pharmaceutical Pricing Authority (NPPA) DPCO ceiling price caps. Prevents store owners from configuring illegal selling prices exceeding legal maximums.</w:t>
      </w:r>
    </w:p>
    <w:p>
      <w:pPr>
        <w:pStyle w:val="ListBullet"/>
        <w:spacing w:before="20" w:after="60"/>
      </w:pPr>
      <w:r>
        <w:rPr>
          <w:rFonts w:ascii="Calibri" w:hAnsi="Calibri"/>
          <w:b/>
          <w:color w:val="111827"/>
          <w:sz w:val="19"/>
        </w:rPr>
        <w:t xml:space="preserve">3. CDSCO Prescription Regulations: </w:t>
      </w:r>
      <w:r>
        <w:rPr>
          <w:rFonts w:ascii="Calibri" w:hAnsi="Calibri"/>
          <w:color w:val="1F2937"/>
          <w:sz w:val="19"/>
        </w:rPr>
        <w:t>Automatically tags Schedule H and H1 prescription drugs, alerting store operators that audited medical prescription records are legally required.</w:t>
      </w:r>
    </w:p>
    <w:p>
      <w:pPr>
        <w:keepNext/>
        <w:spacing w:before="200" w:after="80"/>
      </w:pPr>
      <w:r>
        <w:rPr>
          <w:rFonts w:ascii="Calibri" w:hAnsi="Calibri"/>
          <w:b/>
          <w:color w:val="2563EB"/>
          <w:sz w:val="26"/>
        </w:rPr>
        <w:t>6.3 The 3-Path Comparative Simulation Model</w:t>
      </w:r>
    </w:p>
    <w:p>
      <w:pPr>
        <w:spacing w:before="0" w:after="100"/>
      </w:pPr>
      <w:r>
        <w:rPr>
          <w:rFonts w:ascii="Calibri" w:hAnsi="Calibri"/>
          <w:color w:val="1F2937"/>
          <w:sz w:val="20"/>
        </w:rPr>
        <w:t>The simulation engine automatically synthesizes three complete financial pathways:</w:t>
      </w:r>
    </w:p>
    <w:tbl>
      <w:tblPr>
        <w:tblW w:type="auto" w:w="0"/>
        <w:jc w:val="center"/>
        <w:tblLook w:firstColumn="1" w:firstRow="1" w:lastColumn="0" w:lastRow="0" w:noHBand="0" w:noVBand="1" w:val="04A0"/>
      </w:tblPr>
      <w:tblGrid>
        <w:gridCol w:w="2520"/>
        <w:gridCol w:w="2520"/>
        <w:gridCol w:w="2520"/>
        <w:gridCol w:w="2520"/>
      </w:tblGrid>
      <w:tr>
        <w:tc>
          <w:tcPr>
            <w:tcW w:type="dxa" w:w="2592"/>
            <w:shd w:fill="1E3A8A"/>
            <w:tcMar>
              <w:top w:w="120" w:type="dxa"/>
              <w:bottom w:w="120" w:type="dxa"/>
              <w:left w:w="140" w:type="dxa"/>
              <w:right w:w="140" w:type="dxa"/>
            </w:tcMar>
          </w:tcPr>
          <w:p>
            <w:pPr>
              <w:spacing w:before="40" w:after="40"/>
            </w:pPr>
            <w:r>
              <w:rPr>
                <w:rFonts w:ascii="Calibri" w:hAnsi="Calibri"/>
                <w:b/>
                <w:color w:val="FFFFFF"/>
                <w:sz w:val="19"/>
              </w:rPr>
              <w:t>Simulation Metric</w:t>
            </w:r>
          </w:p>
        </w:tc>
        <w:tc>
          <w:tcPr>
            <w:tcW w:type="dxa" w:w="2160"/>
            <w:shd w:fill="1E3A8A"/>
            <w:tcMar>
              <w:top w:w="120" w:type="dxa"/>
              <w:bottom w:w="120" w:type="dxa"/>
              <w:left w:w="140" w:type="dxa"/>
              <w:right w:w="140" w:type="dxa"/>
            </w:tcMar>
          </w:tcPr>
          <w:p>
            <w:pPr>
              <w:spacing w:before="40" w:after="40"/>
            </w:pPr>
            <w:r>
              <w:rPr>
                <w:rFonts w:ascii="Calibri" w:hAnsi="Calibri"/>
                <w:b/>
                <w:color w:val="FFFFFF"/>
                <w:sz w:val="19"/>
              </w:rPr>
              <w:t>Path A: Proposed Order</w:t>
            </w:r>
          </w:p>
        </w:tc>
        <w:tc>
          <w:tcPr>
            <w:tcW w:type="dxa" w:w="2160"/>
            <w:shd w:fill="1E3A8A"/>
            <w:tcMar>
              <w:top w:w="120" w:type="dxa"/>
              <w:bottom w:w="120" w:type="dxa"/>
              <w:left w:w="140" w:type="dxa"/>
              <w:right w:w="140" w:type="dxa"/>
            </w:tcMar>
          </w:tcPr>
          <w:p>
            <w:pPr>
              <w:spacing w:before="40" w:after="40"/>
            </w:pPr>
            <w:r>
              <w:rPr>
                <w:rFonts w:ascii="Calibri" w:hAnsi="Calibri"/>
                <w:b/>
                <w:color w:val="FFFFFF"/>
                <w:sz w:val="19"/>
              </w:rPr>
              <w:t>Path B: Status Quo</w:t>
            </w:r>
          </w:p>
        </w:tc>
        <w:tc>
          <w:tcPr>
            <w:tcW w:type="dxa" w:w="2448"/>
            <w:shd w:fill="1E3A8A"/>
            <w:tcMar>
              <w:top w:w="120" w:type="dxa"/>
              <w:bottom w:w="120" w:type="dxa"/>
              <w:left w:w="140" w:type="dxa"/>
              <w:right w:w="140" w:type="dxa"/>
            </w:tcMar>
          </w:tcPr>
          <w:p>
            <w:pPr>
              <w:spacing w:before="40" w:after="40"/>
            </w:pPr>
            <w:r>
              <w:rPr>
                <w:rFonts w:ascii="Calibri" w:hAnsi="Calibri"/>
                <w:b/>
                <w:color w:val="FFFFFF"/>
                <w:sz w:val="19"/>
              </w:rPr>
              <w:t>Path C: Calibrated Optimal</w:t>
            </w:r>
          </w:p>
        </w:tc>
      </w:tr>
      <w:tr>
        <w:tc>
          <w:tcPr>
            <w:tcW w:type="dxa" w:w="2592"/>
            <w:shd w:fill="FFFFFF"/>
            <w:tcMar>
              <w:top w:w="100" w:type="dxa"/>
              <w:bottom w:w="100" w:type="dxa"/>
              <w:left w:w="140" w:type="dxa"/>
              <w:right w:w="140" w:type="dxa"/>
            </w:tcMar>
          </w:tcPr>
          <w:p>
            <w:pPr>
              <w:spacing w:before="40" w:after="40"/>
            </w:pPr>
            <w:r>
              <w:rPr>
                <w:rFonts w:ascii="Calibri" w:hAnsi="Calibri"/>
                <w:color w:val="1F2937"/>
                <w:sz w:val="18"/>
              </w:rPr>
              <w:t>Procurement Quantity</w:t>
            </w:r>
          </w:p>
        </w:tc>
        <w:tc>
          <w:tcPr>
            <w:tcW w:type="dxa" w:w="2160"/>
            <w:shd w:fill="FFFFFF"/>
            <w:tcMar>
              <w:top w:w="100" w:type="dxa"/>
              <w:bottom w:w="100" w:type="dxa"/>
              <w:left w:w="140" w:type="dxa"/>
              <w:right w:w="140" w:type="dxa"/>
            </w:tcMar>
          </w:tcPr>
          <w:p>
            <w:pPr>
              <w:spacing w:before="40" w:after="40"/>
            </w:pPr>
            <w:r>
              <w:rPr>
                <w:rFonts w:ascii="Calibri" w:hAnsi="Calibri"/>
                <w:color w:val="1F2937"/>
                <w:sz w:val="18"/>
              </w:rPr>
              <w:t>50 units (User's input)</w:t>
            </w:r>
          </w:p>
        </w:tc>
        <w:tc>
          <w:tcPr>
            <w:tcW w:type="dxa" w:w="2160"/>
            <w:shd w:fill="FFFFFF"/>
            <w:tcMar>
              <w:top w:w="100" w:type="dxa"/>
              <w:bottom w:w="100" w:type="dxa"/>
              <w:left w:w="140" w:type="dxa"/>
              <w:right w:w="140" w:type="dxa"/>
            </w:tcMar>
          </w:tcPr>
          <w:p>
            <w:pPr>
              <w:spacing w:before="40" w:after="40"/>
            </w:pPr>
            <w:r>
              <w:rPr>
                <w:rFonts w:ascii="Calibri" w:hAnsi="Calibri"/>
                <w:color w:val="1F2937"/>
                <w:sz w:val="18"/>
              </w:rPr>
              <w:t>0 units (No purchase)</w:t>
            </w:r>
          </w:p>
        </w:tc>
        <w:tc>
          <w:tcPr>
            <w:tcW w:type="dxa" w:w="2448"/>
            <w:shd w:fill="FFFFFF"/>
            <w:tcMar>
              <w:top w:w="100" w:type="dxa"/>
              <w:bottom w:w="100" w:type="dxa"/>
              <w:left w:w="140" w:type="dxa"/>
              <w:right w:w="140" w:type="dxa"/>
            </w:tcMar>
          </w:tcPr>
          <w:p>
            <w:pPr>
              <w:spacing w:before="40" w:after="40"/>
            </w:pPr>
            <w:r>
              <w:rPr>
                <w:rFonts w:ascii="Calibri" w:hAnsi="Calibri"/>
                <w:color w:val="1F2937"/>
                <w:sz w:val="18"/>
              </w:rPr>
              <w:t>28 units (Mathematically optimal)</w:t>
            </w:r>
          </w:p>
        </w:tc>
      </w:tr>
      <w:tr>
        <w:tc>
          <w:tcPr>
            <w:tcW w:type="dxa" w:w="2592"/>
            <w:shd w:fill="F9FAFB"/>
            <w:tcMar>
              <w:top w:w="100" w:type="dxa"/>
              <w:bottom w:w="100" w:type="dxa"/>
              <w:left w:w="140" w:type="dxa"/>
              <w:right w:w="140" w:type="dxa"/>
            </w:tcMar>
          </w:tcPr>
          <w:p>
            <w:pPr>
              <w:spacing w:before="40" w:after="40"/>
            </w:pPr>
            <w:r>
              <w:rPr>
                <w:rFonts w:ascii="Calibri" w:hAnsi="Calibri"/>
                <w:color w:val="1F2937"/>
                <w:sz w:val="18"/>
              </w:rPr>
              <w:t>Capital Committed</w:t>
            </w:r>
          </w:p>
        </w:tc>
        <w:tc>
          <w:tcPr>
            <w:tcW w:type="dxa" w:w="2160"/>
            <w:shd w:fill="F9FAFB"/>
            <w:tcMar>
              <w:top w:w="100" w:type="dxa"/>
              <w:bottom w:w="100" w:type="dxa"/>
              <w:left w:w="140" w:type="dxa"/>
              <w:right w:w="140" w:type="dxa"/>
            </w:tcMar>
          </w:tcPr>
          <w:p>
            <w:pPr>
              <w:spacing w:before="40" w:after="40"/>
            </w:pPr>
            <w:r>
              <w:rPr>
                <w:rFonts w:ascii="Calibri" w:hAnsi="Calibri"/>
                <w:color w:val="1F2937"/>
                <w:sz w:val="18"/>
              </w:rPr>
              <w:t>$1,000.00 cash outlay</w:t>
            </w:r>
          </w:p>
        </w:tc>
        <w:tc>
          <w:tcPr>
            <w:tcW w:type="dxa" w:w="2160"/>
            <w:shd w:fill="F9FAFB"/>
            <w:tcMar>
              <w:top w:w="100" w:type="dxa"/>
              <w:bottom w:w="100" w:type="dxa"/>
              <w:left w:w="140" w:type="dxa"/>
              <w:right w:w="140" w:type="dxa"/>
            </w:tcMar>
          </w:tcPr>
          <w:p>
            <w:pPr>
              <w:spacing w:before="40" w:after="40"/>
            </w:pPr>
            <w:r>
              <w:rPr>
                <w:rFonts w:ascii="Calibri" w:hAnsi="Calibri"/>
                <w:color w:val="1F2937"/>
                <w:sz w:val="18"/>
              </w:rPr>
              <w:t>$0.00 cash outlay</w:t>
            </w:r>
          </w:p>
        </w:tc>
        <w:tc>
          <w:tcPr>
            <w:tcW w:type="dxa" w:w="2448"/>
            <w:shd w:fill="F9FAFB"/>
            <w:tcMar>
              <w:top w:w="100" w:type="dxa"/>
              <w:bottom w:w="100" w:type="dxa"/>
              <w:left w:w="140" w:type="dxa"/>
              <w:right w:w="140" w:type="dxa"/>
            </w:tcMar>
          </w:tcPr>
          <w:p>
            <w:pPr>
              <w:spacing w:before="40" w:after="40"/>
            </w:pPr>
            <w:r>
              <w:rPr>
                <w:rFonts w:ascii="Calibri" w:hAnsi="Calibri"/>
                <w:color w:val="1F2937"/>
                <w:sz w:val="18"/>
              </w:rPr>
              <w:t>$560.00 minimized cash outlay</w:t>
            </w:r>
          </w:p>
        </w:tc>
      </w:tr>
      <w:tr>
        <w:tc>
          <w:tcPr>
            <w:tcW w:type="dxa" w:w="2592"/>
            <w:shd w:fill="FFFFFF"/>
            <w:tcMar>
              <w:top w:w="100" w:type="dxa"/>
              <w:bottom w:w="100" w:type="dxa"/>
              <w:left w:w="140" w:type="dxa"/>
              <w:right w:w="140" w:type="dxa"/>
            </w:tcMar>
          </w:tcPr>
          <w:p>
            <w:pPr>
              <w:spacing w:before="40" w:after="40"/>
            </w:pPr>
            <w:r>
              <w:rPr>
                <w:rFonts w:ascii="Calibri" w:hAnsi="Calibri"/>
                <w:color w:val="1F2937"/>
                <w:sz w:val="18"/>
              </w:rPr>
              <w:t>Stockout Probability</w:t>
            </w:r>
          </w:p>
        </w:tc>
        <w:tc>
          <w:tcPr>
            <w:tcW w:type="dxa" w:w="2160"/>
            <w:shd w:fill="FFFFFF"/>
            <w:tcMar>
              <w:top w:w="100" w:type="dxa"/>
              <w:bottom w:w="100" w:type="dxa"/>
              <w:left w:w="140" w:type="dxa"/>
              <w:right w:w="140" w:type="dxa"/>
            </w:tcMar>
          </w:tcPr>
          <w:p>
            <w:pPr>
              <w:spacing w:before="40" w:after="40"/>
            </w:pPr>
            <w:r>
              <w:rPr>
                <w:rFonts w:ascii="Calibri" w:hAnsi="Calibri"/>
                <w:color w:val="1F2937"/>
                <w:sz w:val="18"/>
              </w:rPr>
              <w:t>&lt; 1% (Over-stocked)</w:t>
            </w:r>
          </w:p>
        </w:tc>
        <w:tc>
          <w:tcPr>
            <w:tcW w:type="dxa" w:w="2160"/>
            <w:shd w:fill="FFFFFF"/>
            <w:tcMar>
              <w:top w:w="100" w:type="dxa"/>
              <w:bottom w:w="100" w:type="dxa"/>
              <w:left w:w="140" w:type="dxa"/>
              <w:right w:w="140" w:type="dxa"/>
            </w:tcMar>
          </w:tcPr>
          <w:p>
            <w:pPr>
              <w:spacing w:before="40" w:after="40"/>
            </w:pPr>
            <w:r>
              <w:rPr>
                <w:rFonts w:ascii="Calibri" w:hAnsi="Calibri"/>
                <w:color w:val="1F2937"/>
                <w:sz w:val="18"/>
              </w:rPr>
              <w:t>88% (Stockouts by Saturday)</w:t>
            </w:r>
          </w:p>
        </w:tc>
        <w:tc>
          <w:tcPr>
            <w:tcW w:type="dxa" w:w="2448"/>
            <w:shd w:fill="FFFFFF"/>
            <w:tcMar>
              <w:top w:w="100" w:type="dxa"/>
              <w:bottom w:w="100" w:type="dxa"/>
              <w:left w:w="140" w:type="dxa"/>
              <w:right w:w="140" w:type="dxa"/>
            </w:tcMar>
          </w:tcPr>
          <w:p>
            <w:pPr>
              <w:spacing w:before="40" w:after="40"/>
            </w:pPr>
            <w:r>
              <w:rPr>
                <w:rFonts w:ascii="Calibri" w:hAnsi="Calibri"/>
                <w:color w:val="1F2937"/>
                <w:sz w:val="18"/>
              </w:rPr>
              <w:t>&lt; 2% (Guaranteed availability)</w:t>
            </w:r>
          </w:p>
        </w:tc>
      </w:tr>
      <w:tr>
        <w:tc>
          <w:tcPr>
            <w:tcW w:type="dxa" w:w="2592"/>
            <w:shd w:fill="F9FAFB"/>
            <w:tcMar>
              <w:top w:w="100" w:type="dxa"/>
              <w:bottom w:w="100" w:type="dxa"/>
              <w:left w:w="140" w:type="dxa"/>
              <w:right w:w="140" w:type="dxa"/>
            </w:tcMar>
          </w:tcPr>
          <w:p>
            <w:pPr>
              <w:spacing w:before="40" w:after="40"/>
            </w:pPr>
            <w:r>
              <w:rPr>
                <w:rFonts w:ascii="Calibri" w:hAnsi="Calibri"/>
                <w:color w:val="1F2937"/>
                <w:sz w:val="18"/>
              </w:rPr>
              <w:t>Net Financial Margin</w:t>
            </w:r>
          </w:p>
        </w:tc>
        <w:tc>
          <w:tcPr>
            <w:tcW w:type="dxa" w:w="2160"/>
            <w:shd w:fill="F9FAFB"/>
            <w:tcMar>
              <w:top w:w="100" w:type="dxa"/>
              <w:bottom w:w="100" w:type="dxa"/>
              <w:left w:w="140" w:type="dxa"/>
              <w:right w:w="140" w:type="dxa"/>
            </w:tcMar>
          </w:tcPr>
          <w:p>
            <w:pPr>
              <w:spacing w:before="40" w:after="40"/>
            </w:pPr>
            <w:r>
              <w:rPr>
                <w:rFonts w:ascii="Calibri" w:hAnsi="Calibri"/>
                <w:color w:val="1F2937"/>
                <w:sz w:val="18"/>
              </w:rPr>
              <w:t>+$220.00 net return</w:t>
            </w:r>
          </w:p>
        </w:tc>
        <w:tc>
          <w:tcPr>
            <w:tcW w:type="dxa" w:w="2160"/>
            <w:shd w:fill="F9FAFB"/>
            <w:tcMar>
              <w:top w:w="100" w:type="dxa"/>
              <w:bottom w:w="100" w:type="dxa"/>
              <w:left w:w="140" w:type="dxa"/>
              <w:right w:w="140" w:type="dxa"/>
            </w:tcMar>
          </w:tcPr>
          <w:p>
            <w:pPr>
              <w:spacing w:before="40" w:after="40"/>
            </w:pPr>
            <w:r>
              <w:rPr>
                <w:rFonts w:ascii="Calibri" w:hAnsi="Calibri"/>
                <w:color w:val="1F2937"/>
                <w:sz w:val="18"/>
              </w:rPr>
              <w:t>$0.00 ($380.00 lost margin)</w:t>
            </w:r>
          </w:p>
        </w:tc>
        <w:tc>
          <w:tcPr>
            <w:tcW w:type="dxa" w:w="2448"/>
            <w:shd w:fill="F9FAFB"/>
            <w:tcMar>
              <w:top w:w="100" w:type="dxa"/>
              <w:bottom w:w="100" w:type="dxa"/>
              <w:left w:w="140" w:type="dxa"/>
              <w:right w:w="140" w:type="dxa"/>
            </w:tcMar>
          </w:tcPr>
          <w:p>
            <w:pPr>
              <w:spacing w:before="40" w:after="40"/>
            </w:pPr>
            <w:r>
              <w:rPr>
                <w:rFonts w:ascii="Calibri" w:hAnsi="Calibri"/>
                <w:color w:val="1F2937"/>
                <w:sz w:val="18"/>
              </w:rPr>
              <w:t>+$310.00 maximized net return</w:t>
            </w:r>
          </w:p>
        </w:tc>
      </w:tr>
      <w:tr>
        <w:tc>
          <w:tcPr>
            <w:tcW w:type="dxa" w:w="2592"/>
            <w:shd w:fill="FFFFFF"/>
            <w:tcMar>
              <w:top w:w="100" w:type="dxa"/>
              <w:bottom w:w="100" w:type="dxa"/>
              <w:left w:w="140" w:type="dxa"/>
              <w:right w:w="140" w:type="dxa"/>
            </w:tcMar>
          </w:tcPr>
          <w:p>
            <w:pPr>
              <w:spacing w:before="40" w:after="40"/>
            </w:pPr>
            <w:r>
              <w:rPr>
                <w:rFonts w:ascii="Calibri" w:hAnsi="Calibri"/>
                <w:color w:val="1F2937"/>
                <w:sz w:val="18"/>
              </w:rPr>
              <w:t>Days of Inventory</w:t>
            </w:r>
          </w:p>
        </w:tc>
        <w:tc>
          <w:tcPr>
            <w:tcW w:type="dxa" w:w="2160"/>
            <w:shd w:fill="FFFFFF"/>
            <w:tcMar>
              <w:top w:w="100" w:type="dxa"/>
              <w:bottom w:w="100" w:type="dxa"/>
              <w:left w:w="140" w:type="dxa"/>
              <w:right w:w="140" w:type="dxa"/>
            </w:tcMar>
          </w:tcPr>
          <w:p>
            <w:pPr>
              <w:spacing w:before="40" w:after="40"/>
            </w:pPr>
            <w:r>
              <w:rPr>
                <w:rFonts w:ascii="Calibri" w:hAnsi="Calibri"/>
                <w:color w:val="1F2937"/>
                <w:sz w:val="18"/>
              </w:rPr>
              <w:t>24 days of supply</w:t>
            </w:r>
          </w:p>
        </w:tc>
        <w:tc>
          <w:tcPr>
            <w:tcW w:type="dxa" w:w="2160"/>
            <w:shd w:fill="FFFFFF"/>
            <w:tcMar>
              <w:top w:w="100" w:type="dxa"/>
              <w:bottom w:w="100" w:type="dxa"/>
              <w:left w:w="140" w:type="dxa"/>
              <w:right w:w="140" w:type="dxa"/>
            </w:tcMar>
          </w:tcPr>
          <w:p>
            <w:pPr>
              <w:spacing w:before="40" w:after="40"/>
            </w:pPr>
            <w:r>
              <w:rPr>
                <w:rFonts w:ascii="Calibri" w:hAnsi="Calibri"/>
                <w:color w:val="1F2937"/>
                <w:sz w:val="18"/>
              </w:rPr>
              <w:t>1.5 days remaining</w:t>
            </w:r>
          </w:p>
        </w:tc>
        <w:tc>
          <w:tcPr>
            <w:tcW w:type="dxa" w:w="2448"/>
            <w:shd w:fill="FFFFFF"/>
            <w:tcMar>
              <w:top w:w="100" w:type="dxa"/>
              <w:bottom w:w="100" w:type="dxa"/>
              <w:left w:w="140" w:type="dxa"/>
              <w:right w:w="140" w:type="dxa"/>
            </w:tcMar>
          </w:tcPr>
          <w:p>
            <w:pPr>
              <w:spacing w:before="40" w:after="40"/>
            </w:pPr>
            <w:r>
              <w:rPr>
                <w:rFonts w:ascii="Calibri" w:hAnsi="Calibri"/>
                <w:color w:val="1F2937"/>
                <w:sz w:val="18"/>
              </w:rPr>
              <w:t>7 days (Exact weekend coverage)</w:t>
            </w:r>
          </w:p>
        </w:tc>
      </w:tr>
    </w:tbl>
    <w:p>
      <w:pPr>
        <w:spacing w:before="0" w:after="100"/>
      </w:pPr>
      <w:r>
        <w:rPr>
          <w:rFonts w:ascii="Calibri" w:hAnsi="Calibri"/>
          <w:color w:val="1F2937"/>
          <w:sz w:val="20"/>
        </w:rPr>
        <w:t>With one click on 'Convert to Visual Workflow', DMOC translates this 3-Path model into an editable decision graph on the visual canvas.</w:t>
      </w:r>
    </w:p>
    <w:p>
      <w:r>
        <w:br w:type="page"/>
      </w:r>
    </w:p>
    <w:p>
      <w:pPr>
        <w:keepNext/>
        <w:spacing w:before="280" w:after="120"/>
      </w:pPr>
      <w:r>
        <w:rPr>
          <w:rFonts w:ascii="Calibri" w:hAnsi="Calibri"/>
          <w:b/>
          <w:color w:val="1E3A8A"/>
          <w:sz w:val="34"/>
        </w:rPr>
        <w:t>7. The Visual Node-Based Decision Workflow Canvas</w:t>
      </w:r>
    </w:p>
    <w:p>
      <w:pPr>
        <w:spacing w:before="0" w:after="100"/>
      </w:pPr>
      <w:r>
        <w:rPr>
          <w:rFonts w:ascii="Calibri" w:hAnsi="Calibri"/>
          <w:color w:val="1F2937"/>
          <w:sz w:val="20"/>
        </w:rPr>
        <w:t>DMOC features a visual computational flow engine built on @xyflow/react. It allows users to wire complex, multi-variable logic using 26 modular nodes.</w:t>
      </w:r>
    </w:p>
    <w:p>
      <w:pPr>
        <w:keepNext/>
        <w:spacing w:before="200" w:after="80"/>
      </w:pPr>
      <w:r>
        <w:rPr>
          <w:rFonts w:ascii="Calibri" w:hAnsi="Calibri"/>
          <w:b/>
          <w:color w:val="2563EB"/>
          <w:sz w:val="26"/>
        </w:rPr>
        <w:t>7.1 Graph Execution &amp; Topological Dependency Sorting</w:t>
      </w:r>
    </w:p>
    <w:p>
      <w:pPr>
        <w:pStyle w:val="ListBullet"/>
        <w:spacing w:before="20" w:after="60"/>
      </w:pPr>
      <w:r>
        <w:rPr>
          <w:rFonts w:ascii="Calibri" w:hAnsi="Calibri"/>
          <w:b/>
          <w:color w:val="111827"/>
          <w:sz w:val="19"/>
        </w:rPr>
        <w:t xml:space="preserve">• Topological Dependency Sorting: </w:t>
      </w:r>
      <w:r>
        <w:rPr>
          <w:rFonts w:ascii="Calibri" w:hAnsi="Calibri"/>
          <w:color w:val="1F2937"/>
          <w:sz w:val="19"/>
        </w:rPr>
        <w:t>The engine executes a Depth-First Search (DFS) topological sort of the Directed Acyclic Graph (DAG) before running, ensuring that parent output handles are resolved before dependent child nodes execute.</w:t>
      </w:r>
    </w:p>
    <w:p>
      <w:pPr>
        <w:pStyle w:val="ListBullet"/>
        <w:spacing w:before="20" w:after="60"/>
      </w:pPr>
      <w:r>
        <w:rPr>
          <w:rFonts w:ascii="Calibri" w:hAnsi="Calibri"/>
          <w:b/>
          <w:color w:val="111827"/>
          <w:sz w:val="19"/>
        </w:rPr>
        <w:t xml:space="preserve">• Cycle Detection: </w:t>
      </w:r>
      <w:r>
        <w:rPr>
          <w:rFonts w:ascii="Calibri" w:hAnsi="Calibri"/>
          <w:color w:val="1F2937"/>
          <w:sz w:val="19"/>
        </w:rPr>
        <w:t>Detects circular loops and notifies the user with clear node IDs, preventing infinite execution deadlocks.</w:t>
      </w:r>
    </w:p>
    <w:p>
      <w:pPr>
        <w:pStyle w:val="ListBullet"/>
        <w:spacing w:before="20" w:after="60"/>
      </w:pPr>
      <w:r>
        <w:rPr>
          <w:rFonts w:ascii="Calibri" w:hAnsi="Calibri"/>
          <w:b/>
          <w:color w:val="111827"/>
          <w:sz w:val="19"/>
        </w:rPr>
        <w:t xml:space="preserve">• Dynamic Branch Pruning: </w:t>
      </w:r>
      <w:r>
        <w:rPr>
          <w:rFonts w:ascii="Calibri" w:hAnsi="Calibri"/>
          <w:color w:val="1F2937"/>
          <w:sz w:val="19"/>
        </w:rPr>
        <w:t>When an if_else node evaluates to true, child nodes on the true handle execute; downstream nodes on the false branch are marked as skipped in the execution drawer.</w:t>
      </w:r>
    </w:p>
    <w:p>
      <w:pPr>
        <w:keepNext/>
        <w:spacing w:before="200" w:after="80"/>
      </w:pPr>
      <w:r>
        <w:rPr>
          <w:rFonts w:ascii="Calibri" w:hAnsi="Calibri"/>
          <w:b/>
          <w:color w:val="2563EB"/>
          <w:sz w:val="26"/>
        </w:rPr>
        <w:t>7.2 Complete 26-Node Catalogue Across 7 Categories</w:t>
      </w:r>
    </w:p>
    <w:tbl>
      <w:tblPr>
        <w:tblW w:type="auto" w:w="0"/>
        <w:jc w:val="center"/>
        <w:tblLook w:firstColumn="1" w:firstRow="1" w:lastColumn="0" w:lastRow="0" w:noHBand="0" w:noVBand="1" w:val="04A0"/>
      </w:tblPr>
      <w:tblGrid>
        <w:gridCol w:w="2520"/>
        <w:gridCol w:w="2520"/>
        <w:gridCol w:w="2520"/>
        <w:gridCol w:w="2520"/>
      </w:tblGrid>
      <w:tr>
        <w:tc>
          <w:tcPr>
            <w:tcW w:type="dxa" w:w="2304"/>
            <w:shd w:fill="1E3A8A"/>
            <w:tcMar>
              <w:top w:w="120" w:type="dxa"/>
              <w:bottom w:w="120" w:type="dxa"/>
              <w:left w:w="140" w:type="dxa"/>
              <w:right w:w="140" w:type="dxa"/>
            </w:tcMar>
          </w:tcPr>
          <w:p>
            <w:pPr>
              <w:spacing w:before="40" w:after="40"/>
            </w:pPr>
            <w:r>
              <w:rPr>
                <w:rFonts w:ascii="Calibri" w:hAnsi="Calibri"/>
                <w:b/>
                <w:color w:val="FFFFFF"/>
                <w:sz w:val="19"/>
              </w:rPr>
              <w:t>Node Type</w:t>
            </w:r>
          </w:p>
        </w:tc>
        <w:tc>
          <w:tcPr>
            <w:tcW w:type="dxa" w:w="2016"/>
            <w:shd w:fill="1E3A8A"/>
            <w:tcMar>
              <w:top w:w="120" w:type="dxa"/>
              <w:bottom w:w="120" w:type="dxa"/>
              <w:left w:w="140" w:type="dxa"/>
              <w:right w:w="140" w:type="dxa"/>
            </w:tcMar>
          </w:tcPr>
          <w:p>
            <w:pPr>
              <w:spacing w:before="40" w:after="40"/>
            </w:pPr>
            <w:r>
              <w:rPr>
                <w:rFonts w:ascii="Calibri" w:hAnsi="Calibri"/>
                <w:b/>
                <w:color w:val="FFFFFF"/>
                <w:sz w:val="19"/>
              </w:rPr>
              <w:t>Category</w:t>
            </w:r>
          </w:p>
        </w:tc>
        <w:tc>
          <w:tcPr>
            <w:tcW w:type="dxa" w:w="2016"/>
            <w:shd w:fill="1E3A8A"/>
            <w:tcMar>
              <w:top w:w="120" w:type="dxa"/>
              <w:bottom w:w="120" w:type="dxa"/>
              <w:left w:w="140" w:type="dxa"/>
              <w:right w:w="140" w:type="dxa"/>
            </w:tcMar>
          </w:tcPr>
          <w:p>
            <w:pPr>
              <w:spacing w:before="40" w:after="40"/>
            </w:pPr>
            <w:r>
              <w:rPr>
                <w:rFonts w:ascii="Calibri" w:hAnsi="Calibri"/>
                <w:b/>
                <w:color w:val="FFFFFF"/>
                <w:sz w:val="19"/>
              </w:rPr>
              <w:t>I/O Handles</w:t>
            </w:r>
          </w:p>
        </w:tc>
        <w:tc>
          <w:tcPr>
            <w:tcW w:type="dxa" w:w="3024"/>
            <w:shd w:fill="1E3A8A"/>
            <w:tcMar>
              <w:top w:w="120" w:type="dxa"/>
              <w:bottom w:w="120" w:type="dxa"/>
              <w:left w:w="140" w:type="dxa"/>
              <w:right w:w="140" w:type="dxa"/>
            </w:tcMar>
          </w:tcPr>
          <w:p>
            <w:pPr>
              <w:spacing w:before="40" w:after="40"/>
            </w:pPr>
            <w:r>
              <w:rPr>
                <w:rFonts w:ascii="Calibri" w:hAnsi="Calibri"/>
                <w:b/>
                <w:color w:val="FFFFFF"/>
                <w:sz w:val="19"/>
              </w:rPr>
              <w:t>Primary Functionality</w:t>
            </w:r>
          </w:p>
        </w:tc>
      </w:tr>
      <w:tr>
        <w:tc>
          <w:tcPr>
            <w:tcW w:type="dxa" w:w="2304"/>
            <w:shd w:fill="FFFFFF"/>
            <w:tcMar>
              <w:top w:w="100" w:type="dxa"/>
              <w:bottom w:w="100" w:type="dxa"/>
              <w:left w:w="140" w:type="dxa"/>
              <w:right w:w="140" w:type="dxa"/>
            </w:tcMar>
          </w:tcPr>
          <w:p>
            <w:pPr>
              <w:spacing w:before="40" w:after="40"/>
            </w:pPr>
            <w:r>
              <w:rPr>
                <w:rFonts w:ascii="Calibri" w:hAnsi="Calibri"/>
                <w:color w:val="1F2937"/>
                <w:sz w:val="18"/>
              </w:rPr>
              <w:t>start_decision</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Triggers</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None -&gt; default</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Pipeline entrypoint for automated decisions</w:t>
            </w:r>
          </w:p>
        </w:tc>
      </w:tr>
      <w:tr>
        <w:tc>
          <w:tcPr>
            <w:tcW w:type="dxa" w:w="2304"/>
            <w:shd w:fill="F9FAFB"/>
            <w:tcMar>
              <w:top w:w="100" w:type="dxa"/>
              <w:bottom w:w="100" w:type="dxa"/>
              <w:left w:w="140" w:type="dxa"/>
              <w:right w:w="140" w:type="dxa"/>
            </w:tcMar>
          </w:tcPr>
          <w:p>
            <w:pPr>
              <w:spacing w:before="40" w:after="40"/>
            </w:pPr>
            <w:r>
              <w:rPr>
                <w:rFonts w:ascii="Calibri" w:hAnsi="Calibri"/>
                <w:color w:val="1F2937"/>
                <w:sz w:val="18"/>
              </w:rPr>
              <w:t>manual_trigger</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Triggers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None -&gt; default</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User-initiated execution button in canvas</w:t>
            </w:r>
          </w:p>
        </w:tc>
      </w:tr>
      <w:tr>
        <w:tc>
          <w:tcPr>
            <w:tcW w:type="dxa" w:w="2304"/>
            <w:shd w:fill="FFFFFF"/>
            <w:tcMar>
              <w:top w:w="100" w:type="dxa"/>
              <w:bottom w:w="100" w:type="dxa"/>
              <w:left w:w="140" w:type="dxa"/>
              <w:right w:w="140" w:type="dxa"/>
            </w:tcMar>
          </w:tcPr>
          <w:p>
            <w:pPr>
              <w:spacing w:before="40" w:after="40"/>
            </w:pPr>
            <w:r>
              <w:rPr>
                <w:rFonts w:ascii="Calibri" w:hAnsi="Calibri"/>
                <w:color w:val="1F2937"/>
                <w:sz w:val="18"/>
              </w:rPr>
              <w:t>import_spreadsheet</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Triggers</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None -&gt; data</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Parses tabular data directly from Excel (.xlsx)</w:t>
            </w:r>
          </w:p>
        </w:tc>
      </w:tr>
      <w:tr>
        <w:tc>
          <w:tcPr>
            <w:tcW w:type="dxa" w:w="2304"/>
            <w:shd w:fill="F9FAFB"/>
            <w:tcMar>
              <w:top w:w="100" w:type="dxa"/>
              <w:bottom w:w="100" w:type="dxa"/>
              <w:left w:w="140" w:type="dxa"/>
              <w:right w:w="140" w:type="dxa"/>
            </w:tcMar>
          </w:tcPr>
          <w:p>
            <w:pPr>
              <w:spacing w:before="40" w:after="40"/>
            </w:pPr>
            <w:r>
              <w:rPr>
                <w:rFonts w:ascii="Calibri" w:hAnsi="Calibri"/>
                <w:color w:val="1F2937"/>
                <w:sz w:val="18"/>
              </w:rPr>
              <w:t>existing_decision</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Triggers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None -&gt; decision</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Loads a saved decision model from the database</w:t>
            </w:r>
          </w:p>
        </w:tc>
      </w:tr>
      <w:tr>
        <w:tc>
          <w:tcPr>
            <w:tcW w:type="dxa" w:w="2304"/>
            <w:shd w:fill="FFFFFF"/>
            <w:tcMar>
              <w:top w:w="100" w:type="dxa"/>
              <w:bottom w:w="100" w:type="dxa"/>
              <w:left w:w="140" w:type="dxa"/>
              <w:right w:w="140" w:type="dxa"/>
            </w:tcMar>
          </w:tcPr>
          <w:p>
            <w:pPr>
              <w:spacing w:before="40" w:after="40"/>
            </w:pPr>
            <w:r>
              <w:rPr>
                <w:rFonts w:ascii="Calibri" w:hAnsi="Calibri"/>
                <w:color w:val="1F2937"/>
                <w:sz w:val="18"/>
              </w:rPr>
              <w:t>decision_question</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Inputs</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input -&gt; question</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Formalizes the core strategic business question</w:t>
            </w:r>
          </w:p>
        </w:tc>
      </w:tr>
      <w:tr>
        <w:tc>
          <w:tcPr>
            <w:tcW w:type="dxa" w:w="2304"/>
            <w:shd w:fill="F9FAFB"/>
            <w:tcMar>
              <w:top w:w="100" w:type="dxa"/>
              <w:bottom w:w="100" w:type="dxa"/>
              <w:left w:w="140" w:type="dxa"/>
              <w:right w:w="140" w:type="dxa"/>
            </w:tcMar>
          </w:tcPr>
          <w:p>
            <w:pPr>
              <w:spacing w:before="40" w:after="40"/>
            </w:pPr>
            <w:r>
              <w:rPr>
                <w:rFonts w:ascii="Calibri" w:hAnsi="Calibri"/>
                <w:color w:val="1F2937"/>
                <w:sz w:val="18"/>
              </w:rPr>
              <w:t>alternative</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Inputs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input -&gt; alternative</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Defines candidate options (Option A vs Option B)</w:t>
            </w:r>
          </w:p>
        </w:tc>
      </w:tr>
      <w:tr>
        <w:tc>
          <w:tcPr>
            <w:tcW w:type="dxa" w:w="2304"/>
            <w:shd w:fill="FFFFFF"/>
            <w:tcMar>
              <w:top w:w="100" w:type="dxa"/>
              <w:bottom w:w="100" w:type="dxa"/>
              <w:left w:w="140" w:type="dxa"/>
              <w:right w:w="140" w:type="dxa"/>
            </w:tcMar>
          </w:tcPr>
          <w:p>
            <w:pPr>
              <w:spacing w:before="40" w:after="40"/>
            </w:pPr>
            <w:r>
              <w:rPr>
                <w:rFonts w:ascii="Calibri" w:hAnsi="Calibri"/>
                <w:color w:val="1F2937"/>
                <w:sz w:val="18"/>
              </w:rPr>
              <w:t>define_criteria</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Inputs</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input -&gt; criteria</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Configures evaluation metrics and directions</w:t>
            </w:r>
          </w:p>
        </w:tc>
      </w:tr>
      <w:tr>
        <w:tc>
          <w:tcPr>
            <w:tcW w:type="dxa" w:w="2304"/>
            <w:shd w:fill="F9FAFB"/>
            <w:tcMar>
              <w:top w:w="100" w:type="dxa"/>
              <w:bottom w:w="100" w:type="dxa"/>
              <w:left w:w="140" w:type="dxa"/>
              <w:right w:w="140" w:type="dxa"/>
            </w:tcMar>
          </w:tcPr>
          <w:p>
            <w:pPr>
              <w:spacing w:before="40" w:after="40"/>
            </w:pPr>
            <w:r>
              <w:rPr>
                <w:rFonts w:ascii="Calibri" w:hAnsi="Calibri"/>
                <w:color w:val="1F2937"/>
                <w:sz w:val="18"/>
              </w:rPr>
              <w:t>set_criteria_weights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Inputs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criteria -&gt; weights</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Sliders assigning relative percentage weights</w:t>
            </w:r>
          </w:p>
        </w:tc>
      </w:tr>
      <w:tr>
        <w:tc>
          <w:tcPr>
            <w:tcW w:type="dxa" w:w="2304"/>
            <w:shd w:fill="FFFFFF"/>
            <w:tcMar>
              <w:top w:w="100" w:type="dxa"/>
              <w:bottom w:w="100" w:type="dxa"/>
              <w:left w:w="140" w:type="dxa"/>
              <w:right w:w="140" w:type="dxa"/>
            </w:tcMar>
          </w:tcPr>
          <w:p>
            <w:pPr>
              <w:spacing w:before="40" w:after="40"/>
            </w:pPr>
            <w:r>
              <w:rPr>
                <w:rFonts w:ascii="Calibri" w:hAnsi="Calibri"/>
                <w:color w:val="1F2937"/>
                <w:sz w:val="18"/>
              </w:rPr>
              <w:t>define_constraints</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Inputs</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input -&gt; constraints</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Hard boundaries (budget ceiling, regulatory caps)</w:t>
            </w:r>
          </w:p>
        </w:tc>
      </w:tr>
      <w:tr>
        <w:tc>
          <w:tcPr>
            <w:tcW w:type="dxa" w:w="2304"/>
            <w:shd w:fill="F9FAFB"/>
            <w:tcMar>
              <w:top w:w="100" w:type="dxa"/>
              <w:bottom w:w="100" w:type="dxa"/>
              <w:left w:w="140" w:type="dxa"/>
              <w:right w:w="140" w:type="dxa"/>
            </w:tcMar>
          </w:tcPr>
          <w:p>
            <w:pPr>
              <w:spacing w:before="40" w:after="40"/>
            </w:pPr>
            <w:r>
              <w:rPr>
                <w:rFonts w:ascii="Calibri" w:hAnsi="Calibri"/>
                <w:color w:val="1F2937"/>
                <w:sz w:val="18"/>
              </w:rPr>
              <w:t>set_assumptions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Inputs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input -&gt; assumptions</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Baseline conditions (inflation, currency rates)</w:t>
            </w:r>
          </w:p>
        </w:tc>
      </w:tr>
      <w:tr>
        <w:tc>
          <w:tcPr>
            <w:tcW w:type="dxa" w:w="2304"/>
            <w:shd w:fill="FFFFFF"/>
            <w:tcMar>
              <w:top w:w="100" w:type="dxa"/>
              <w:bottom w:w="100" w:type="dxa"/>
              <w:left w:w="140" w:type="dxa"/>
              <w:right w:w="140" w:type="dxa"/>
            </w:tcMar>
          </w:tcPr>
          <w:p>
            <w:pPr>
              <w:spacing w:before="40" w:after="40"/>
            </w:pPr>
            <w:r>
              <w:rPr>
                <w:rFonts w:ascii="Calibri" w:hAnsi="Calibri"/>
                <w:color w:val="1F2937"/>
                <w:sz w:val="18"/>
              </w:rPr>
              <w:t>if_else</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Logic</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condition -&gt; true, false</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Conditional branching via boolean expressions</w:t>
            </w:r>
          </w:p>
        </w:tc>
      </w:tr>
      <w:tr>
        <w:tc>
          <w:tcPr>
            <w:tcW w:type="dxa" w:w="2304"/>
            <w:shd w:fill="F9FAFB"/>
            <w:tcMar>
              <w:top w:w="100" w:type="dxa"/>
              <w:bottom w:w="100" w:type="dxa"/>
              <w:left w:w="140" w:type="dxa"/>
              <w:right w:w="140" w:type="dxa"/>
            </w:tcMar>
          </w:tcPr>
          <w:p>
            <w:pPr>
              <w:spacing w:before="40" w:after="40"/>
            </w:pPr>
            <w:r>
              <w:rPr>
                <w:rFonts w:ascii="Calibri" w:hAnsi="Calibri"/>
                <w:color w:val="1F2937"/>
                <w:sz w:val="18"/>
              </w:rPr>
              <w:t>compare_values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Logic</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left, right -&gt; result</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Relational comparison (==, !=, &gt;, &lt;, &gt;=, &lt;=)</w:t>
            </w:r>
          </w:p>
        </w:tc>
      </w:tr>
      <w:tr>
        <w:tc>
          <w:tcPr>
            <w:tcW w:type="dxa" w:w="2304"/>
            <w:shd w:fill="FFFFFF"/>
            <w:tcMar>
              <w:top w:w="100" w:type="dxa"/>
              <w:bottom w:w="100" w:type="dxa"/>
              <w:left w:w="140" w:type="dxa"/>
              <w:right w:w="140" w:type="dxa"/>
            </w:tcMar>
          </w:tcPr>
          <w:p>
            <w:pPr>
              <w:spacing w:before="40" w:after="40"/>
            </w:pPr>
            <w:r>
              <w:rPr>
                <w:rFonts w:ascii="Calibri" w:hAnsi="Calibri"/>
                <w:color w:val="1F2937"/>
                <w:sz w:val="18"/>
              </w:rPr>
              <w:t>threshold_check</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Logic</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value -&gt; result</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Triggers warning alerts on critical limit breach</w:t>
            </w:r>
          </w:p>
        </w:tc>
      </w:tr>
      <w:tr>
        <w:tc>
          <w:tcPr>
            <w:tcW w:type="dxa" w:w="2304"/>
            <w:shd w:fill="F9FAFB"/>
            <w:tcMar>
              <w:top w:w="100" w:type="dxa"/>
              <w:bottom w:w="100" w:type="dxa"/>
              <w:left w:w="140" w:type="dxa"/>
              <w:right w:w="140" w:type="dxa"/>
            </w:tcMar>
          </w:tcPr>
          <w:p>
            <w:pPr>
              <w:spacing w:before="40" w:after="40"/>
            </w:pPr>
            <w:r>
              <w:rPr>
                <w:rFonts w:ascii="Calibri" w:hAnsi="Calibri"/>
                <w:color w:val="1F2937"/>
                <w:sz w:val="18"/>
              </w:rPr>
              <w:t>and_or_conditions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Logic</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conditions -&gt; result</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Multi-gate logical boolean evaluations</w:t>
            </w:r>
          </w:p>
        </w:tc>
      </w:tr>
      <w:tr>
        <w:tc>
          <w:tcPr>
            <w:tcW w:type="dxa" w:w="2304"/>
            <w:shd w:fill="FFFFFF"/>
            <w:tcMar>
              <w:top w:w="100" w:type="dxa"/>
              <w:bottom w:w="100" w:type="dxa"/>
              <w:left w:w="140" w:type="dxa"/>
              <w:right w:w="140" w:type="dxa"/>
            </w:tcMar>
          </w:tcPr>
          <w:p>
            <w:pPr>
              <w:spacing w:before="40" w:after="40"/>
            </w:pPr>
            <w:r>
              <w:rPr>
                <w:rFonts w:ascii="Calibri" w:hAnsi="Calibri"/>
                <w:color w:val="1F2937"/>
                <w:sz w:val="18"/>
              </w:rPr>
              <w:t>filter_alternatives</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Logic</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alternatives -&gt; filtered</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Excludes options violating hard constraints</w:t>
            </w:r>
          </w:p>
        </w:tc>
      </w:tr>
      <w:tr>
        <w:tc>
          <w:tcPr>
            <w:tcW w:type="dxa" w:w="2304"/>
            <w:shd w:fill="F9FAFB"/>
            <w:tcMar>
              <w:top w:w="100" w:type="dxa"/>
              <w:bottom w:w="100" w:type="dxa"/>
              <w:left w:w="140" w:type="dxa"/>
              <w:right w:w="140" w:type="dxa"/>
            </w:tcMar>
          </w:tcPr>
          <w:p>
            <w:pPr>
              <w:spacing w:before="40" w:after="40"/>
            </w:pPr>
            <w:r>
              <w:rPr>
                <w:rFonts w:ascii="Calibri" w:hAnsi="Calibri"/>
                <w:color w:val="1F2937"/>
                <w:sz w:val="18"/>
              </w:rPr>
              <w:t>merge_branches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Logic</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branch1..3 -&gt; merged</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Converges parallel flows into unified pipe</w:t>
            </w:r>
          </w:p>
        </w:tc>
      </w:tr>
      <w:tr>
        <w:tc>
          <w:tcPr>
            <w:tcW w:type="dxa" w:w="2304"/>
            <w:shd w:fill="FFFFFF"/>
            <w:tcMar>
              <w:top w:w="100" w:type="dxa"/>
              <w:bottom w:w="100" w:type="dxa"/>
              <w:left w:w="140" w:type="dxa"/>
              <w:right w:w="140" w:type="dxa"/>
            </w:tcMar>
          </w:tcPr>
          <w:p>
            <w:pPr>
              <w:spacing w:before="40" w:after="40"/>
            </w:pPr>
            <w:r>
              <w:rPr>
                <w:rFonts w:ascii="Calibri" w:hAnsi="Calibri"/>
                <w:color w:val="1F2937"/>
                <w:sz w:val="18"/>
              </w:rPr>
              <w:t>possible_outcome</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Outcomes</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input -&gt; outcome</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Attaches discrete consequences to options</w:t>
            </w:r>
          </w:p>
        </w:tc>
      </w:tr>
      <w:tr>
        <w:tc>
          <w:tcPr>
            <w:tcW w:type="dxa" w:w="2304"/>
            <w:shd w:fill="F9FAFB"/>
            <w:tcMar>
              <w:top w:w="100" w:type="dxa"/>
              <w:bottom w:w="100" w:type="dxa"/>
              <w:left w:w="140" w:type="dxa"/>
              <w:right w:w="140" w:type="dxa"/>
            </w:tcMar>
          </w:tcPr>
          <w:p>
            <w:pPr>
              <w:spacing w:before="40" w:after="40"/>
            </w:pPr>
            <w:r>
              <w:rPr>
                <w:rFonts w:ascii="Calibri" w:hAnsi="Calibri"/>
                <w:color w:val="1F2937"/>
                <w:sz w:val="18"/>
              </w:rPr>
              <w:t>probability</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Outcomes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input -&gt; probability</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Explicit decimal likelihood between 0 and 1.0</w:t>
            </w:r>
          </w:p>
        </w:tc>
      </w:tr>
      <w:tr>
        <w:tc>
          <w:tcPr>
            <w:tcW w:type="dxa" w:w="2304"/>
            <w:shd w:fill="FFFFFF"/>
            <w:tcMar>
              <w:top w:w="100" w:type="dxa"/>
              <w:bottom w:w="100" w:type="dxa"/>
              <w:left w:w="140" w:type="dxa"/>
              <w:right w:w="140" w:type="dxa"/>
            </w:tcMar>
          </w:tcPr>
          <w:p>
            <w:pPr>
              <w:spacing w:before="40" w:after="40"/>
            </w:pPr>
            <w:r>
              <w:rPr>
                <w:rFonts w:ascii="Calibri" w:hAnsi="Calibri"/>
                <w:color w:val="1F2937"/>
                <w:sz w:val="18"/>
              </w:rPr>
              <w:t>cost</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Outcomes</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input -&gt; cost</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Models financial wholesale cost or penalty</w:t>
            </w:r>
          </w:p>
        </w:tc>
      </w:tr>
      <w:tr>
        <w:tc>
          <w:tcPr>
            <w:tcW w:type="dxa" w:w="2304"/>
            <w:shd w:fill="F9FAFB"/>
            <w:tcMar>
              <w:top w:w="100" w:type="dxa"/>
              <w:bottom w:w="100" w:type="dxa"/>
              <w:left w:w="140" w:type="dxa"/>
              <w:right w:w="140" w:type="dxa"/>
            </w:tcMar>
          </w:tcPr>
          <w:p>
            <w:pPr>
              <w:spacing w:before="40" w:after="40"/>
            </w:pPr>
            <w:r>
              <w:rPr>
                <w:rFonts w:ascii="Calibri" w:hAnsi="Calibri"/>
                <w:color w:val="1F2937"/>
                <w:sz w:val="18"/>
              </w:rPr>
              <w:t>benefit</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Outcomes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input -&gt; benefit</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Projects revenue upside or utility score</w:t>
            </w:r>
          </w:p>
        </w:tc>
      </w:tr>
      <w:tr>
        <w:tc>
          <w:tcPr>
            <w:tcW w:type="dxa" w:w="2304"/>
            <w:shd w:fill="FFFFFF"/>
            <w:tcMar>
              <w:top w:w="100" w:type="dxa"/>
              <w:bottom w:w="100" w:type="dxa"/>
              <w:left w:w="140" w:type="dxa"/>
              <w:right w:w="140" w:type="dxa"/>
            </w:tcMar>
          </w:tcPr>
          <w:p>
            <w:pPr>
              <w:spacing w:before="40" w:after="40"/>
            </w:pPr>
            <w:r>
              <w:rPr>
                <w:rFonts w:ascii="Calibri" w:hAnsi="Calibri"/>
                <w:color w:val="1F2937"/>
                <w:sz w:val="18"/>
              </w:rPr>
              <w:t>risk_assessment</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Outcomes</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input -&gt; risk</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Qualitative risk tiering (low, med, high, crit)</w:t>
            </w:r>
          </w:p>
        </w:tc>
      </w:tr>
      <w:tr>
        <w:tc>
          <w:tcPr>
            <w:tcW w:type="dxa" w:w="2304"/>
            <w:shd w:fill="F9FAFB"/>
            <w:tcMar>
              <w:top w:w="100" w:type="dxa"/>
              <w:bottom w:w="100" w:type="dxa"/>
              <w:left w:w="140" w:type="dxa"/>
              <w:right w:w="140" w:type="dxa"/>
            </w:tcMar>
          </w:tcPr>
          <w:p>
            <w:pPr>
              <w:spacing w:before="40" w:after="40"/>
            </w:pPr>
            <w:r>
              <w:rPr>
                <w:rFonts w:ascii="Calibri" w:hAnsi="Calibri"/>
                <w:color w:val="1F2937"/>
                <w:sz w:val="18"/>
              </w:rPr>
              <w:t>time_estimate</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Outcomes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input -&gt; time</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Duration for delivery, shelf life, lead time</w:t>
            </w:r>
          </w:p>
        </w:tc>
      </w:tr>
      <w:tr>
        <w:tc>
          <w:tcPr>
            <w:tcW w:type="dxa" w:w="2304"/>
            <w:shd w:fill="FFFFFF"/>
            <w:tcMar>
              <w:top w:w="100" w:type="dxa"/>
              <w:bottom w:w="100" w:type="dxa"/>
              <w:left w:w="140" w:type="dxa"/>
              <w:right w:w="140" w:type="dxa"/>
            </w:tcMar>
          </w:tcPr>
          <w:p>
            <w:pPr>
              <w:spacing w:before="40" w:after="40"/>
            </w:pPr>
            <w:r>
              <w:rPr>
                <w:rFonts w:ascii="Calibri" w:hAnsi="Calibri"/>
                <w:color w:val="1F2937"/>
                <w:sz w:val="18"/>
              </w:rPr>
              <w:t>custom_metric</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Outcomes</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input -&gt; metric</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Bespoke KPIs (Customer Loyalty, NPS)</w:t>
            </w:r>
          </w:p>
        </w:tc>
      </w:tr>
      <w:tr>
        <w:tc>
          <w:tcPr>
            <w:tcW w:type="dxa" w:w="2304"/>
            <w:shd w:fill="F9FAFB"/>
            <w:tcMar>
              <w:top w:w="100" w:type="dxa"/>
              <w:bottom w:w="100" w:type="dxa"/>
              <w:left w:w="140" w:type="dxa"/>
              <w:right w:w="140" w:type="dxa"/>
            </w:tcMar>
          </w:tcPr>
          <w:p>
            <w:pPr>
              <w:spacing w:before="40" w:after="40"/>
            </w:pPr>
            <w:r>
              <w:rPr>
                <w:rFonts w:ascii="Calibri" w:hAnsi="Calibri"/>
                <w:color w:val="1F2937"/>
                <w:sz w:val="18"/>
              </w:rPr>
              <w:t>weighted_score</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Calculations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criteria -&gt; score</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Multi-Criteria Decision Analysis (MCDA)</w:t>
            </w:r>
          </w:p>
        </w:tc>
      </w:tr>
      <w:tr>
        <w:tc>
          <w:tcPr>
            <w:tcW w:type="dxa" w:w="2304"/>
            <w:shd w:fill="FFFFFF"/>
            <w:tcMar>
              <w:top w:w="100" w:type="dxa"/>
              <w:bottom w:w="100" w:type="dxa"/>
              <w:left w:w="140" w:type="dxa"/>
              <w:right w:w="140" w:type="dxa"/>
            </w:tcMar>
          </w:tcPr>
          <w:p>
            <w:pPr>
              <w:spacing w:before="40" w:after="40"/>
            </w:pPr>
            <w:r>
              <w:rPr>
                <w:rFonts w:ascii="Calibri" w:hAnsi="Calibri"/>
                <w:color w:val="1F2937"/>
                <w:sz w:val="18"/>
              </w:rPr>
              <w:t>expected_monetary_value</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Calculations</w:t>
            </w:r>
          </w:p>
        </w:tc>
        <w:tc>
          <w:tcPr>
            <w:tcW w:type="dxa" w:w="2016"/>
            <w:shd w:fill="FFFFFF"/>
            <w:tcMar>
              <w:top w:w="100" w:type="dxa"/>
              <w:bottom w:w="100" w:type="dxa"/>
              <w:left w:w="140" w:type="dxa"/>
              <w:right w:w="140" w:type="dxa"/>
            </w:tcMar>
          </w:tcPr>
          <w:p>
            <w:pPr>
              <w:spacing w:before="40" w:after="40"/>
            </w:pPr>
            <w:r>
              <w:rPr>
                <w:rFonts w:ascii="Calibri" w:hAnsi="Calibri"/>
                <w:color w:val="1F2937"/>
                <w:sz w:val="18"/>
              </w:rPr>
              <w:t>outcomes -&gt; emv</w:t>
            </w:r>
          </w:p>
        </w:tc>
        <w:tc>
          <w:tcPr>
            <w:tcW w:type="dxa" w:w="3024"/>
            <w:shd w:fill="FFFFFF"/>
            <w:tcMar>
              <w:top w:w="100" w:type="dxa"/>
              <w:bottom w:w="100" w:type="dxa"/>
              <w:left w:w="140" w:type="dxa"/>
              <w:right w:w="140" w:type="dxa"/>
            </w:tcMar>
          </w:tcPr>
          <w:p>
            <w:pPr>
              <w:spacing w:before="40" w:after="40"/>
            </w:pPr>
            <w:r>
              <w:rPr>
                <w:rFonts w:ascii="Calibri" w:hAnsi="Calibri"/>
                <w:color w:val="1F2937"/>
                <w:sz w:val="18"/>
              </w:rPr>
              <w:t>Probability-weighted EMV calculations</w:t>
            </w:r>
          </w:p>
        </w:tc>
      </w:tr>
      <w:tr>
        <w:tc>
          <w:tcPr>
            <w:tcW w:type="dxa" w:w="2304"/>
            <w:shd w:fill="F9FAFB"/>
            <w:tcMar>
              <w:top w:w="100" w:type="dxa"/>
              <w:bottom w:w="100" w:type="dxa"/>
              <w:left w:w="140" w:type="dxa"/>
              <w:right w:w="140" w:type="dxa"/>
            </w:tcMar>
          </w:tcPr>
          <w:p>
            <w:pPr>
              <w:spacing w:before="40" w:after="40"/>
            </w:pPr>
            <w:r>
              <w:rPr>
                <w:rFonts w:ascii="Calibri" w:hAnsi="Calibri"/>
                <w:color w:val="1F2937"/>
                <w:sz w:val="18"/>
              </w:rPr>
              <w:t>monte_carlo</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Calculations</w:t>
            </w:r>
          </w:p>
        </w:tc>
        <w:tc>
          <w:tcPr>
            <w:tcW w:type="dxa" w:w="2016"/>
            <w:shd w:fill="F9FAFB"/>
            <w:tcMar>
              <w:top w:w="100" w:type="dxa"/>
              <w:bottom w:w="100" w:type="dxa"/>
              <w:left w:w="140" w:type="dxa"/>
              <w:right w:w="140" w:type="dxa"/>
            </w:tcMar>
          </w:tcPr>
          <w:p>
            <w:pPr>
              <w:spacing w:before="40" w:after="40"/>
            </w:pPr>
            <w:r>
              <w:rPr>
                <w:rFonts w:ascii="Calibri" w:hAnsi="Calibri"/>
                <w:color w:val="1F2937"/>
                <w:sz w:val="18"/>
              </w:rPr>
              <w:t>distributions -&gt; results</w:t>
            </w:r>
          </w:p>
        </w:tc>
        <w:tc>
          <w:tcPr>
            <w:tcW w:type="dxa" w:w="3024"/>
            <w:shd w:fill="F9FAFB"/>
            <w:tcMar>
              <w:top w:w="100" w:type="dxa"/>
              <w:bottom w:w="100" w:type="dxa"/>
              <w:left w:w="140" w:type="dxa"/>
              <w:right w:w="140" w:type="dxa"/>
            </w:tcMar>
          </w:tcPr>
          <w:p>
            <w:pPr>
              <w:spacing w:before="40" w:after="40"/>
            </w:pPr>
            <w:r>
              <w:rPr>
                <w:rFonts w:ascii="Calibri" w:hAnsi="Calibri"/>
                <w:color w:val="1F2937"/>
                <w:sz w:val="18"/>
              </w:rPr>
              <w:t>10,000-run stochastic risk simulation</w:t>
            </w:r>
          </w:p>
        </w:tc>
      </w:tr>
    </w:tbl>
    <w:p>
      <w:r>
        <w:br w:type="page"/>
      </w:r>
    </w:p>
    <w:p>
      <w:pPr>
        <w:keepNext/>
        <w:spacing w:before="280" w:after="120"/>
      </w:pPr>
      <w:r>
        <w:rPr>
          <w:rFonts w:ascii="Calibri" w:hAnsi="Calibri"/>
          <w:b/>
          <w:color w:val="1E3A8A"/>
          <w:sz w:val="34"/>
        </w:rPr>
        <w:t>8. Store Operations &amp; Decision Suite</w:t>
      </w:r>
    </w:p>
    <w:p>
      <w:pPr>
        <w:spacing w:before="0" w:after="100"/>
      </w:pPr>
      <w:r>
        <w:rPr>
          <w:rFonts w:ascii="Calibri" w:hAnsi="Calibri"/>
          <w:color w:val="1F2937"/>
          <w:sz w:val="20"/>
        </w:rPr>
        <w:t>DMOC bridges high-level decision theory with everyday shopfloor operations, providing live inventory visibility, supplier terms, and spatial 3D visualization.</w:t>
      </w:r>
    </w:p>
    <w:p>
      <w:pPr>
        <w:keepNext/>
        <w:spacing w:before="200" w:after="80"/>
      </w:pPr>
      <w:r>
        <w:rPr>
          <w:rFonts w:ascii="Calibri" w:hAnsi="Calibri"/>
          <w:b/>
          <w:color w:val="2563EB"/>
          <w:sz w:val="26"/>
        </w:rPr>
        <w:t>8.1 Inventory &amp; Catalog Operations</w:t>
      </w:r>
    </w:p>
    <w:p>
      <w:pPr>
        <w:pStyle w:val="ListBullet"/>
        <w:spacing w:before="20" w:after="60"/>
      </w:pPr>
      <w:r>
        <w:rPr>
          <w:rFonts w:ascii="Calibri" w:hAnsi="Calibri"/>
          <w:b/>
          <w:color w:val="111827"/>
          <w:sz w:val="19"/>
        </w:rPr>
        <w:t xml:space="preserve">• Batch &amp; Expiry Monitoring: </w:t>
      </w:r>
      <w:r>
        <w:rPr>
          <w:rFonts w:ascii="Calibri" w:hAnsi="Calibri"/>
          <w:color w:val="1F2937"/>
          <w:sz w:val="19"/>
        </w:rPr>
        <w:t>Tracks batches and shelf-life horizons. Perishable grocery and pharmaceutical items expiring within 30 days display prominent yellow warning badges; items expiring within 7 days trigger red markdown alerts.</w:t>
      </w:r>
    </w:p>
    <w:p>
      <w:pPr>
        <w:pStyle w:val="ListBullet"/>
        <w:spacing w:before="20" w:after="60"/>
      </w:pPr>
      <w:r>
        <w:rPr>
          <w:rFonts w:ascii="Calibri" w:hAnsi="Calibri"/>
          <w:b/>
          <w:color w:val="111827"/>
          <w:sz w:val="19"/>
        </w:rPr>
        <w:t xml:space="preserve">• Stock Level Tracking: </w:t>
      </w:r>
      <w:r>
        <w:rPr>
          <w:rFonts w:ascii="Calibri" w:hAnsi="Calibri"/>
          <w:color w:val="1F2937"/>
          <w:sz w:val="19"/>
        </w:rPr>
        <w:t>Tracks real-time stock on hand against minimum reorder points. Highlights cash tied up in dead stock.</w:t>
      </w:r>
    </w:p>
    <w:p>
      <w:pPr>
        <w:pStyle w:val="ListBullet"/>
        <w:spacing w:before="20" w:after="60"/>
      </w:pPr>
      <w:r>
        <w:rPr>
          <w:rFonts w:ascii="Calibri" w:hAnsi="Calibri"/>
          <w:b/>
          <w:color w:val="111827"/>
          <w:sz w:val="19"/>
        </w:rPr>
        <w:t xml:space="preserve">• Stock Movement Audit: </w:t>
      </w:r>
      <w:r>
        <w:rPr>
          <w:rFonts w:ascii="Calibri" w:hAnsi="Calibri"/>
          <w:color w:val="1F2937"/>
          <w:sz w:val="19"/>
        </w:rPr>
        <w:t>Complete ledger recording stock receipts, customer sales, supplier returns, and write-offs.</w:t>
      </w:r>
    </w:p>
    <w:p>
      <w:pPr>
        <w:keepNext/>
        <w:spacing w:before="200" w:after="80"/>
      </w:pPr>
      <w:r>
        <w:rPr>
          <w:rFonts w:ascii="Calibri" w:hAnsi="Calibri"/>
          <w:b/>
          <w:color w:val="2563EB"/>
          <w:sz w:val="26"/>
        </w:rPr>
        <w:t>8.2 Supplier Management &amp; Terms</w:t>
      </w:r>
    </w:p>
    <w:p>
      <w:pPr>
        <w:pStyle w:val="ListBullet"/>
        <w:spacing w:before="20" w:after="60"/>
      </w:pPr>
      <w:r>
        <w:rPr>
          <w:rFonts w:ascii="Calibri" w:hAnsi="Calibri"/>
          <w:b/>
          <w:color w:val="111827"/>
          <w:sz w:val="19"/>
        </w:rPr>
        <w:t xml:space="preserve">• Vendor Directory: </w:t>
      </w:r>
      <w:r>
        <w:rPr>
          <w:rFonts w:ascii="Calibri" w:hAnsi="Calibri"/>
          <w:color w:val="1F2937"/>
          <w:sz w:val="19"/>
        </w:rPr>
        <w:t>Records vendor name, contact person, phone, email, and catalog mappings.</w:t>
      </w:r>
    </w:p>
    <w:p>
      <w:pPr>
        <w:pStyle w:val="ListBullet"/>
        <w:spacing w:before="20" w:after="60"/>
      </w:pPr>
      <w:r>
        <w:rPr>
          <w:rFonts w:ascii="Calibri" w:hAnsi="Calibri"/>
          <w:b/>
          <w:color w:val="111827"/>
          <w:sz w:val="19"/>
        </w:rPr>
        <w:t xml:space="preserve">• Lead-Time Tracking: </w:t>
      </w:r>
      <w:r>
        <w:rPr>
          <w:rFonts w:ascii="Calibri" w:hAnsi="Calibri"/>
          <w:color w:val="1F2937"/>
          <w:sz w:val="19"/>
        </w:rPr>
        <w:t>Incorporates supplier lead times (in days) into dynamic reorder point calculations.</w:t>
      </w:r>
    </w:p>
    <w:p>
      <w:pPr>
        <w:pStyle w:val="ListBullet"/>
        <w:spacing w:before="20" w:after="60"/>
      </w:pPr>
      <w:r>
        <w:rPr>
          <w:rFonts w:ascii="Calibri" w:hAnsi="Calibri"/>
          <w:b/>
          <w:color w:val="111827"/>
          <w:sz w:val="19"/>
        </w:rPr>
        <w:t xml:space="preserve">• Commercial Terms: </w:t>
      </w:r>
      <w:r>
        <w:rPr>
          <w:rFonts w:ascii="Calibri" w:hAnsi="Calibri"/>
          <w:color w:val="1F2937"/>
          <w:sz w:val="19"/>
        </w:rPr>
        <w:t>Models payment terms (Net 30, Net 60, Cash on Delivery) to project cash outflow schedules.</w:t>
      </w:r>
    </w:p>
    <w:p>
      <w:pPr>
        <w:pStyle w:val="ListBullet"/>
        <w:spacing w:before="20" w:after="60"/>
      </w:pPr>
      <w:r>
        <w:rPr>
          <w:rFonts w:ascii="Calibri" w:hAnsi="Calibri"/>
          <w:b/>
          <w:color w:val="111827"/>
          <w:sz w:val="19"/>
        </w:rPr>
        <w:t xml:space="preserve">• MOQ &amp; Volume Tiers: </w:t>
      </w:r>
      <w:r>
        <w:rPr>
          <w:rFonts w:ascii="Calibri" w:hAnsi="Calibri"/>
          <w:color w:val="1F2937"/>
          <w:sz w:val="19"/>
        </w:rPr>
        <w:t>Evaluates supplier minimum order quantities (MOQ) and volume discounts during restock evaluations.</w:t>
      </w:r>
    </w:p>
    <w:p>
      <w:pPr>
        <w:keepNext/>
        <w:spacing w:before="200" w:after="80"/>
      </w:pPr>
      <w:r>
        <w:rPr>
          <w:rFonts w:ascii="Calibri" w:hAnsi="Calibri"/>
          <w:b/>
          <w:color w:val="2563EB"/>
          <w:sz w:val="26"/>
        </w:rPr>
        <w:t>8.3 Interactive 3D Decision Tree &amp; 2D Fallback</w:t>
      </w:r>
    </w:p>
    <w:p>
      <w:pPr>
        <w:spacing w:before="0" w:after="100"/>
      </w:pPr>
      <w:r>
        <w:rPr>
          <w:rFonts w:ascii="Calibri" w:hAnsi="Calibri"/>
          <w:color w:val="1F2937"/>
          <w:sz w:val="20"/>
        </w:rPr>
        <w:t>DMOC provides dual visualization interfaces for inspecting complex decision hierarchies:</w:t>
      </w:r>
    </w:p>
    <w:p>
      <w:pPr>
        <w:pStyle w:val="ListBullet"/>
        <w:spacing w:before="20" w:after="60"/>
      </w:pPr>
      <w:r>
        <w:rPr>
          <w:rFonts w:ascii="Calibri" w:hAnsi="Calibri"/>
          <w:b/>
          <w:color w:val="111827"/>
          <w:sz w:val="19"/>
        </w:rPr>
        <w:t xml:space="preserve">1. Interactive 3D Spatial Tree: </w:t>
      </w:r>
      <w:r>
        <w:rPr>
          <w:rFonts w:ascii="Calibri" w:hAnsi="Calibri"/>
          <w:color w:val="1F2937"/>
          <w:sz w:val="19"/>
        </w:rPr>
        <w:t>Constructed using Three.js and React Three Fiber. Visualizes the decision problem as a spatial node-and-link tree with orbital camera controls, mousewheel zooming, color-coded risk paths, and click-to-inspect modals.</w:t>
      </w:r>
    </w:p>
    <w:p>
      <w:pPr>
        <w:pStyle w:val="ListBullet"/>
        <w:spacing w:before="20" w:after="60"/>
      </w:pPr>
      <w:r>
        <w:rPr>
          <w:rFonts w:ascii="Calibri" w:hAnsi="Calibri"/>
          <w:b/>
          <w:color w:val="111827"/>
          <w:sz w:val="19"/>
        </w:rPr>
        <w:t xml:space="preserve">2. Resilient 2D Canvas Fallback: </w:t>
      </w:r>
      <w:r>
        <w:rPr>
          <w:rFonts w:ascii="Calibri" w:hAnsi="Calibri"/>
          <w:color w:val="1F2937"/>
          <w:sz w:val="19"/>
        </w:rPr>
        <w:t>Engineered in pure SVG for ultra-low latency on mobile devices or environments where WebGL is unavailable or disabled.</w:t>
      </w:r>
    </w:p>
    <w:tbl>
      <w:tblPr>
        <w:tblW w:type="auto" w:w="0"/>
        <w:jc w:val="center"/>
        <w:tblLayout w:type="fixed"/>
        <w:tblLook w:firstColumn="1" w:firstRow="1" w:lastColumn="0" w:lastRow="0" w:noHBand="0" w:noVBand="1" w:val="04A0"/>
      </w:tblPr>
      <w:tblGrid>
        <w:gridCol w:w="10080"/>
      </w:tblGrid>
      <w:tr>
        <w:tc>
          <w:tcPr>
            <w:tcW w:type="dxa" w:w="9360"/>
            <w:shd w:fill="F0F4F8"/>
            <w:tcMar>
              <w:top w:w="140" w:type="dxa"/>
              <w:bottom w:w="140" w:type="dxa"/>
              <w:left w:w="200" w:type="dxa"/>
              <w:right w:w="160" w:type="dxa"/>
            </w:tcMar>
            <w:tcBorders>
              <w:top w:val="none"/>
              <w:left w:val="single" w:sz="36" w:space="0" w:color="2563EB"/>
              <w:bottom w:val="none"/>
              <w:right w:val="none"/>
            </w:tcBorders>
          </w:tcPr>
          <w:p>
            <w:pPr>
              <w:spacing w:before="40" w:after="40"/>
            </w:pPr>
            <w:r>
              <w:rPr>
                <w:rFonts w:ascii="Calibri" w:hAnsi="Calibri"/>
                <w:b/>
                <w:color w:val="1E3A8A"/>
                <w:sz w:val="20"/>
              </w:rPr>
              <w:t xml:space="preserve">[VISUALIZATION RESILIENCE] </w:t>
            </w:r>
            <w:r>
              <w:rPr>
                <w:rFonts w:ascii="Calibri" w:hAnsi="Calibri"/>
                <w:color w:val="374151"/>
                <w:sz w:val="19"/>
              </w:rPr>
              <w:t>DMOC's 3D and 2D decision tree engines render the exact same underlying mathematical tree hierarchy. Switching between modes preserves selected node states and calculation outputs instantly.</w:t>
            </w:r>
          </w:p>
        </w:tc>
      </w:tr>
    </w:tbl>
    <w:p>
      <w:r>
        <w:br w:type="page"/>
      </w:r>
    </w:p>
    <w:p>
      <w:pPr>
        <w:keepNext/>
        <w:spacing w:before="280" w:after="120"/>
      </w:pPr>
      <w:r>
        <w:rPr>
          <w:rFonts w:ascii="Calibri" w:hAnsi="Calibri"/>
          <w:b/>
          <w:color w:val="1E3A8A"/>
          <w:sz w:val="34"/>
        </w:rPr>
        <w:t>9. Comprehensive RESTful API Reference</w:t>
      </w:r>
    </w:p>
    <w:p>
      <w:pPr>
        <w:spacing w:before="0" w:after="100"/>
      </w:pPr>
      <w:r>
        <w:rPr>
          <w:rFonts w:ascii="Calibri" w:hAnsi="Calibri"/>
          <w:color w:val="1F2937"/>
          <w:sz w:val="20"/>
        </w:rPr>
        <w:t>All DMOC backend endpoints are versioned under /api and return structured JSON responses adhering to standardized success/error schemas.</w:t>
      </w:r>
    </w:p>
    <w:tbl>
      <w:tblPr>
        <w:tblW w:type="auto" w:w="0"/>
        <w:jc w:val="center"/>
        <w:tblLook w:firstColumn="1" w:firstRow="1" w:lastColumn="0" w:lastRow="0" w:noHBand="0" w:noVBand="1" w:val="04A0"/>
      </w:tblPr>
      <w:tblGrid>
        <w:gridCol w:w="2520"/>
        <w:gridCol w:w="2520"/>
        <w:gridCol w:w="2520"/>
        <w:gridCol w:w="2520"/>
      </w:tblGrid>
      <w:tr>
        <w:tc>
          <w:tcPr>
            <w:tcW w:type="dxa" w:w="1584"/>
            <w:shd w:fill="1E3A8A"/>
            <w:tcMar>
              <w:top w:w="120" w:type="dxa"/>
              <w:bottom w:w="120" w:type="dxa"/>
              <w:left w:w="140" w:type="dxa"/>
              <w:right w:w="140" w:type="dxa"/>
            </w:tcMar>
          </w:tcPr>
          <w:p>
            <w:pPr>
              <w:spacing w:before="40" w:after="40"/>
            </w:pPr>
            <w:r>
              <w:rPr>
                <w:rFonts w:ascii="Calibri" w:hAnsi="Calibri"/>
                <w:b/>
                <w:color w:val="FFFFFF"/>
                <w:sz w:val="19"/>
              </w:rPr>
              <w:t>Method</w:t>
            </w:r>
          </w:p>
        </w:tc>
        <w:tc>
          <w:tcPr>
            <w:tcW w:type="dxa" w:w="3168"/>
            <w:shd w:fill="1E3A8A"/>
            <w:tcMar>
              <w:top w:w="120" w:type="dxa"/>
              <w:bottom w:w="120" w:type="dxa"/>
              <w:left w:w="140" w:type="dxa"/>
              <w:right w:w="140" w:type="dxa"/>
            </w:tcMar>
          </w:tcPr>
          <w:p>
            <w:pPr>
              <w:spacing w:before="40" w:after="40"/>
            </w:pPr>
            <w:r>
              <w:rPr>
                <w:rFonts w:ascii="Calibri" w:hAnsi="Calibri"/>
                <w:b/>
                <w:color w:val="FFFFFF"/>
                <w:sz w:val="19"/>
              </w:rPr>
              <w:t>Endpoint Route</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19"/>
              </w:rPr>
              <w:t>Access Level</w:t>
            </w:r>
          </w:p>
        </w:tc>
        <w:tc>
          <w:tcPr>
            <w:tcW w:type="dxa" w:w="2736"/>
            <w:shd w:fill="1E3A8A"/>
            <w:tcMar>
              <w:top w:w="120" w:type="dxa"/>
              <w:bottom w:w="120" w:type="dxa"/>
              <w:left w:w="140" w:type="dxa"/>
              <w:right w:w="140" w:type="dxa"/>
            </w:tcMar>
          </w:tcPr>
          <w:p>
            <w:pPr>
              <w:spacing w:before="40" w:after="40"/>
            </w:pPr>
            <w:r>
              <w:rPr>
                <w:rFonts w:ascii="Calibri" w:hAnsi="Calibri"/>
                <w:b/>
                <w:color w:val="FFFFFF"/>
                <w:sz w:val="19"/>
              </w:rPr>
              <w:t>Action / Data Returned</w:t>
            </w:r>
          </w:p>
        </w:tc>
      </w:tr>
      <w:tr>
        <w:tc>
          <w:tcPr>
            <w:tcW w:type="dxa" w:w="1584"/>
            <w:shd w:fill="FFFFFF"/>
            <w:tcMar>
              <w:top w:w="100" w:type="dxa"/>
              <w:bottom w:w="100" w:type="dxa"/>
              <w:left w:w="140" w:type="dxa"/>
              <w:right w:w="140" w:type="dxa"/>
            </w:tcMar>
          </w:tcPr>
          <w:p>
            <w:pPr>
              <w:spacing w:before="40" w:after="40"/>
            </w:pPr>
            <w:r>
              <w:rPr>
                <w:rFonts w:ascii="Calibri" w:hAnsi="Calibri"/>
                <w:color w:val="1F2937"/>
                <w:sz w:val="18"/>
              </w:rPr>
              <w:t>POST</w:t>
            </w:r>
          </w:p>
        </w:tc>
        <w:tc>
          <w:tcPr>
            <w:tcW w:type="dxa" w:w="3168"/>
            <w:shd w:fill="FFFFFF"/>
            <w:tcMar>
              <w:top w:w="100" w:type="dxa"/>
              <w:bottom w:w="100" w:type="dxa"/>
              <w:left w:w="140" w:type="dxa"/>
              <w:right w:w="140" w:type="dxa"/>
            </w:tcMar>
          </w:tcPr>
          <w:p>
            <w:pPr>
              <w:spacing w:before="40" w:after="40"/>
            </w:pPr>
            <w:r>
              <w:rPr>
                <w:rFonts w:ascii="Calibri" w:hAnsi="Calibri"/>
                <w:color w:val="1F2937"/>
                <w:sz w:val="18"/>
              </w:rPr>
              <w:t>/api/auth/register</w:t>
            </w:r>
          </w:p>
        </w:tc>
        <w:tc>
          <w:tcPr>
            <w:tcW w:type="dxa" w:w="1872"/>
            <w:shd w:fill="FFFFFF"/>
            <w:tcMar>
              <w:top w:w="100" w:type="dxa"/>
              <w:bottom w:w="100" w:type="dxa"/>
              <w:left w:w="140" w:type="dxa"/>
              <w:right w:w="140" w:type="dxa"/>
            </w:tcMar>
          </w:tcPr>
          <w:p>
            <w:pPr>
              <w:spacing w:before="40" w:after="40"/>
            </w:pPr>
            <w:r>
              <w:rPr>
                <w:rFonts w:ascii="Calibri" w:hAnsi="Calibri"/>
                <w:color w:val="1F2937"/>
                <w:sz w:val="18"/>
              </w:rPr>
              <w:t>Public</w:t>
            </w:r>
          </w:p>
        </w:tc>
        <w:tc>
          <w:tcPr>
            <w:tcW w:type="dxa" w:w="2736"/>
            <w:shd w:fill="FFFFFF"/>
            <w:tcMar>
              <w:top w:w="100" w:type="dxa"/>
              <w:bottom w:w="100" w:type="dxa"/>
              <w:left w:w="140" w:type="dxa"/>
              <w:right w:w="140" w:type="dxa"/>
            </w:tcMar>
          </w:tcPr>
          <w:p>
            <w:pPr>
              <w:spacing w:before="40" w:after="40"/>
            </w:pPr>
            <w:r>
              <w:rPr>
                <w:rFonts w:ascii="Calibri" w:hAnsi="Calibri"/>
                <w:color w:val="1F2937"/>
                <w:sz w:val="18"/>
              </w:rPr>
              <w:t>Register user account (Argon2id hashing)</w:t>
            </w:r>
          </w:p>
        </w:tc>
      </w:tr>
      <w:tr>
        <w:tc>
          <w:tcPr>
            <w:tcW w:type="dxa" w:w="1584"/>
            <w:shd w:fill="F9FAFB"/>
            <w:tcMar>
              <w:top w:w="100" w:type="dxa"/>
              <w:bottom w:w="100" w:type="dxa"/>
              <w:left w:w="140" w:type="dxa"/>
              <w:right w:w="140" w:type="dxa"/>
            </w:tcMar>
          </w:tcPr>
          <w:p>
            <w:pPr>
              <w:spacing w:before="40" w:after="40"/>
            </w:pPr>
            <w:r>
              <w:rPr>
                <w:rFonts w:ascii="Calibri" w:hAnsi="Calibri"/>
                <w:color w:val="1F2937"/>
                <w:sz w:val="18"/>
              </w:rPr>
              <w:t>POST</w:t>
            </w:r>
          </w:p>
        </w:tc>
        <w:tc>
          <w:tcPr>
            <w:tcW w:type="dxa" w:w="3168"/>
            <w:shd w:fill="F9FAFB"/>
            <w:tcMar>
              <w:top w:w="100" w:type="dxa"/>
              <w:bottom w:w="100" w:type="dxa"/>
              <w:left w:w="140" w:type="dxa"/>
              <w:right w:w="140" w:type="dxa"/>
            </w:tcMar>
          </w:tcPr>
          <w:p>
            <w:pPr>
              <w:spacing w:before="40" w:after="40"/>
            </w:pPr>
            <w:r>
              <w:rPr>
                <w:rFonts w:ascii="Calibri" w:hAnsi="Calibri"/>
                <w:color w:val="1F2937"/>
                <w:sz w:val="18"/>
              </w:rPr>
              <w:t>/api/auth/login</w:t>
            </w:r>
          </w:p>
        </w:tc>
        <w:tc>
          <w:tcPr>
            <w:tcW w:type="dxa" w:w="1872"/>
            <w:shd w:fill="F9FAFB"/>
            <w:tcMar>
              <w:top w:w="100" w:type="dxa"/>
              <w:bottom w:w="100" w:type="dxa"/>
              <w:left w:w="140" w:type="dxa"/>
              <w:right w:w="140" w:type="dxa"/>
            </w:tcMar>
          </w:tcPr>
          <w:p>
            <w:pPr>
              <w:spacing w:before="40" w:after="40"/>
            </w:pPr>
            <w:r>
              <w:rPr>
                <w:rFonts w:ascii="Calibri" w:hAnsi="Calibri"/>
                <w:color w:val="1F2937"/>
                <w:sz w:val="18"/>
              </w:rPr>
              <w:t>Public</w:t>
            </w:r>
          </w:p>
        </w:tc>
        <w:tc>
          <w:tcPr>
            <w:tcW w:type="dxa" w:w="2736"/>
            <w:shd w:fill="F9FAFB"/>
            <w:tcMar>
              <w:top w:w="100" w:type="dxa"/>
              <w:bottom w:w="100" w:type="dxa"/>
              <w:left w:w="140" w:type="dxa"/>
              <w:right w:w="140" w:type="dxa"/>
            </w:tcMar>
          </w:tcPr>
          <w:p>
            <w:pPr>
              <w:spacing w:before="40" w:after="40"/>
            </w:pPr>
            <w:r>
              <w:rPr>
                <w:rFonts w:ascii="Calibri" w:hAnsi="Calibri"/>
                <w:color w:val="1F2937"/>
                <w:sz w:val="18"/>
              </w:rPr>
              <w:t>Authenticates user; sets JWT cookie &amp; token</w:t>
            </w:r>
          </w:p>
        </w:tc>
      </w:tr>
      <w:tr>
        <w:tc>
          <w:tcPr>
            <w:tcW w:type="dxa" w:w="1584"/>
            <w:shd w:fill="FFFFFF"/>
            <w:tcMar>
              <w:top w:w="100" w:type="dxa"/>
              <w:bottom w:w="100" w:type="dxa"/>
              <w:left w:w="140" w:type="dxa"/>
              <w:right w:w="140" w:type="dxa"/>
            </w:tcMar>
          </w:tcPr>
          <w:p>
            <w:pPr>
              <w:spacing w:before="40" w:after="40"/>
            </w:pPr>
            <w:r>
              <w:rPr>
                <w:rFonts w:ascii="Calibri" w:hAnsi="Calibri"/>
                <w:color w:val="1F2937"/>
                <w:sz w:val="18"/>
              </w:rPr>
              <w:t>POST</w:t>
            </w:r>
          </w:p>
        </w:tc>
        <w:tc>
          <w:tcPr>
            <w:tcW w:type="dxa" w:w="3168"/>
            <w:shd w:fill="FFFFFF"/>
            <w:tcMar>
              <w:top w:w="100" w:type="dxa"/>
              <w:bottom w:w="100" w:type="dxa"/>
              <w:left w:w="140" w:type="dxa"/>
              <w:right w:w="140" w:type="dxa"/>
            </w:tcMar>
          </w:tcPr>
          <w:p>
            <w:pPr>
              <w:spacing w:before="40" w:after="40"/>
            </w:pPr>
            <w:r>
              <w:rPr>
                <w:rFonts w:ascii="Calibri" w:hAnsi="Calibri"/>
                <w:color w:val="1F2937"/>
                <w:sz w:val="18"/>
              </w:rPr>
              <w:t>/api/auth/logout</w:t>
            </w:r>
          </w:p>
        </w:tc>
        <w:tc>
          <w:tcPr>
            <w:tcW w:type="dxa" w:w="1872"/>
            <w:shd w:fill="FFFFFF"/>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FFFFF"/>
            <w:tcMar>
              <w:top w:w="100" w:type="dxa"/>
              <w:bottom w:w="100" w:type="dxa"/>
              <w:left w:w="140" w:type="dxa"/>
              <w:right w:w="140" w:type="dxa"/>
            </w:tcMar>
          </w:tcPr>
          <w:p>
            <w:pPr>
              <w:spacing w:before="40" w:after="40"/>
            </w:pPr>
            <w:r>
              <w:rPr>
                <w:rFonts w:ascii="Calibri" w:hAnsi="Calibri"/>
                <w:color w:val="1F2937"/>
                <w:sz w:val="18"/>
              </w:rPr>
              <w:t>Revokes session and clears secure cookie</w:t>
            </w:r>
          </w:p>
        </w:tc>
      </w:tr>
      <w:tr>
        <w:tc>
          <w:tcPr>
            <w:tcW w:type="dxa" w:w="1584"/>
            <w:shd w:fill="F9FAFB"/>
            <w:tcMar>
              <w:top w:w="100" w:type="dxa"/>
              <w:bottom w:w="100" w:type="dxa"/>
              <w:left w:w="140" w:type="dxa"/>
              <w:right w:w="140" w:type="dxa"/>
            </w:tcMar>
          </w:tcPr>
          <w:p>
            <w:pPr>
              <w:spacing w:before="40" w:after="40"/>
            </w:pPr>
            <w:r>
              <w:rPr>
                <w:rFonts w:ascii="Calibri" w:hAnsi="Calibri"/>
                <w:color w:val="1F2937"/>
                <w:sz w:val="18"/>
              </w:rPr>
              <w:t>GET</w:t>
            </w:r>
          </w:p>
        </w:tc>
        <w:tc>
          <w:tcPr>
            <w:tcW w:type="dxa" w:w="3168"/>
            <w:shd w:fill="F9FAFB"/>
            <w:tcMar>
              <w:top w:w="100" w:type="dxa"/>
              <w:bottom w:w="100" w:type="dxa"/>
              <w:left w:w="140" w:type="dxa"/>
              <w:right w:w="140" w:type="dxa"/>
            </w:tcMar>
          </w:tcPr>
          <w:p>
            <w:pPr>
              <w:spacing w:before="40" w:after="40"/>
            </w:pPr>
            <w:r>
              <w:rPr>
                <w:rFonts w:ascii="Calibri" w:hAnsi="Calibri"/>
                <w:color w:val="1F2937"/>
                <w:sz w:val="18"/>
              </w:rPr>
              <w:t>/api/businesses</w:t>
            </w:r>
          </w:p>
        </w:tc>
        <w:tc>
          <w:tcPr>
            <w:tcW w:type="dxa" w:w="1872"/>
            <w:shd w:fill="F9FAFB"/>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9FAFB"/>
            <w:tcMar>
              <w:top w:w="100" w:type="dxa"/>
              <w:bottom w:w="100" w:type="dxa"/>
              <w:left w:w="140" w:type="dxa"/>
              <w:right w:w="140" w:type="dxa"/>
            </w:tcMar>
          </w:tcPr>
          <w:p>
            <w:pPr>
              <w:spacing w:before="40" w:after="40"/>
            </w:pPr>
            <w:r>
              <w:rPr>
                <w:rFonts w:ascii="Calibri" w:hAnsi="Calibri"/>
                <w:color w:val="1F2937"/>
                <w:sz w:val="18"/>
              </w:rPr>
              <w:t>Lists all workspaces belonging to user</w:t>
            </w:r>
          </w:p>
        </w:tc>
      </w:tr>
      <w:tr>
        <w:tc>
          <w:tcPr>
            <w:tcW w:type="dxa" w:w="1584"/>
            <w:shd w:fill="FFFFFF"/>
            <w:tcMar>
              <w:top w:w="100" w:type="dxa"/>
              <w:bottom w:w="100" w:type="dxa"/>
              <w:left w:w="140" w:type="dxa"/>
              <w:right w:w="140" w:type="dxa"/>
            </w:tcMar>
          </w:tcPr>
          <w:p>
            <w:pPr>
              <w:spacing w:before="40" w:after="40"/>
            </w:pPr>
            <w:r>
              <w:rPr>
                <w:rFonts w:ascii="Calibri" w:hAnsi="Calibri"/>
                <w:color w:val="1F2937"/>
                <w:sz w:val="18"/>
              </w:rPr>
              <w:t>POST</w:t>
            </w:r>
          </w:p>
        </w:tc>
        <w:tc>
          <w:tcPr>
            <w:tcW w:type="dxa" w:w="3168"/>
            <w:shd w:fill="FFFFFF"/>
            <w:tcMar>
              <w:top w:w="100" w:type="dxa"/>
              <w:bottom w:w="100" w:type="dxa"/>
              <w:left w:w="140" w:type="dxa"/>
              <w:right w:w="140" w:type="dxa"/>
            </w:tcMar>
          </w:tcPr>
          <w:p>
            <w:pPr>
              <w:spacing w:before="40" w:after="40"/>
            </w:pPr>
            <w:r>
              <w:rPr>
                <w:rFonts w:ascii="Calibri" w:hAnsi="Calibri"/>
                <w:color w:val="1F2937"/>
                <w:sz w:val="18"/>
              </w:rPr>
              <w:t>/api/businesses</w:t>
            </w:r>
          </w:p>
        </w:tc>
        <w:tc>
          <w:tcPr>
            <w:tcW w:type="dxa" w:w="1872"/>
            <w:shd w:fill="FFFFFF"/>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FFFFF"/>
            <w:tcMar>
              <w:top w:w="100" w:type="dxa"/>
              <w:bottom w:w="100" w:type="dxa"/>
              <w:left w:w="140" w:type="dxa"/>
              <w:right w:w="140" w:type="dxa"/>
            </w:tcMar>
          </w:tcPr>
          <w:p>
            <w:pPr>
              <w:spacing w:before="40" w:after="40"/>
            </w:pPr>
            <w:r>
              <w:rPr>
                <w:rFonts w:ascii="Calibri" w:hAnsi="Calibri"/>
                <w:color w:val="1F2937"/>
                <w:sz w:val="18"/>
              </w:rPr>
              <w:t>Creates a new business workspace profile</w:t>
            </w:r>
          </w:p>
        </w:tc>
      </w:tr>
      <w:tr>
        <w:tc>
          <w:tcPr>
            <w:tcW w:type="dxa" w:w="1584"/>
            <w:shd w:fill="F9FAFB"/>
            <w:tcMar>
              <w:top w:w="100" w:type="dxa"/>
              <w:bottom w:w="100" w:type="dxa"/>
              <w:left w:w="140" w:type="dxa"/>
              <w:right w:w="140" w:type="dxa"/>
            </w:tcMar>
          </w:tcPr>
          <w:p>
            <w:pPr>
              <w:spacing w:before="40" w:after="40"/>
            </w:pPr>
            <w:r>
              <w:rPr>
                <w:rFonts w:ascii="Calibri" w:hAnsi="Calibri"/>
                <w:color w:val="1F2937"/>
                <w:sz w:val="18"/>
              </w:rPr>
              <w:t>GET</w:t>
            </w:r>
          </w:p>
        </w:tc>
        <w:tc>
          <w:tcPr>
            <w:tcW w:type="dxa" w:w="3168"/>
            <w:shd w:fill="F9FAFB"/>
            <w:tcMar>
              <w:top w:w="100" w:type="dxa"/>
              <w:bottom w:w="100" w:type="dxa"/>
              <w:left w:w="140" w:type="dxa"/>
              <w:right w:w="140" w:type="dxa"/>
            </w:tcMar>
          </w:tcPr>
          <w:p>
            <w:pPr>
              <w:spacing w:before="40" w:after="40"/>
            </w:pPr>
            <w:r>
              <w:rPr>
                <w:rFonts w:ascii="Calibri" w:hAnsi="Calibri"/>
                <w:color w:val="1F2937"/>
                <w:sz w:val="18"/>
              </w:rPr>
              <w:t>/api/businesses/:id/kpis</w:t>
            </w:r>
          </w:p>
        </w:tc>
        <w:tc>
          <w:tcPr>
            <w:tcW w:type="dxa" w:w="1872"/>
            <w:shd w:fill="F9FAFB"/>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9FAFB"/>
            <w:tcMar>
              <w:top w:w="100" w:type="dxa"/>
              <w:bottom w:w="100" w:type="dxa"/>
              <w:left w:w="140" w:type="dxa"/>
              <w:right w:w="140" w:type="dxa"/>
            </w:tcMar>
          </w:tcPr>
          <w:p>
            <w:pPr>
              <w:spacing w:before="40" w:after="40"/>
            </w:pPr>
            <w:r>
              <w:rPr>
                <w:rFonts w:ascii="Calibri" w:hAnsi="Calibri"/>
                <w:color w:val="1F2937"/>
                <w:sz w:val="18"/>
              </w:rPr>
              <w:t>Calculates live revenue, net profit, stockouts</w:t>
            </w:r>
          </w:p>
        </w:tc>
      </w:tr>
      <w:tr>
        <w:tc>
          <w:tcPr>
            <w:tcW w:type="dxa" w:w="1584"/>
            <w:shd w:fill="FFFFFF"/>
            <w:tcMar>
              <w:top w:w="100" w:type="dxa"/>
              <w:bottom w:w="100" w:type="dxa"/>
              <w:left w:w="140" w:type="dxa"/>
              <w:right w:w="140" w:type="dxa"/>
            </w:tcMar>
          </w:tcPr>
          <w:p>
            <w:pPr>
              <w:spacing w:before="40" w:after="40"/>
            </w:pPr>
            <w:r>
              <w:rPr>
                <w:rFonts w:ascii="Calibri" w:hAnsi="Calibri"/>
                <w:color w:val="1F2937"/>
                <w:sz w:val="18"/>
              </w:rPr>
              <w:t>GET</w:t>
            </w:r>
          </w:p>
        </w:tc>
        <w:tc>
          <w:tcPr>
            <w:tcW w:type="dxa" w:w="3168"/>
            <w:shd w:fill="FFFFFF"/>
            <w:tcMar>
              <w:top w:w="100" w:type="dxa"/>
              <w:bottom w:w="100" w:type="dxa"/>
              <w:left w:w="140" w:type="dxa"/>
              <w:right w:w="140" w:type="dxa"/>
            </w:tcMar>
          </w:tcPr>
          <w:p>
            <w:pPr>
              <w:spacing w:before="40" w:after="40"/>
            </w:pPr>
            <w:r>
              <w:rPr>
                <w:rFonts w:ascii="Calibri" w:hAnsi="Calibri"/>
                <w:color w:val="1F2937"/>
                <w:sz w:val="18"/>
              </w:rPr>
              <w:t>/api/products</w:t>
            </w:r>
          </w:p>
        </w:tc>
        <w:tc>
          <w:tcPr>
            <w:tcW w:type="dxa" w:w="1872"/>
            <w:shd w:fill="FFFFFF"/>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FFFFF"/>
            <w:tcMar>
              <w:top w:w="100" w:type="dxa"/>
              <w:bottom w:w="100" w:type="dxa"/>
              <w:left w:w="140" w:type="dxa"/>
              <w:right w:w="140" w:type="dxa"/>
            </w:tcMar>
          </w:tcPr>
          <w:p>
            <w:pPr>
              <w:spacing w:before="40" w:after="40"/>
            </w:pPr>
            <w:r>
              <w:rPr>
                <w:rFonts w:ascii="Calibri" w:hAnsi="Calibri"/>
                <w:color w:val="1F2937"/>
                <w:sz w:val="18"/>
              </w:rPr>
              <w:t>Lists store catalog with category/stock filters</w:t>
            </w:r>
          </w:p>
        </w:tc>
      </w:tr>
      <w:tr>
        <w:tc>
          <w:tcPr>
            <w:tcW w:type="dxa" w:w="1584"/>
            <w:shd w:fill="F9FAFB"/>
            <w:tcMar>
              <w:top w:w="100" w:type="dxa"/>
              <w:bottom w:w="100" w:type="dxa"/>
              <w:left w:w="140" w:type="dxa"/>
              <w:right w:w="140" w:type="dxa"/>
            </w:tcMar>
          </w:tcPr>
          <w:p>
            <w:pPr>
              <w:spacing w:before="40" w:after="40"/>
            </w:pPr>
            <w:r>
              <w:rPr>
                <w:rFonts w:ascii="Calibri" w:hAnsi="Calibri"/>
                <w:color w:val="1F2937"/>
                <w:sz w:val="18"/>
              </w:rPr>
              <w:t>POST</w:t>
            </w:r>
          </w:p>
        </w:tc>
        <w:tc>
          <w:tcPr>
            <w:tcW w:type="dxa" w:w="3168"/>
            <w:shd w:fill="F9FAFB"/>
            <w:tcMar>
              <w:top w:w="100" w:type="dxa"/>
              <w:bottom w:w="100" w:type="dxa"/>
              <w:left w:w="140" w:type="dxa"/>
              <w:right w:w="140" w:type="dxa"/>
            </w:tcMar>
          </w:tcPr>
          <w:p>
            <w:pPr>
              <w:spacing w:before="40" w:after="40"/>
            </w:pPr>
            <w:r>
              <w:rPr>
                <w:rFonts w:ascii="Calibri" w:hAnsi="Calibri"/>
                <w:color w:val="1F2937"/>
                <w:sz w:val="18"/>
              </w:rPr>
              <w:t>/api/products</w:t>
            </w:r>
          </w:p>
        </w:tc>
        <w:tc>
          <w:tcPr>
            <w:tcW w:type="dxa" w:w="1872"/>
            <w:shd w:fill="F9FAFB"/>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9FAFB"/>
            <w:tcMar>
              <w:top w:w="100" w:type="dxa"/>
              <w:bottom w:w="100" w:type="dxa"/>
              <w:left w:w="140" w:type="dxa"/>
              <w:right w:w="140" w:type="dxa"/>
            </w:tcMar>
          </w:tcPr>
          <w:p>
            <w:pPr>
              <w:spacing w:before="40" w:after="40"/>
            </w:pPr>
            <w:r>
              <w:rPr>
                <w:rFonts w:ascii="Calibri" w:hAnsi="Calibri"/>
                <w:color w:val="1F2937"/>
                <w:sz w:val="18"/>
              </w:rPr>
              <w:t>Adds new SKU with pricing and shelf life</w:t>
            </w:r>
          </w:p>
        </w:tc>
      </w:tr>
      <w:tr>
        <w:tc>
          <w:tcPr>
            <w:tcW w:type="dxa" w:w="1584"/>
            <w:shd w:fill="FFFFFF"/>
            <w:tcMar>
              <w:top w:w="100" w:type="dxa"/>
              <w:bottom w:w="100" w:type="dxa"/>
              <w:left w:w="140" w:type="dxa"/>
              <w:right w:w="140" w:type="dxa"/>
            </w:tcMar>
          </w:tcPr>
          <w:p>
            <w:pPr>
              <w:spacing w:before="40" w:after="40"/>
            </w:pPr>
            <w:r>
              <w:rPr>
                <w:rFonts w:ascii="Calibri" w:hAnsi="Calibri"/>
                <w:color w:val="1F2937"/>
                <w:sz w:val="18"/>
              </w:rPr>
              <w:t>GET</w:t>
            </w:r>
          </w:p>
        </w:tc>
        <w:tc>
          <w:tcPr>
            <w:tcW w:type="dxa" w:w="3168"/>
            <w:shd w:fill="FFFFFF"/>
            <w:tcMar>
              <w:top w:w="100" w:type="dxa"/>
              <w:bottom w:w="100" w:type="dxa"/>
              <w:left w:w="140" w:type="dxa"/>
              <w:right w:w="140" w:type="dxa"/>
            </w:tcMar>
          </w:tcPr>
          <w:p>
            <w:pPr>
              <w:spacing w:before="40" w:after="40"/>
            </w:pPr>
            <w:r>
              <w:rPr>
                <w:rFonts w:ascii="Calibri" w:hAnsi="Calibri"/>
                <w:color w:val="1F2937"/>
                <w:sz w:val="18"/>
              </w:rPr>
              <w:t>/api/products/search-enrichment</w:t>
            </w:r>
          </w:p>
        </w:tc>
        <w:tc>
          <w:tcPr>
            <w:tcW w:type="dxa" w:w="1872"/>
            <w:shd w:fill="FFFFFF"/>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FFFFF"/>
            <w:tcMar>
              <w:top w:w="100" w:type="dxa"/>
              <w:bottom w:w="100" w:type="dxa"/>
              <w:left w:w="140" w:type="dxa"/>
              <w:right w:w="140" w:type="dxa"/>
            </w:tcMar>
          </w:tcPr>
          <w:p>
            <w:pPr>
              <w:spacing w:before="40" w:after="40"/>
            </w:pPr>
            <w:r>
              <w:rPr>
                <w:rFonts w:ascii="Calibri" w:hAnsi="Calibri"/>
                <w:color w:val="1F2937"/>
                <w:sz w:val="18"/>
              </w:rPr>
              <w:t>Queries Open Food Facts &amp; NPPA DPCO APIs</w:t>
            </w:r>
          </w:p>
        </w:tc>
      </w:tr>
      <w:tr>
        <w:tc>
          <w:tcPr>
            <w:tcW w:type="dxa" w:w="1584"/>
            <w:shd w:fill="F9FAFB"/>
            <w:tcMar>
              <w:top w:w="100" w:type="dxa"/>
              <w:bottom w:w="100" w:type="dxa"/>
              <w:left w:w="140" w:type="dxa"/>
              <w:right w:w="140" w:type="dxa"/>
            </w:tcMar>
          </w:tcPr>
          <w:p>
            <w:pPr>
              <w:spacing w:before="40" w:after="40"/>
            </w:pPr>
            <w:r>
              <w:rPr>
                <w:rFonts w:ascii="Calibri" w:hAnsi="Calibri"/>
                <w:color w:val="1F2937"/>
                <w:sz w:val="18"/>
              </w:rPr>
              <w:t>POST</w:t>
            </w:r>
          </w:p>
        </w:tc>
        <w:tc>
          <w:tcPr>
            <w:tcW w:type="dxa" w:w="3168"/>
            <w:shd w:fill="F9FAFB"/>
            <w:tcMar>
              <w:top w:w="100" w:type="dxa"/>
              <w:bottom w:w="100" w:type="dxa"/>
              <w:left w:w="140" w:type="dxa"/>
              <w:right w:w="140" w:type="dxa"/>
            </w:tcMar>
          </w:tcPr>
          <w:p>
            <w:pPr>
              <w:spacing w:before="40" w:after="40"/>
            </w:pPr>
            <w:r>
              <w:rPr>
                <w:rFonts w:ascii="Calibri" w:hAnsi="Calibri"/>
                <w:color w:val="1F2937"/>
                <w:sz w:val="18"/>
              </w:rPr>
              <w:t>/api/inventory/movements</w:t>
            </w:r>
          </w:p>
        </w:tc>
        <w:tc>
          <w:tcPr>
            <w:tcW w:type="dxa" w:w="1872"/>
            <w:shd w:fill="F9FAFB"/>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9FAFB"/>
            <w:tcMar>
              <w:top w:w="100" w:type="dxa"/>
              <w:bottom w:w="100" w:type="dxa"/>
              <w:left w:w="140" w:type="dxa"/>
              <w:right w:w="140" w:type="dxa"/>
            </w:tcMar>
          </w:tcPr>
          <w:p>
            <w:pPr>
              <w:spacing w:before="40" w:after="40"/>
            </w:pPr>
            <w:r>
              <w:rPr>
                <w:rFonts w:ascii="Calibri" w:hAnsi="Calibri"/>
                <w:color w:val="1F2937"/>
                <w:sz w:val="18"/>
              </w:rPr>
              <w:t>Logs inventory receipt, write-off, or audit</w:t>
            </w:r>
          </w:p>
        </w:tc>
      </w:tr>
      <w:tr>
        <w:tc>
          <w:tcPr>
            <w:tcW w:type="dxa" w:w="1584"/>
            <w:shd w:fill="FFFFFF"/>
            <w:tcMar>
              <w:top w:w="100" w:type="dxa"/>
              <w:bottom w:w="100" w:type="dxa"/>
              <w:left w:w="140" w:type="dxa"/>
              <w:right w:w="140" w:type="dxa"/>
            </w:tcMar>
          </w:tcPr>
          <w:p>
            <w:pPr>
              <w:spacing w:before="40" w:after="40"/>
            </w:pPr>
            <w:r>
              <w:rPr>
                <w:rFonts w:ascii="Calibri" w:hAnsi="Calibri"/>
                <w:color w:val="1F2937"/>
                <w:sz w:val="18"/>
              </w:rPr>
              <w:t>GET</w:t>
            </w:r>
          </w:p>
        </w:tc>
        <w:tc>
          <w:tcPr>
            <w:tcW w:type="dxa" w:w="3168"/>
            <w:shd w:fill="FFFFFF"/>
            <w:tcMar>
              <w:top w:w="100" w:type="dxa"/>
              <w:bottom w:w="100" w:type="dxa"/>
              <w:left w:w="140" w:type="dxa"/>
              <w:right w:w="140" w:type="dxa"/>
            </w:tcMar>
          </w:tcPr>
          <w:p>
            <w:pPr>
              <w:spacing w:before="40" w:after="40"/>
            </w:pPr>
            <w:r>
              <w:rPr>
                <w:rFonts w:ascii="Calibri" w:hAnsi="Calibri"/>
                <w:color w:val="1F2937"/>
                <w:sz w:val="18"/>
              </w:rPr>
              <w:t>/api/suppliers</w:t>
            </w:r>
          </w:p>
        </w:tc>
        <w:tc>
          <w:tcPr>
            <w:tcW w:type="dxa" w:w="1872"/>
            <w:shd w:fill="FFFFFF"/>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FFFFF"/>
            <w:tcMar>
              <w:top w:w="100" w:type="dxa"/>
              <w:bottom w:w="100" w:type="dxa"/>
              <w:left w:w="140" w:type="dxa"/>
              <w:right w:w="140" w:type="dxa"/>
            </w:tcMar>
          </w:tcPr>
          <w:p>
            <w:pPr>
              <w:spacing w:before="40" w:after="40"/>
            </w:pPr>
            <w:r>
              <w:rPr>
                <w:rFonts w:ascii="Calibri" w:hAnsi="Calibri"/>
                <w:color w:val="1F2937"/>
                <w:sz w:val="18"/>
              </w:rPr>
              <w:t>Lists suppliers, lead times, and payment terms</w:t>
            </w:r>
          </w:p>
        </w:tc>
      </w:tr>
      <w:tr>
        <w:tc>
          <w:tcPr>
            <w:tcW w:type="dxa" w:w="1584"/>
            <w:shd w:fill="F9FAFB"/>
            <w:tcMar>
              <w:top w:w="100" w:type="dxa"/>
              <w:bottom w:w="100" w:type="dxa"/>
              <w:left w:w="140" w:type="dxa"/>
              <w:right w:w="140" w:type="dxa"/>
            </w:tcMar>
          </w:tcPr>
          <w:p>
            <w:pPr>
              <w:spacing w:before="40" w:after="40"/>
            </w:pPr>
            <w:r>
              <w:rPr>
                <w:rFonts w:ascii="Calibri" w:hAnsi="Calibri"/>
                <w:color w:val="1F2937"/>
                <w:sz w:val="18"/>
              </w:rPr>
              <w:t>POST</w:t>
            </w:r>
          </w:p>
        </w:tc>
        <w:tc>
          <w:tcPr>
            <w:tcW w:type="dxa" w:w="3168"/>
            <w:shd w:fill="F9FAFB"/>
            <w:tcMar>
              <w:top w:w="100" w:type="dxa"/>
              <w:bottom w:w="100" w:type="dxa"/>
              <w:left w:w="140" w:type="dxa"/>
              <w:right w:w="140" w:type="dxa"/>
            </w:tcMar>
          </w:tcPr>
          <w:p>
            <w:pPr>
              <w:spacing w:before="40" w:after="40"/>
            </w:pPr>
            <w:r>
              <w:rPr>
                <w:rFonts w:ascii="Calibri" w:hAnsi="Calibri"/>
                <w:color w:val="1F2937"/>
                <w:sz w:val="18"/>
              </w:rPr>
              <w:t>/api/inventory-decisions/evaluate</w:t>
            </w:r>
          </w:p>
        </w:tc>
        <w:tc>
          <w:tcPr>
            <w:tcW w:type="dxa" w:w="1872"/>
            <w:shd w:fill="F9FAFB"/>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9FAFB"/>
            <w:tcMar>
              <w:top w:w="100" w:type="dxa"/>
              <w:bottom w:w="100" w:type="dxa"/>
              <w:left w:w="140" w:type="dxa"/>
              <w:right w:w="140" w:type="dxa"/>
            </w:tcMar>
          </w:tcPr>
          <w:p>
            <w:pPr>
              <w:spacing w:before="40" w:after="40"/>
            </w:pPr>
            <w:r>
              <w:rPr>
                <w:rFonts w:ascii="Calibri" w:hAnsi="Calibri"/>
                <w:color w:val="1F2937"/>
                <w:sz w:val="18"/>
              </w:rPr>
              <w:t>Evaluates NLP restock inquiry (3-Path Model)</w:t>
            </w:r>
          </w:p>
        </w:tc>
      </w:tr>
      <w:tr>
        <w:tc>
          <w:tcPr>
            <w:tcW w:type="dxa" w:w="1584"/>
            <w:shd w:fill="FFFFFF"/>
            <w:tcMar>
              <w:top w:w="100" w:type="dxa"/>
              <w:bottom w:w="100" w:type="dxa"/>
              <w:left w:w="140" w:type="dxa"/>
              <w:right w:w="140" w:type="dxa"/>
            </w:tcMar>
          </w:tcPr>
          <w:p>
            <w:pPr>
              <w:spacing w:before="40" w:after="40"/>
            </w:pPr>
            <w:r>
              <w:rPr>
                <w:rFonts w:ascii="Calibri" w:hAnsi="Calibri"/>
                <w:color w:val="1F2937"/>
                <w:sz w:val="18"/>
              </w:rPr>
              <w:t>POST</w:t>
            </w:r>
          </w:p>
        </w:tc>
        <w:tc>
          <w:tcPr>
            <w:tcW w:type="dxa" w:w="3168"/>
            <w:shd w:fill="FFFFFF"/>
            <w:tcMar>
              <w:top w:w="100" w:type="dxa"/>
              <w:bottom w:w="100" w:type="dxa"/>
              <w:left w:w="140" w:type="dxa"/>
              <w:right w:w="140" w:type="dxa"/>
            </w:tcMar>
          </w:tcPr>
          <w:p>
            <w:pPr>
              <w:spacing w:before="40" w:after="40"/>
            </w:pPr>
            <w:r>
              <w:rPr>
                <w:rFonts w:ascii="Calibri" w:hAnsi="Calibri"/>
                <w:color w:val="1F2937"/>
                <w:sz w:val="18"/>
              </w:rPr>
              <w:t>/api/simulations/run</w:t>
            </w:r>
          </w:p>
        </w:tc>
        <w:tc>
          <w:tcPr>
            <w:tcW w:type="dxa" w:w="1872"/>
            <w:shd w:fill="FFFFFF"/>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FFFFF"/>
            <w:tcMar>
              <w:top w:w="100" w:type="dxa"/>
              <w:bottom w:w="100" w:type="dxa"/>
              <w:left w:w="140" w:type="dxa"/>
              <w:right w:w="140" w:type="dxa"/>
            </w:tcMar>
          </w:tcPr>
          <w:p>
            <w:pPr>
              <w:spacing w:before="40" w:after="40"/>
            </w:pPr>
            <w:r>
              <w:rPr>
                <w:rFonts w:ascii="Calibri" w:hAnsi="Calibri"/>
                <w:color w:val="1F2937"/>
                <w:sz w:val="18"/>
              </w:rPr>
              <w:t>Runs 10,000-iteration Monte Carlo simulation</w:t>
            </w:r>
          </w:p>
        </w:tc>
      </w:tr>
      <w:tr>
        <w:tc>
          <w:tcPr>
            <w:tcW w:type="dxa" w:w="1584"/>
            <w:shd w:fill="F9FAFB"/>
            <w:tcMar>
              <w:top w:w="100" w:type="dxa"/>
              <w:bottom w:w="100" w:type="dxa"/>
              <w:left w:w="140" w:type="dxa"/>
              <w:right w:w="140" w:type="dxa"/>
            </w:tcMar>
          </w:tcPr>
          <w:p>
            <w:pPr>
              <w:spacing w:before="40" w:after="40"/>
            </w:pPr>
            <w:r>
              <w:rPr>
                <w:rFonts w:ascii="Calibri" w:hAnsi="Calibri"/>
                <w:color w:val="1F2937"/>
                <w:sz w:val="18"/>
              </w:rPr>
              <w:t>GET</w:t>
            </w:r>
          </w:p>
        </w:tc>
        <w:tc>
          <w:tcPr>
            <w:tcW w:type="dxa" w:w="3168"/>
            <w:shd w:fill="F9FAFB"/>
            <w:tcMar>
              <w:top w:w="100" w:type="dxa"/>
              <w:bottom w:w="100" w:type="dxa"/>
              <w:left w:w="140" w:type="dxa"/>
              <w:right w:w="140" w:type="dxa"/>
            </w:tcMar>
          </w:tcPr>
          <w:p>
            <w:pPr>
              <w:spacing w:before="40" w:after="40"/>
            </w:pPr>
            <w:r>
              <w:rPr>
                <w:rFonts w:ascii="Calibri" w:hAnsi="Calibri"/>
                <w:color w:val="1F2937"/>
                <w:sz w:val="18"/>
              </w:rPr>
              <w:t>/api/workflows</w:t>
            </w:r>
          </w:p>
        </w:tc>
        <w:tc>
          <w:tcPr>
            <w:tcW w:type="dxa" w:w="1872"/>
            <w:shd w:fill="F9FAFB"/>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9FAFB"/>
            <w:tcMar>
              <w:top w:w="100" w:type="dxa"/>
              <w:bottom w:w="100" w:type="dxa"/>
              <w:left w:w="140" w:type="dxa"/>
              <w:right w:w="140" w:type="dxa"/>
            </w:tcMar>
          </w:tcPr>
          <w:p>
            <w:pPr>
              <w:spacing w:before="40" w:after="40"/>
            </w:pPr>
            <w:r>
              <w:rPr>
                <w:rFonts w:ascii="Calibri" w:hAnsi="Calibri"/>
                <w:color w:val="1F2937"/>
                <w:sz w:val="18"/>
              </w:rPr>
              <w:t>Retrieves all visual decision workflows</w:t>
            </w:r>
          </w:p>
        </w:tc>
      </w:tr>
      <w:tr>
        <w:tc>
          <w:tcPr>
            <w:tcW w:type="dxa" w:w="1584"/>
            <w:shd w:fill="FFFFFF"/>
            <w:tcMar>
              <w:top w:w="100" w:type="dxa"/>
              <w:bottom w:w="100" w:type="dxa"/>
              <w:left w:w="140" w:type="dxa"/>
              <w:right w:w="140" w:type="dxa"/>
            </w:tcMar>
          </w:tcPr>
          <w:p>
            <w:pPr>
              <w:spacing w:before="40" w:after="40"/>
            </w:pPr>
            <w:r>
              <w:rPr>
                <w:rFonts w:ascii="Calibri" w:hAnsi="Calibri"/>
                <w:color w:val="1F2937"/>
                <w:sz w:val="18"/>
              </w:rPr>
              <w:t>POST</w:t>
            </w:r>
          </w:p>
        </w:tc>
        <w:tc>
          <w:tcPr>
            <w:tcW w:type="dxa" w:w="3168"/>
            <w:shd w:fill="FFFFFF"/>
            <w:tcMar>
              <w:top w:w="100" w:type="dxa"/>
              <w:bottom w:w="100" w:type="dxa"/>
              <w:left w:w="140" w:type="dxa"/>
              <w:right w:w="140" w:type="dxa"/>
            </w:tcMar>
          </w:tcPr>
          <w:p>
            <w:pPr>
              <w:spacing w:before="40" w:after="40"/>
            </w:pPr>
            <w:r>
              <w:rPr>
                <w:rFonts w:ascii="Calibri" w:hAnsi="Calibri"/>
                <w:color w:val="1F2937"/>
                <w:sz w:val="18"/>
              </w:rPr>
              <w:t>/api/workflows</w:t>
            </w:r>
          </w:p>
        </w:tc>
        <w:tc>
          <w:tcPr>
            <w:tcW w:type="dxa" w:w="1872"/>
            <w:shd w:fill="FFFFFF"/>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FFFFF"/>
            <w:tcMar>
              <w:top w:w="100" w:type="dxa"/>
              <w:bottom w:w="100" w:type="dxa"/>
              <w:left w:w="140" w:type="dxa"/>
              <w:right w:w="140" w:type="dxa"/>
            </w:tcMar>
          </w:tcPr>
          <w:p>
            <w:pPr>
              <w:spacing w:before="40" w:after="40"/>
            </w:pPr>
            <w:r>
              <w:rPr>
                <w:rFonts w:ascii="Calibri" w:hAnsi="Calibri"/>
                <w:color w:val="1F2937"/>
                <w:sz w:val="18"/>
              </w:rPr>
              <w:t>Creates a new decision flow graph</w:t>
            </w:r>
          </w:p>
        </w:tc>
      </w:tr>
      <w:tr>
        <w:tc>
          <w:tcPr>
            <w:tcW w:type="dxa" w:w="1584"/>
            <w:shd w:fill="F9FAFB"/>
            <w:tcMar>
              <w:top w:w="100" w:type="dxa"/>
              <w:bottom w:w="100" w:type="dxa"/>
              <w:left w:w="140" w:type="dxa"/>
              <w:right w:w="140" w:type="dxa"/>
            </w:tcMar>
          </w:tcPr>
          <w:p>
            <w:pPr>
              <w:spacing w:before="40" w:after="40"/>
            </w:pPr>
            <w:r>
              <w:rPr>
                <w:rFonts w:ascii="Calibri" w:hAnsi="Calibri"/>
                <w:color w:val="1F2937"/>
                <w:sz w:val="18"/>
              </w:rPr>
              <w:t>POST</w:t>
            </w:r>
          </w:p>
        </w:tc>
        <w:tc>
          <w:tcPr>
            <w:tcW w:type="dxa" w:w="3168"/>
            <w:shd w:fill="F9FAFB"/>
            <w:tcMar>
              <w:top w:w="100" w:type="dxa"/>
              <w:bottom w:w="100" w:type="dxa"/>
              <w:left w:w="140" w:type="dxa"/>
              <w:right w:w="140" w:type="dxa"/>
            </w:tcMar>
          </w:tcPr>
          <w:p>
            <w:pPr>
              <w:spacing w:before="40" w:after="40"/>
            </w:pPr>
            <w:r>
              <w:rPr>
                <w:rFonts w:ascii="Calibri" w:hAnsi="Calibri"/>
                <w:color w:val="1F2937"/>
                <w:sz w:val="18"/>
              </w:rPr>
              <w:t>/api/workflows/:id/run</w:t>
            </w:r>
          </w:p>
        </w:tc>
        <w:tc>
          <w:tcPr>
            <w:tcW w:type="dxa" w:w="1872"/>
            <w:shd w:fill="F9FAFB"/>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9FAFB"/>
            <w:tcMar>
              <w:top w:w="100" w:type="dxa"/>
              <w:bottom w:w="100" w:type="dxa"/>
              <w:left w:w="140" w:type="dxa"/>
              <w:right w:w="140" w:type="dxa"/>
            </w:tcMar>
          </w:tcPr>
          <w:p>
            <w:pPr>
              <w:spacing w:before="40" w:after="40"/>
            </w:pPr>
            <w:r>
              <w:rPr>
                <w:rFonts w:ascii="Calibri" w:hAnsi="Calibri"/>
                <w:color w:val="1F2937"/>
                <w:sz w:val="18"/>
              </w:rPr>
              <w:t>Executes DAG workflow; returns node logs</w:t>
            </w:r>
          </w:p>
        </w:tc>
      </w:tr>
      <w:tr>
        <w:tc>
          <w:tcPr>
            <w:tcW w:type="dxa" w:w="1584"/>
            <w:shd w:fill="FFFFFF"/>
            <w:tcMar>
              <w:top w:w="100" w:type="dxa"/>
              <w:bottom w:w="100" w:type="dxa"/>
              <w:left w:w="140" w:type="dxa"/>
              <w:right w:w="140" w:type="dxa"/>
            </w:tcMar>
          </w:tcPr>
          <w:p>
            <w:pPr>
              <w:spacing w:before="40" w:after="40"/>
            </w:pPr>
            <w:r>
              <w:rPr>
                <w:rFonts w:ascii="Calibri" w:hAnsi="Calibri"/>
                <w:color w:val="1F2937"/>
                <w:sz w:val="18"/>
              </w:rPr>
              <w:t>GET</w:t>
            </w:r>
          </w:p>
        </w:tc>
        <w:tc>
          <w:tcPr>
            <w:tcW w:type="dxa" w:w="3168"/>
            <w:shd w:fill="FFFFFF"/>
            <w:tcMar>
              <w:top w:w="100" w:type="dxa"/>
              <w:bottom w:w="100" w:type="dxa"/>
              <w:left w:w="140" w:type="dxa"/>
              <w:right w:w="140" w:type="dxa"/>
            </w:tcMar>
          </w:tcPr>
          <w:p>
            <w:pPr>
              <w:spacing w:before="40" w:after="40"/>
            </w:pPr>
            <w:r>
              <w:rPr>
                <w:rFonts w:ascii="Calibri" w:hAnsi="Calibri"/>
                <w:color w:val="1F2937"/>
                <w:sz w:val="18"/>
              </w:rPr>
              <w:t>/api/import-export/template</w:t>
            </w:r>
          </w:p>
        </w:tc>
        <w:tc>
          <w:tcPr>
            <w:tcW w:type="dxa" w:w="1872"/>
            <w:shd w:fill="FFFFFF"/>
            <w:tcMar>
              <w:top w:w="100" w:type="dxa"/>
              <w:bottom w:w="100" w:type="dxa"/>
              <w:left w:w="140" w:type="dxa"/>
              <w:right w:w="140" w:type="dxa"/>
            </w:tcMar>
          </w:tcPr>
          <w:p>
            <w:pPr>
              <w:spacing w:before="40" w:after="40"/>
            </w:pPr>
            <w:r>
              <w:rPr>
                <w:rFonts w:ascii="Calibri" w:hAnsi="Calibri"/>
                <w:color w:val="1F2937"/>
                <w:sz w:val="18"/>
              </w:rPr>
              <w:t>Authenticated</w:t>
            </w:r>
          </w:p>
        </w:tc>
        <w:tc>
          <w:tcPr>
            <w:tcW w:type="dxa" w:w="2736"/>
            <w:shd w:fill="FFFFFF"/>
            <w:tcMar>
              <w:top w:w="100" w:type="dxa"/>
              <w:bottom w:w="100" w:type="dxa"/>
              <w:left w:w="140" w:type="dxa"/>
              <w:right w:w="140" w:type="dxa"/>
            </w:tcMar>
          </w:tcPr>
          <w:p>
            <w:pPr>
              <w:spacing w:before="40" w:after="40"/>
            </w:pPr>
            <w:r>
              <w:rPr>
                <w:rFonts w:ascii="Calibri" w:hAnsi="Calibri"/>
                <w:color w:val="1F2937"/>
                <w:sz w:val="18"/>
              </w:rPr>
              <w:t>Downloads standard dmoc-template.xlsx</w:t>
            </w:r>
          </w:p>
        </w:tc>
      </w:tr>
    </w:tbl>
    <w:p>
      <w:pPr>
        <w:keepNext/>
        <w:spacing w:before="200" w:after="80"/>
      </w:pPr>
      <w:r>
        <w:rPr>
          <w:rFonts w:ascii="Calibri" w:hAnsi="Calibri"/>
          <w:b/>
          <w:color w:val="2563EB"/>
          <w:sz w:val="26"/>
        </w:rPr>
        <w:t>9.2 Security &amp; Authentication Protocols</w:t>
      </w:r>
    </w:p>
    <w:p>
      <w:pPr>
        <w:pStyle w:val="ListBullet"/>
        <w:spacing w:before="20" w:after="60"/>
      </w:pPr>
      <w:r>
        <w:rPr>
          <w:rFonts w:ascii="Calibri" w:hAnsi="Calibri"/>
          <w:b/>
          <w:color w:val="111827"/>
          <w:sz w:val="19"/>
        </w:rPr>
        <w:t xml:space="preserve">• Argon2id Password Encryption: </w:t>
      </w:r>
      <w:r>
        <w:rPr>
          <w:rFonts w:ascii="Calibri" w:hAnsi="Calibri"/>
          <w:color w:val="1F2937"/>
          <w:sz w:val="19"/>
        </w:rPr>
        <w:t>All passwords are salted and hashed using Argon2id with 64MB memory cost, 3 iterations, and 4 threads, providing high resistance against GPU and ASIC brute-force attacks.</w:t>
      </w:r>
    </w:p>
    <w:p>
      <w:pPr>
        <w:pStyle w:val="ListBullet"/>
        <w:spacing w:before="20" w:after="60"/>
      </w:pPr>
      <w:r>
        <w:rPr>
          <w:rFonts w:ascii="Calibri" w:hAnsi="Calibri"/>
          <w:b/>
          <w:color w:val="111827"/>
          <w:sz w:val="19"/>
        </w:rPr>
        <w:t xml:space="preserve">• Dual-Token Rotation: </w:t>
      </w:r>
      <w:r>
        <w:rPr>
          <w:rFonts w:ascii="Calibri" w:hAnsi="Calibri"/>
          <w:color w:val="1F2937"/>
          <w:sz w:val="19"/>
        </w:rPr>
        <w:t>Dual-token system using short-lived JWT access tokens (15-minute expiration) and cryptographically signed refresh tokens stored in secure, SameSite=Lax, HttpOnly cookies.</w:t>
      </w:r>
    </w:p>
    <w:p>
      <w:pPr>
        <w:pStyle w:val="ListBullet"/>
        <w:spacing w:before="20" w:after="60"/>
      </w:pPr>
      <w:r>
        <w:rPr>
          <w:rFonts w:ascii="Calibri" w:hAnsi="Calibri"/>
          <w:b/>
          <w:color w:val="111827"/>
          <w:sz w:val="19"/>
        </w:rPr>
        <w:t xml:space="preserve">• Immutable Audit Logging: </w:t>
      </w:r>
      <w:r>
        <w:rPr>
          <w:rFonts w:ascii="Calibri" w:hAnsi="Calibri"/>
          <w:color w:val="1F2937"/>
          <w:sz w:val="19"/>
        </w:rPr>
        <w:t>Every workspace update, inventory write-off, and workflow run creates an append-only entry in the AuditEvent database table.</w:t>
      </w:r>
    </w:p>
    <w:p>
      <w:r>
        <w:br w:type="page"/>
      </w:r>
    </w:p>
    <w:p>
      <w:pPr>
        <w:keepNext/>
        <w:spacing w:before="280" w:after="120"/>
      </w:pPr>
      <w:r>
        <w:rPr>
          <w:rFonts w:ascii="Calibri" w:hAnsi="Calibri"/>
          <w:b/>
          <w:color w:val="1E3A8A"/>
          <w:sz w:val="34"/>
        </w:rPr>
        <w:t>10. End-to-End User Operating Manual &amp; Deployment</w:t>
      </w:r>
    </w:p>
    <w:p>
      <w:pPr>
        <w:keepNext/>
        <w:spacing w:before="200" w:after="80"/>
      </w:pPr>
      <w:r>
        <w:rPr>
          <w:rFonts w:ascii="Calibri" w:hAnsi="Calibri"/>
          <w:b/>
          <w:color w:val="2563EB"/>
          <w:sz w:val="26"/>
        </w:rPr>
        <w:t>10.1 Step-by-Step Walkthrough Guide</w:t>
      </w:r>
    </w:p>
    <w:p>
      <w:pPr>
        <w:pStyle w:val="ListBullet"/>
        <w:spacing w:before="20" w:after="60"/>
      </w:pPr>
      <w:r>
        <w:rPr>
          <w:rFonts w:ascii="Calibri" w:hAnsi="Calibri"/>
          <w:b/>
          <w:color w:val="111827"/>
          <w:sz w:val="19"/>
        </w:rPr>
        <w:t xml:space="preserve">Step 1: Onboarding Your Store: </w:t>
      </w:r>
      <w:r>
        <w:rPr>
          <w:rFonts w:ascii="Calibri" w:hAnsi="Calibri"/>
          <w:color w:val="1F2937"/>
          <w:sz w:val="19"/>
        </w:rPr>
        <w:t>Visit the DMOC homepage and click 'Get Started'. Complete the 4-step onboarding modal: (1) Business Name &amp; Type, (2) Currency &amp; Tax Rate, (3) Monthly Turnover &amp; Operating Costs, and (4) Optional Sample Data Seeding.</w:t>
      </w:r>
    </w:p>
    <w:p>
      <w:pPr>
        <w:pStyle w:val="ListBullet"/>
        <w:spacing w:before="20" w:after="60"/>
      </w:pPr>
      <w:r>
        <w:rPr>
          <w:rFonts w:ascii="Calibri" w:hAnsi="Calibri"/>
          <w:b/>
          <w:color w:val="111827"/>
          <w:sz w:val="19"/>
        </w:rPr>
        <w:t xml:space="preserve">Step 2: Switching Store Workspaces: </w:t>
      </w:r>
      <w:r>
        <w:rPr>
          <w:rFonts w:ascii="Calibri" w:hAnsi="Calibri"/>
          <w:color w:val="1F2937"/>
          <w:sz w:val="19"/>
        </w:rPr>
        <w:t>Use the Workspace Selector dropdown in the top sidebar to toggle between different store locations or demo profiles seamlessly.</w:t>
      </w:r>
    </w:p>
    <w:p>
      <w:pPr>
        <w:pStyle w:val="ListBullet"/>
        <w:spacing w:before="20" w:after="60"/>
      </w:pPr>
      <w:r>
        <w:rPr>
          <w:rFonts w:ascii="Calibri" w:hAnsi="Calibri"/>
          <w:b/>
          <w:color w:val="111827"/>
          <w:sz w:val="19"/>
        </w:rPr>
        <w:t xml:space="preserve">Step 3: Running Natural Language Decisions: </w:t>
      </w:r>
      <w:r>
        <w:rPr>
          <w:rFonts w:ascii="Calibri" w:hAnsi="Calibri"/>
          <w:color w:val="1F2937"/>
          <w:sz w:val="19"/>
        </w:rPr>
        <w:t>Navigate to the 'Decision Wizard'. Enter your dilemma in everyday language (e.g., 'Should I order 40 units of Almond Milk before Friday?'). Click 'Analyze Business Decision'.</w:t>
      </w:r>
    </w:p>
    <w:p>
      <w:pPr>
        <w:pStyle w:val="ListBullet"/>
        <w:spacing w:before="20" w:after="60"/>
      </w:pPr>
      <w:r>
        <w:rPr>
          <w:rFonts w:ascii="Calibri" w:hAnsi="Calibri"/>
          <w:b/>
          <w:color w:val="111827"/>
          <w:sz w:val="19"/>
        </w:rPr>
        <w:t xml:space="preserve">Step 4: Evaluating the 3-Path Model: </w:t>
      </w:r>
      <w:r>
        <w:rPr>
          <w:rFonts w:ascii="Calibri" w:hAnsi="Calibri"/>
          <w:color w:val="1F2937"/>
          <w:sz w:val="19"/>
        </w:rPr>
        <w:t>Compare Path A (Full Order), Path B (Do Nothing), and Path C (Calibrated Optimal). Inspect capital committed, stockout probability, and true net profit.</w:t>
      </w:r>
    </w:p>
    <w:p>
      <w:pPr>
        <w:pStyle w:val="ListBullet"/>
        <w:spacing w:before="20" w:after="60"/>
      </w:pPr>
      <w:r>
        <w:rPr>
          <w:rFonts w:ascii="Calibri" w:hAnsi="Calibri"/>
          <w:b/>
          <w:color w:val="111827"/>
          <w:sz w:val="19"/>
        </w:rPr>
        <w:t xml:space="preserve">Step 5: Visual Workflow Customization: </w:t>
      </w:r>
      <w:r>
        <w:rPr>
          <w:rFonts w:ascii="Calibri" w:hAnsi="Calibri"/>
          <w:color w:val="1F2937"/>
          <w:sz w:val="19"/>
        </w:rPr>
        <w:t>Click 'Convert to Visual Workflow'. Drag additional logic nodes (e.g., 'If/Else' or 'Threshold Check') onto the canvas. Click 'Run Flow' to execute real-time DAG simulation.</w:t>
      </w:r>
    </w:p>
    <w:p>
      <w:pPr>
        <w:pStyle w:val="ListBullet"/>
        <w:spacing w:before="20" w:after="60"/>
      </w:pPr>
      <w:r>
        <w:rPr>
          <w:rFonts w:ascii="Calibri" w:hAnsi="Calibri"/>
          <w:b/>
          <w:color w:val="111827"/>
          <w:sz w:val="19"/>
        </w:rPr>
        <w:t xml:space="preserve">Step 6: Generating Executive Briefs &amp; Reports: </w:t>
      </w:r>
      <w:r>
        <w:rPr>
          <w:rFonts w:ascii="Calibri" w:hAnsi="Calibri"/>
          <w:color w:val="1F2937"/>
          <w:sz w:val="19"/>
        </w:rPr>
        <w:t>Visit the 'Reports' page to review the DMOC Executive Brief. Click 'Print / Save as PDF' for executive physical documentation, or download complete Excel data books from Settings.</w:t>
      </w:r>
    </w:p>
    <w:p>
      <w:pPr>
        <w:keepNext/>
        <w:spacing w:before="200" w:after="80"/>
      </w:pPr>
      <w:r>
        <w:rPr>
          <w:rFonts w:ascii="Calibri" w:hAnsi="Calibri"/>
          <w:b/>
          <w:color w:val="2563EB"/>
          <w:sz w:val="26"/>
        </w:rPr>
        <w:t>10.2 Production Deployment (Docker Compose)</w:t>
      </w:r>
    </w:p>
    <w:p>
      <w:pPr>
        <w:spacing w:before="0" w:after="100"/>
      </w:pPr>
      <w:r>
        <w:rPr>
          <w:rFonts w:ascii="Calibri" w:hAnsi="Calibri"/>
          <w:color w:val="1F2937"/>
          <w:sz w:val="20"/>
        </w:rPr>
        <w:t>Deploying DMOC in a production cloud environment requires Docker and Docker Compose. Run:</w:t>
      </w:r>
    </w:p>
    <w:tbl>
      <w:tblPr>
        <w:tblW w:type="auto" w:w="0"/>
        <w:jc w:val="center"/>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0284C7"/>
              <w:bottom w:val="single" w:sz="4" w:space="0" w:color="E2E8F0"/>
              <w:right w:val="single" w:sz="4" w:space="0" w:color="E2E8F0"/>
            </w:tcBorders>
          </w:tcPr>
          <w:p>
            <w:pPr>
              <w:spacing w:before="40" w:after="40"/>
              <w:jc w:val="center"/>
            </w:pPr>
            <w:r>
              <w:rPr>
                <w:rFonts w:ascii="Cambria Math" w:hAnsi="Cambria Math"/>
                <w:b/>
                <w:color w:val="0F172A"/>
                <w:sz w:val="22"/>
              </w:rPr>
              <w:t>git clone https://github.com/hardik33217/DMOC.git</w:t>
              <w:br/>
              <w:t>cd DMOC</w:t>
              <w:br/>
              <w:t>docker-compose up -d --build</w:t>
            </w:r>
          </w:p>
          <w:p>
            <w:pPr>
              <w:spacing w:before="40" w:after="40"/>
              <w:jc w:val="center"/>
            </w:pPr>
            <w:r>
              <w:rPr>
                <w:rFonts w:ascii="Calibri" w:hAnsi="Calibri"/>
                <w:i/>
                <w:color w:val="64748B"/>
                <w:sz w:val="18"/>
              </w:rPr>
              <w:t>Unified Multi-Container Production Command</w:t>
            </w:r>
          </w:p>
        </w:tc>
      </w:tr>
    </w:tbl>
    <w:p>
      <w:pPr>
        <w:keepNext/>
        <w:spacing w:before="200" w:after="80"/>
      </w:pPr>
      <w:r>
        <w:rPr>
          <w:rFonts w:ascii="Calibri" w:hAnsi="Calibri"/>
          <w:b/>
          <w:color w:val="2563EB"/>
          <w:sz w:val="26"/>
        </w:rPr>
        <w:t>10.3 Frequently Asked Questions (FAQ)</w:t>
      </w:r>
    </w:p>
    <w:p>
      <w:pPr>
        <w:pStyle w:val="ListBullet"/>
        <w:spacing w:before="20" w:after="60"/>
      </w:pPr>
      <w:r>
        <w:rPr>
          <w:rFonts w:ascii="Calibri" w:hAnsi="Calibri"/>
          <w:b/>
          <w:color w:val="111827"/>
          <w:sz w:val="19"/>
        </w:rPr>
        <w:t xml:space="preserve">Q: Can DMOC operate without an active internet connection? </w:t>
      </w:r>
      <w:r>
        <w:rPr>
          <w:rFonts w:ascii="Calibri" w:hAnsi="Calibri"/>
          <w:color w:val="1F2937"/>
          <w:sz w:val="19"/>
        </w:rPr>
        <w:t>Yes. DMOC functions fully on local SQLite or offline PostgreSQL. External API queries queue automatically until connectivity is restored.</w:t>
      </w:r>
    </w:p>
    <w:p>
      <w:pPr>
        <w:pStyle w:val="ListBullet"/>
        <w:spacing w:before="20" w:after="60"/>
      </w:pPr>
      <w:r>
        <w:rPr>
          <w:rFonts w:ascii="Calibri" w:hAnsi="Calibri"/>
          <w:b/>
          <w:color w:val="111827"/>
          <w:sz w:val="19"/>
        </w:rPr>
        <w:t xml:space="preserve">Q: Does DMOC monetize or share private sales figures? </w:t>
      </w:r>
      <w:r>
        <w:rPr>
          <w:rFonts w:ascii="Calibri" w:hAnsi="Calibri"/>
          <w:color w:val="1F2937"/>
          <w:sz w:val="19"/>
        </w:rPr>
        <w:t>Never. DMOC enforces strict tenant isolation. All business turnover, margins, and catalog records belong exclusively to your instance and are never shared.</w:t>
      </w:r>
    </w:p>
    <w:p>
      <w:pPr>
        <w:pStyle w:val="ListBullet"/>
        <w:spacing w:before="20" w:after="60"/>
      </w:pPr>
      <w:r>
        <w:rPr>
          <w:rFonts w:ascii="Calibri" w:hAnsi="Calibri"/>
          <w:b/>
          <w:color w:val="111827"/>
          <w:sz w:val="19"/>
        </w:rPr>
        <w:t xml:space="preserve">Q: How does DMOC prevent stockouts during sudden demand surges? </w:t>
      </w:r>
      <w:r>
        <w:rPr>
          <w:rFonts w:ascii="Calibri" w:hAnsi="Calibri"/>
          <w:color w:val="1F2937"/>
          <w:sz w:val="19"/>
        </w:rPr>
        <w:t>DMOC integrates seasonal velocity multipliers, lead-time variance buffers, and safety stock calculations to increase reorder points ahead of anticipated trading rushes.</w:t>
      </w:r>
    </w:p>
    <w:tbl>
      <w:tblPr>
        <w:tblW w:type="auto" w:w="0"/>
        <w:jc w:val="center"/>
        <w:tblLayout w:type="fixed"/>
        <w:tblLook w:firstColumn="1" w:firstRow="1" w:lastColumn="0" w:lastRow="0" w:noHBand="0" w:noVBand="1" w:val="04A0"/>
      </w:tblPr>
      <w:tblGrid>
        <w:gridCol w:w="10080"/>
      </w:tblGrid>
      <w:tr>
        <w:tc>
          <w:tcPr>
            <w:tcW w:type="dxa" w:w="9360"/>
            <w:shd w:fill="F0FDFA"/>
            <w:tcMar>
              <w:top w:w="140" w:type="dxa"/>
              <w:bottom w:w="140" w:type="dxa"/>
              <w:left w:w="200" w:type="dxa"/>
              <w:right w:w="160" w:type="dxa"/>
            </w:tcMar>
            <w:tcBorders>
              <w:top w:val="none"/>
              <w:left w:val="single" w:sz="36" w:space="0" w:color="0D9488"/>
              <w:bottom w:val="none"/>
              <w:right w:val="none"/>
            </w:tcBorders>
          </w:tcPr>
          <w:p>
            <w:pPr>
              <w:spacing w:before="40" w:after="40"/>
            </w:pPr>
            <w:r>
              <w:rPr>
                <w:rFonts w:ascii="Calibri" w:hAnsi="Calibri"/>
                <w:b/>
                <w:color w:val="1E3A8A"/>
                <w:sz w:val="20"/>
              </w:rPr>
              <w:t xml:space="preserve">[DOCUMENT RATIFICATION] </w:t>
            </w:r>
            <w:r>
              <w:rPr>
                <w:rFonts w:ascii="Calibri" w:hAnsi="Calibri"/>
                <w:color w:val="374151"/>
                <w:sz w:val="19"/>
              </w:rPr>
              <w:t>DMOC: Decision Marketing Operating System</w:t>
              <w:br/>
              <w:t>Version 3.0.0 • Complete System Architectural Report &amp; User Operating Manual</w:t>
              <w:br/>
              <w:t>Engineered by the DMOC Core Engineering &amp; Decision Science Team • October 2026</w:t>
            </w:r>
          </w:p>
        </w:tc>
      </w:tr>
    </w:tbl>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CA3AF"/>
        <w:sz w:val="17"/>
      </w:rPr>
      <w:t>DMOC — Decision Marketing Operating System | Platform Report &amp; Operating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