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968E" w14:textId="77777777" w:rsidR="00C0358A" w:rsidRDefault="00000000">
      <w:pPr>
        <w:spacing w:after="40" w:before="0"/>
        <w:jc w:val="center"/>
      </w:pPr>
      <w:r>
        <w:rPr>
          <w:sz w:val="16"/>
        </w:rPr>
        <w:t>PROJECT RESEARCH REPORT · OCTOBER 2026</w:t>
      </w:r>
    </w:p>
    <w:p w14:paraId="1AE195E9" w14:textId="77777777" w:rsidR="00C0358A" w:rsidRDefault="00000000">
      <w:pPr>
        <w:spacing w:before="0" w:after="40"/>
        <w:jc w:val="center"/>
      </w:pPr>
      <w:r>
        <w:rPr>
          <w:b/>
          <w:sz w:val="32"/>
        </w:rPr>
        <w:t>Climate Conditions and State Crop Value Added in India</w:t>
      </w:r>
    </w:p>
    <w:p w14:paraId="5B40DAB1" w14:textId="77777777" w:rsidR="00C0358A" w:rsidRDefault="00000000">
      <w:pPr>
        <w:spacing w:after="40" w:before="0"/>
        <w:jc w:val="center"/>
      </w:pPr>
      <w:r>
        <w:rPr>
          <w:sz w:val="20"/>
        </w:rPr>
        <w:t>A chronological comparison of five regression models, FY 2011–12 to FY 2024–25</w:t>
      </w:r>
    </w:p>
    <w:p w14:paraId="128DD2C4" w14:textId="364B5BF8" w:rsidR="008D1DAE" w:rsidRPr="00F21D49" w:rsidRDefault="008D1DAE" w:rsidP="008D1DAE">
      <w:pPr>
        <w:spacing w:before="0" w:after="40"/>
        <w:jc w:val="both"/>
        <w:rPr>
          <w:b/>
          <w:bCs/>
          <w:sz w:val="22"/>
          <w:szCs w:val="22"/>
        </w:rPr>
      </w:pPr>
      <w:r>
        <w:rPr>
          <w:b/>
          <w:bCs/>
          <w:sz w:val="22"/>
          <w:szCs w:val="22"/>
        </w:rPr>
        <w:t xml:space="preserve">            </w:t>
      </w:r>
      <w:r>
        <w:rPr>
          <w:b/>
          <w:bCs/>
          <w:sz w:val="22"/>
          <w:szCs w:val="22"/>
        </w:rPr>
        <w:t xml:space="preserve">Pankaj Deshmukh                               </w:t>
      </w:r>
      <w:r>
        <w:rPr>
          <w:b/>
          <w:bCs/>
          <w:sz w:val="22"/>
          <w:szCs w:val="22"/>
        </w:rPr>
        <w:t xml:space="preserve"> </w:t>
      </w:r>
      <w:r>
        <w:rPr>
          <w:b/>
          <w:bCs/>
          <w:sz w:val="22"/>
          <w:szCs w:val="22"/>
        </w:rPr>
        <w:t xml:space="preserve">      </w:t>
      </w:r>
      <w:r w:rsidRPr="005E2932">
        <w:rPr>
          <w:b/>
          <w:bCs/>
          <w:sz w:val="22"/>
          <w:szCs w:val="22"/>
        </w:rPr>
        <w:t>Altair Patel</w:t>
      </w:r>
      <w:r>
        <w:rPr>
          <w:b/>
          <w:bCs/>
          <w:sz w:val="22"/>
          <w:szCs w:val="22"/>
          <w:vertAlign w:val="superscript"/>
        </w:rPr>
        <w:t xml:space="preserve"> </w:t>
      </w:r>
      <w:r>
        <w:rPr>
          <w:b/>
          <w:bCs/>
          <w:sz w:val="22"/>
          <w:szCs w:val="22"/>
        </w:rPr>
        <w:t xml:space="preserve">                                             </w:t>
      </w:r>
      <w:r w:rsidRPr="005E2932">
        <w:rPr>
          <w:b/>
          <w:bCs/>
          <w:sz w:val="22"/>
          <w:szCs w:val="22"/>
        </w:rPr>
        <w:t xml:space="preserve">Hardik </w:t>
      </w:r>
      <w:proofErr w:type="spellStart"/>
      <w:r w:rsidRPr="005E2932">
        <w:rPr>
          <w:b/>
          <w:bCs/>
          <w:sz w:val="22"/>
          <w:szCs w:val="22"/>
        </w:rPr>
        <w:t>Sedani</w:t>
      </w:r>
      <w:proofErr w:type="spellEnd"/>
      <w:r>
        <w:rPr>
          <w:b/>
          <w:bCs/>
          <w:sz w:val="22"/>
          <w:szCs w:val="22"/>
        </w:rPr>
        <w:t xml:space="preserve">                          </w:t>
      </w:r>
    </w:p>
    <w:p w14:paraId="65DB68D1" w14:textId="77777777" w:rsidR="008D1DAE" w:rsidRDefault="008D1DAE" w:rsidP="008D1DAE">
      <w:pPr>
        <w:spacing w:after="40" w:before="0"/>
        <w:rPr>
          <w:i/>
          <w:iCs/>
          <w:sz w:val="16"/>
          <w:szCs w:val="16"/>
        </w:rPr>
      </w:pPr>
      <w:r>
        <w:rPr>
          <w:i/>
          <w:iCs/>
          <w:sz w:val="16"/>
          <w:szCs w:val="16"/>
        </w:rPr>
        <w:t xml:space="preserve"> Dept. of Artificial Intelligence and Data Science           D</w:t>
      </w:r>
      <w:r w:rsidRPr="005E2932">
        <w:rPr>
          <w:i/>
          <w:iCs/>
          <w:sz w:val="16"/>
          <w:szCs w:val="16"/>
        </w:rPr>
        <w:t>ept. of Artificial Intelligence and Data Science</w:t>
      </w:r>
      <w:r>
        <w:rPr>
          <w:i/>
          <w:iCs/>
          <w:sz w:val="16"/>
          <w:szCs w:val="16"/>
        </w:rPr>
        <w:t xml:space="preserve">             </w:t>
      </w:r>
      <w:r w:rsidRPr="005E2932">
        <w:rPr>
          <w:i/>
          <w:iCs/>
          <w:sz w:val="16"/>
          <w:szCs w:val="16"/>
        </w:rPr>
        <w:t>Dept. of Artificial Intelligence and Data Science</w:t>
      </w:r>
    </w:p>
    <w:p w14:paraId="2D50FBEF" w14:textId="77777777" w:rsidR="008D1DAE" w:rsidRDefault="008D1DAE" w:rsidP="008D1DAE">
      <w:pPr>
        <w:spacing w:after="40" w:before="0"/>
        <w:rPr>
          <w:sz w:val="16"/>
          <w:szCs w:val="16"/>
        </w:rPr>
      </w:pPr>
      <w:r>
        <w:t>K. J. Somaiya Institute of Technology                           K. J. Somaiya Institute of Technology                           K. J. Somaiya Institute of Technology</w:t>
      </w:r>
    </w:p>
    <w:p w14:paraId="16DDC9C8" w14:textId="77777777" w:rsidR="008D1DAE" w:rsidRPr="00F21D49" w:rsidRDefault="008D1DAE" w:rsidP="008D1DAE">
      <w:pPr>
        <w:spacing w:after="40" w:before="0"/>
        <w:rPr>
          <w:sz w:val="16"/>
          <w:szCs w:val="16"/>
        </w:rPr>
      </w:pPr>
      <w:r>
        <w:t>Mumbai, India                                                               Mumbai, India                                                               Mumbai, India</w:t>
      </w:r>
    </w:p>
    <w:p w14:paraId="5592BBD9" w14:textId="77777777" w:rsidR="008D1DAE" w:rsidRPr="00F21D49" w:rsidRDefault="008D1DAE" w:rsidP="008D1DAE">
      <w:pPr>
        <w:spacing w:after="40" w:before="0"/>
        <w:rPr>
          <w:i/>
          <w:iCs/>
          <w:sz w:val="16"/>
          <w:szCs w:val="16"/>
        </w:rPr>
      </w:pPr>
      <w:r>
        <w:rPr>
          <w:sz w:val="16"/>
          <w:szCs w:val="16"/>
        </w:rPr>
        <w:t xml:space="preserve">                      </w:t>
      </w:r>
      <w:hyperlink r:id="rId7" w:history="1">
        <w:r w:rsidRPr="006020D9">
          <w:rPr>
            <w:rStyle w:val="Hyperlink"/>
            <w:sz w:val="16"/>
            <w:szCs w:val="16"/>
          </w:rPr>
          <w:t>pankaj@somaiya.edu</w:t>
        </w:r>
      </w:hyperlink>
      <w:r>
        <w:rPr>
          <w:sz w:val="16"/>
          <w:szCs w:val="16"/>
        </w:rPr>
        <w:t xml:space="preserve">                                                  </w:t>
      </w:r>
      <w:hyperlink r:id="rId8" w:history="1">
        <w:r w:rsidRPr="006020D9">
          <w:rPr>
            <w:rStyle w:val="Hyperlink"/>
            <w:sz w:val="16"/>
            <w:szCs w:val="16"/>
          </w:rPr>
          <w:t>altair.patel@somaiya.edu</w:t>
        </w:r>
      </w:hyperlink>
      <w:r>
        <w:rPr>
          <w:sz w:val="16"/>
          <w:szCs w:val="16"/>
        </w:rPr>
        <w:t xml:space="preserve">                                                   </w:t>
      </w:r>
      <w:hyperlink r:id="rId9" w:history="1">
        <w:r w:rsidRPr="006020D9">
          <w:rPr>
            <w:rStyle w:val="Hyperlink"/>
            <w:sz w:val="16"/>
            <w:szCs w:val="16"/>
          </w:rPr>
          <w:t>hardik.sedani@somaiya.edu</w:t>
        </w:r>
      </w:hyperlink>
      <w:r>
        <w:rPr>
          <w:sz w:val="16"/>
          <w:szCs w:val="16"/>
        </w:rPr>
        <w:t xml:space="preserve"> </w:t>
      </w:r>
    </w:p>
    <w:p w14:paraId="011DB6FB" w14:textId="77777777" w:rsidR="00C0358A" w:rsidRDefault="00000000">
      <w:pPr>
        <w:spacing w:before="0" w:after="40"/>
        <w:jc w:val="both"/>
      </w:pPr>
      <w:r>
        <w:t>Abstract—This paper examines how three climate measures relate to the value added by crop production across Indian states. We assembled 385 complete state–financial-year observations for 28 states from FY 2011–12 through FY 2024–25. Rainfall and temperature come from India Meteorological Department daily grids, the Oceanic Niño Index (ONI) from NOAA, and crop Gross State Value Added (GSVA) from an RBI/NSO series at constant 2011–12 prices. One documented representative point per state supplies the climate measurements. Five regression models use rainfall, mean temperature, ONI, and state indicators. Training uses 2011–2020 financial-year start years (280 rows); evaluation uses 2021–2024 (105 rows). In the recorded official-panel run, linear regression has the lowest test RMSE (₹17,410.41 crore), with MAE of ₹10,049.97 crore and R² of 0.8783. Persistent differences among states contribute strongly to this pooled score, so these results do not establish the separate effect of El Niño. The paper documents the dataset, evaluation and limitations needed to interpret the application responsibly.</w:t>
      </w:r>
    </w:p>
    <w:p w14:paraId="6C0179D2" w14:textId="77777777" w:rsidR="00C0358A" w:rsidRDefault="00000000">
      <w:pPr>
        <w:spacing w:after="40" w:before="0"/>
        <w:jc w:val="both"/>
        <w:sectPr w:rsidR="00C0358A">
          <w:headerReference w:type="default" r:id="rId10"/>
          <w:pgSz w:w="11906" w:h="16838"/>
          <w:pgMar w:top="1020" w:right="794" w:bottom="1020" w:left="794" w:header="708" w:footer="708" w:gutter="0"/>
          <w:cols w:space="720"/>
          <w:docGrid w:linePitch="360"/>
        </w:sectPr>
      </w:pPr>
      <w:r>
        <w:t>Index Terms—El Niño–Southern Oscillation, Oceanic Niño Index, India, crop Gross State Value Added, state panel, chronological evaluation, machine learning.</w:t>
      </w:r>
    </w:p>
    <w:p>
      <w:pPr>
        <w:spacing w:before="160" w:after="60"/>
        <w:jc w:val="center"/>
      </w:pPr>
      <w:r>
        <w:rPr>
          <w:rFonts w:ascii="Times New Roman" w:hAnsi="Times New Roman"/>
          <w:b/>
          <w:sz w:val="20"/>
        </w:rPr>
        <w:t>I. INTRODUCTION</w:t>
      </w:r>
    </w:p>
    <w:p>
      <w:pPr>
        <w:spacing w:after="60"/>
        <w:jc w:val="both"/>
      </w:pPr>
      <w:r>
        <w:t>El Niño–Southern Oscillation (ENSO) is one source of variability in the Indian monsoon, but a Pacific temperature index alone cannot describe an individual state's harvest or economic output. Rainfall, heat, irrigation, crop choice and policy all matter. This study therefore examines ONI alongside local weather rather than treating an El Niño year as a direct measure of crop losses. Earlier studies document an ENSO–monsoon association whose strength changes over time [1], [2].</w:t>
      </w:r>
    </w:p>
    <w:p>
      <w:pPr>
        <w:spacing w:after="60"/>
        <w:jc w:val="both"/>
      </w:pPr>
      <w:r>
        <w:t>Our outcome is crop Gross State Value Added (GSVA), expressed in ₹ crore at constant 2011–12 prices. It is a state-level economic accounting measure for crops, not the volume of a particular harvest, farm income, total state GDP or the combined agriculture and allied sector. The application code retains the field name agricultural_gdp_cr for compatibility, but this paper uses the correct economic definition throughout. We compare five model families under one chronological split and report the metrics from the current official-data run.</w:t>
      </w:r>
    </w:p>
    <w:p>
      <w:pPr>
        <w:spacing w:before="160" w:after="60"/>
        <w:jc w:val="center"/>
      </w:pPr>
      <w:r>
        <w:rPr>
          <w:rFonts w:ascii="Times New Roman" w:hAnsi="Times New Roman"/>
          <w:b/>
          <w:sz w:val="20"/>
        </w:rPr>
        <w:t>II. DATA AND PANEL CONSTRUCTION</w:t>
      </w:r>
    </w:p>
    <w:p>
      <w:pPr>
        <w:spacing w:before="100" w:after="40"/>
      </w:pPr>
      <w:r>
        <w:rPr>
          <w:rFonts w:ascii="Times New Roman" w:hAnsi="Times New Roman"/>
          <w:b/>
          <w:sz w:val="18"/>
        </w:rPr>
        <w:t>A. Sources and units</w:t>
      </w:r>
    </w:p>
    <w:p>
      <w:pPr>
        <w:spacing w:after="60"/>
        <w:jc w:val="both"/>
      </w:pPr>
      <w:r>
        <w:t>The source files are daily IMD rainfall at 0.25° resolution and daily maximum and minimum temperature at 1° resolution [3], [4]. NOAA's overlapping three-month ONI seasons describe the ENSO state [5]. The selected RBI/NSO table supplies state crop GSVA in constant 2011–12 rupees [6]. The modeling period is FY 2011–12 through FY 2024–25, with a financial year running from April to March. A year label such as 2011 refers to the financial year beginning in April 2011.</w:t>
      </w:r>
    </w:p>
    <w:p>
      <w:pPr>
        <w:spacing w:before="120" w:after="40"/>
        <w:jc w:val="center"/>
      </w:pPr>
      <w:r>
        <w:rPr>
          <w:b/>
          <w:sz w:val="16"/>
        </w:rPr>
        <w:t>TABLE I. VARIABLES IN ONE STATE–FINANCIAL-YEAR ROW</w:t>
      </w:r>
    </w:p>
    <w:tbl>
      <w:tblPr>
        <w:tblW w:type="auto" w:w="0"/>
        <w:jc w:val="center"/>
        <w:tblLayout w:type="autofit"/>
        <w:tblLook w:firstColumn="1" w:firstRow="1" w:lastColumn="0" w:lastRow="0" w:noHBand="0" w:noVBand="1" w:val="04A0"/>
      </w:tblPr>
      <w:tblGrid>
        <w:gridCol w:w="3439"/>
        <w:gridCol w:w="3439"/>
        <w:gridCol w:w="3439"/>
      </w:tblGrid>
      <w:tr>
        <w:tc>
          <w:tcPr>
            <w:tcW w:type="dxa" w:w="3439"/>
            <w:vAlign w:val="center"/>
            <w:tcBorders>
              <w:top w:val="single" w:sz="3" w:color="D9D9D9"/>
              <w:left w:val="single" w:sz="3" w:color="D9D9D9"/>
              <w:bottom w:val="single" w:sz="3" w:color="D9D9D9"/>
              <w:right w:val="single" w:sz="3" w:color="D9D9D9"/>
            </w:tcBorders>
            <w:shd w:fill="E8EEF4"/>
          </w:tcPr>
          <w:p>
            <w:pPr>
              <w:spacing w:after="20"/>
            </w:pPr>
            <w:r>
              <w:rPr>
                <w:rFonts w:ascii="Times New Roman" w:hAnsi="Times New Roman"/>
                <w:b/>
                <w:sz w:val="14"/>
              </w:rPr>
              <w:t>Variable</w:t>
            </w:r>
          </w:p>
        </w:tc>
        <w:tc>
          <w:tcPr>
            <w:tcW w:type="dxa" w:w="3439"/>
            <w:vAlign w:val="center"/>
            <w:tcBorders>
              <w:top w:val="single" w:sz="3" w:color="D9D9D9"/>
              <w:left w:val="single" w:sz="3" w:color="D9D9D9"/>
              <w:bottom w:val="single" w:sz="3" w:color="D9D9D9"/>
              <w:right w:val="single" w:sz="3" w:color="D9D9D9"/>
            </w:tcBorders>
            <w:shd w:fill="E8EEF4"/>
          </w:tcPr>
          <w:p>
            <w:pPr>
              <w:spacing w:after="20"/>
            </w:pPr>
            <w:r>
              <w:rPr>
                <w:rFonts w:ascii="Times New Roman" w:hAnsi="Times New Roman"/>
                <w:b/>
                <w:sz w:val="14"/>
              </w:rPr>
              <w:t>Construction</w:t>
            </w:r>
          </w:p>
        </w:tc>
        <w:tc>
          <w:tcPr>
            <w:tcW w:type="dxa" w:w="3439"/>
            <w:vAlign w:val="center"/>
            <w:tcBorders>
              <w:top w:val="single" w:sz="3" w:color="D9D9D9"/>
              <w:left w:val="single" w:sz="3" w:color="D9D9D9"/>
              <w:bottom w:val="single" w:sz="3" w:color="D9D9D9"/>
              <w:right w:val="single" w:sz="3" w:color="D9D9D9"/>
            </w:tcBorders>
            <w:shd w:fill="E8EEF4"/>
          </w:tcPr>
          <w:p>
            <w:pPr>
              <w:spacing w:after="20"/>
            </w:pPr>
            <w:r>
              <w:rPr>
                <w:rFonts w:ascii="Times New Roman" w:hAnsi="Times New Roman"/>
                <w:b/>
                <w:sz w:val="14"/>
              </w:rPr>
              <w:t>Unit</w:t>
            </w:r>
          </w:p>
        </w:tc>
      </w:tr>
      <w:tr>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Rainfall</w:t>
            </w:r>
          </w:p>
        </w:tc>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Sum of daily values at the selected IMD cell</w:t>
            </w:r>
          </w:p>
        </w:tc>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mm / FY</w:t>
            </w:r>
          </w:p>
        </w:tc>
      </w:tr>
      <w:tr>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Mean temperature</w:t>
            </w:r>
          </w:p>
        </w:tc>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Mean of daily (Tmax + Tmin) / 2</w:t>
            </w:r>
          </w:p>
        </w:tc>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°C / FY</w:t>
            </w:r>
          </w:p>
        </w:tc>
      </w:tr>
      <w:tr>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ONI</w:t>
            </w:r>
          </w:p>
        </w:tc>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Mean of ten complete overlapping seasons</w:t>
            </w:r>
          </w:p>
        </w:tc>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°C anomaly</w:t>
            </w:r>
          </w:p>
        </w:tc>
      </w:tr>
      <w:tr>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Crop GSVA</w:t>
            </w:r>
          </w:p>
        </w:tc>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Published crops series at constant 2011–12 prices</w:t>
            </w:r>
          </w:p>
        </w:tc>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 crore</w:t>
            </w:r>
          </w:p>
        </w:tc>
      </w:tr>
      <w:tr>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State</w:t>
            </w:r>
          </w:p>
        </w:tc>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One indicator for each of 28 states</w:t>
            </w:r>
          </w:p>
        </w:tc>
        <w:tc>
          <w:tcPr>
            <w:tcW w:type="dxa" w:w="3439"/>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category</w:t>
            </w:r>
          </w:p>
        </w:tc>
      </w:tr>
    </w:tbl>
    <w:p>
      <w:pPr>
        <w:spacing w:after="0"/>
      </w:pPr>
    </w:p>
    <w:p>
      <w:pPr>
        <w:spacing w:before="100" w:after="40"/>
      </w:pPr>
      <w:r>
        <w:rPr>
          <w:rFonts w:ascii="Times New Roman" w:hAnsi="Times New Roman"/>
          <w:b/>
          <w:sz w:val="18"/>
        </w:rPr>
        <w:t>B. Spatial and temporal alignment</w:t>
      </w:r>
    </w:p>
    <w:p>
      <w:pPr>
        <w:spacing w:after="60"/>
        <w:jc w:val="both"/>
      </w:pPr>
      <w:r>
        <w:t>One documented representative coordinate is assigned to each of the 28 states. We take the nearest rainfall grid cell and nearest temperature grid cell to that coordinate, sum daily rainfall, and average the daily midpoint of maximum and minimum temperature over the financial year. Ten ONI seasons fall wholly inside each April–March interval; their mean is joined to the climate and crop records by year. The resulting weather variables represent grid cells near the selected points, not statewide averages. At 1° resolution, a temperature cell center may even fall outside a small state's boundary.</w:t>
      </w:r>
    </w:p>
    <w:p>
      <w:pPr>
        <w:spacing w:after="60"/>
        <w:jc w:val="both"/>
      </w:pPr>
      <w:r>
        <w:t>There are 392 candidate state-years (28 states × 14 financial years). Seven rows lack a published crop-GSVA target: Goa in FY 2024–25; Gujarat in FY 2023–24 and FY 2024–25; and Manipur, Mizoram, Nagaland and Sikkim in FY 2024–25. We exclude these rows rather than substitute estimated economic values, leaving 385 complete rows. The preparation report also checks daily climate coverage and records hashes of source files.</w:t>
      </w:r>
    </w:p>
    <w:p>
      <w:pPr>
        <w:spacing w:before="160" w:after="60"/>
        <w:jc w:val="center"/>
      </w:pPr>
      <w:r>
        <w:rPr>
          <w:rFonts w:ascii="Times New Roman" w:hAnsi="Times New Roman"/>
          <w:b/>
          <w:sz w:val="20"/>
        </w:rPr>
        <w:t>III. MODELING AND EVALUATION</w:t>
      </w:r>
    </w:p>
    <w:p>
      <w:pPr>
        <w:spacing w:before="100" w:after="40"/>
      </w:pPr>
      <w:r>
        <w:rPr>
          <w:rFonts w:ascii="Times New Roman" w:hAnsi="Times New Roman"/>
          <w:b/>
          <w:sz w:val="18"/>
        </w:rPr>
        <w:t>A. Predictors and model families</w:t>
      </w:r>
    </w:p>
    <w:p>
      <w:pPr>
        <w:spacing w:after="60"/>
        <w:jc w:val="both"/>
      </w:pPr>
      <w:r>
        <w:t>Each observation supplies rainfall, mean temperature, ONI and a one-hot encoding of state identity. State indicators allow the model to represent persistent differences in economic scale. Financial year controls the split but is not a model predictor. We fit ordinary least squares linear regression, Random Forest, Gradient Boosting, XGBoost and Extra Trees. The tree methods provide nonlinear comparisons to the linear baseline [7]–[9].</w:t>
      </w:r>
    </w:p>
    <w:p>
      <w:pPr>
        <w:spacing w:before="100" w:after="40"/>
      </w:pPr>
      <w:r>
        <w:rPr>
          <w:rFonts w:ascii="Times New Roman" w:hAnsi="Times New Roman"/>
          <w:b/>
          <w:sz w:val="18"/>
        </w:rPr>
        <w:t>B. Chronological holdout</w:t>
      </w:r>
    </w:p>
    <w:p>
      <w:pPr>
        <w:spacing w:after="60"/>
        <w:jc w:val="both"/>
      </w:pPr>
      <w:r>
        <w:t>Rows with financial-year start years 2011–2020 form the training set (280 observations). The later 2021–2024 start years form the test set (105 observations). This ordering avoids training on a later year and then evaluating on an earlier one. All five models use the same partition. We calculate mean absolute error (MAE), root mean squared error (RMSE), coefficient of determination (R²) and mean absolute percentage error (MAPE) on the held-out rows. The application selects the model with the smallest held-out RMSE.</w:t>
      </w:r>
    </w:p>
    <w:p>
      <w:pPr>
        <w:spacing w:before="160" w:after="60"/>
        <w:jc w:val="center"/>
      </w:pPr>
      <w:r>
        <w:rPr>
          <w:rFonts w:ascii="Times New Roman" w:hAnsi="Times New Roman"/>
          <w:b/>
          <w:sz w:val="20"/>
        </w:rPr>
        <w:t>IV. RESULTS</w:t>
      </w:r>
    </w:p>
    <w:p>
      <w:pPr>
        <w:spacing w:after="60"/>
        <w:jc w:val="both"/>
      </w:pPr>
      <w:r>
        <w:t>Table II reproduces the current official-panel metrics stored by the application for run run_20261001_192910_2ff9dde9. Linear Regression has the lowest held-out RMSE. Its MAE is ₹10,049.97 crore and its RMSE is ₹17,410.41 crore. The scale of these errors matters: crop GSVA ranges widely across states, from small state economies to large producers. Percent errors are particularly unstable where the target is small, which is visible in the MAPE column.</w:t>
      </w:r>
    </w:p>
    <w:p>
      <w:pPr>
        <w:spacing w:before="120" w:after="40"/>
        <w:jc w:val="center"/>
      </w:pPr>
      <w:r>
        <w:rPr>
          <w:b/>
          <w:sz w:val="16"/>
        </w:rPr>
        <w:t>TABLE II. OFFICIAL-PANEL HOLDOUT METRICS</w:t>
      </w:r>
    </w:p>
    <w:tbl>
      <w:tblPr>
        <w:tblW w:type="auto" w:w="0"/>
        <w:jc w:val="center"/>
        <w:tblLayout w:type="autofit"/>
        <w:tblLook w:firstColumn="1" w:firstRow="1" w:lastColumn="0" w:lastRow="0" w:noHBand="0" w:noVBand="1" w:val="04A0"/>
      </w:tblPr>
      <w:tblGrid>
        <w:gridCol w:w="2064"/>
        <w:gridCol w:w="2064"/>
        <w:gridCol w:w="2064"/>
        <w:gridCol w:w="2064"/>
        <w:gridCol w:w="2064"/>
      </w:tblGrid>
      <w:tr>
        <w:tc>
          <w:tcPr>
            <w:tcW w:type="dxa" w:w="2064"/>
            <w:vAlign w:val="center"/>
            <w:tcBorders>
              <w:top w:val="single" w:sz="3" w:color="D9D9D9"/>
              <w:left w:val="single" w:sz="3" w:color="D9D9D9"/>
              <w:bottom w:val="single" w:sz="3" w:color="D9D9D9"/>
              <w:right w:val="single" w:sz="3" w:color="D9D9D9"/>
            </w:tcBorders>
            <w:shd w:fill="E8EEF4"/>
          </w:tcPr>
          <w:p>
            <w:pPr>
              <w:spacing w:after="20"/>
            </w:pPr>
            <w:r>
              <w:rPr>
                <w:rFonts w:ascii="Times New Roman" w:hAnsi="Times New Roman"/>
                <w:b/>
                <w:sz w:val="14"/>
              </w:rPr>
              <w:t>Model</w:t>
            </w:r>
          </w:p>
        </w:tc>
        <w:tc>
          <w:tcPr>
            <w:tcW w:type="dxa" w:w="2064"/>
            <w:vAlign w:val="center"/>
            <w:tcBorders>
              <w:top w:val="single" w:sz="3" w:color="D9D9D9"/>
              <w:left w:val="single" w:sz="3" w:color="D9D9D9"/>
              <w:bottom w:val="single" w:sz="3" w:color="D9D9D9"/>
              <w:right w:val="single" w:sz="3" w:color="D9D9D9"/>
            </w:tcBorders>
            <w:shd w:fill="E8EEF4"/>
          </w:tcPr>
          <w:p>
            <w:pPr>
              <w:spacing w:after="20"/>
            </w:pPr>
            <w:r>
              <w:rPr>
                <w:rFonts w:ascii="Times New Roman" w:hAnsi="Times New Roman"/>
                <w:b/>
                <w:sz w:val="14"/>
              </w:rPr>
              <w:t>MAE</w:t>
            </w:r>
          </w:p>
        </w:tc>
        <w:tc>
          <w:tcPr>
            <w:tcW w:type="dxa" w:w="2064"/>
            <w:vAlign w:val="center"/>
            <w:tcBorders>
              <w:top w:val="single" w:sz="3" w:color="D9D9D9"/>
              <w:left w:val="single" w:sz="3" w:color="D9D9D9"/>
              <w:bottom w:val="single" w:sz="3" w:color="D9D9D9"/>
              <w:right w:val="single" w:sz="3" w:color="D9D9D9"/>
            </w:tcBorders>
            <w:shd w:fill="E8EEF4"/>
          </w:tcPr>
          <w:p>
            <w:pPr>
              <w:spacing w:after="20"/>
            </w:pPr>
            <w:r>
              <w:rPr>
                <w:rFonts w:ascii="Times New Roman" w:hAnsi="Times New Roman"/>
                <w:b/>
                <w:sz w:val="14"/>
              </w:rPr>
              <w:t>RMSE</w:t>
            </w:r>
          </w:p>
        </w:tc>
        <w:tc>
          <w:tcPr>
            <w:tcW w:type="dxa" w:w="2064"/>
            <w:vAlign w:val="center"/>
            <w:tcBorders>
              <w:top w:val="single" w:sz="3" w:color="D9D9D9"/>
              <w:left w:val="single" w:sz="3" w:color="D9D9D9"/>
              <w:bottom w:val="single" w:sz="3" w:color="D9D9D9"/>
              <w:right w:val="single" w:sz="3" w:color="D9D9D9"/>
            </w:tcBorders>
            <w:shd w:fill="E8EEF4"/>
          </w:tcPr>
          <w:p>
            <w:pPr>
              <w:spacing w:after="20"/>
            </w:pPr>
            <w:r>
              <w:rPr>
                <w:rFonts w:ascii="Times New Roman" w:hAnsi="Times New Roman"/>
                <w:b/>
                <w:sz w:val="14"/>
              </w:rPr>
              <w:t>R²</w:t>
            </w:r>
          </w:p>
        </w:tc>
        <w:tc>
          <w:tcPr>
            <w:tcW w:type="dxa" w:w="2064"/>
            <w:vAlign w:val="center"/>
            <w:tcBorders>
              <w:top w:val="single" w:sz="3" w:color="D9D9D9"/>
              <w:left w:val="single" w:sz="3" w:color="D9D9D9"/>
              <w:bottom w:val="single" w:sz="3" w:color="D9D9D9"/>
              <w:right w:val="single" w:sz="3" w:color="D9D9D9"/>
            </w:tcBorders>
            <w:shd w:fill="E8EEF4"/>
          </w:tcPr>
          <w:p>
            <w:pPr>
              <w:spacing w:after="20"/>
            </w:pPr>
            <w:r>
              <w:rPr>
                <w:rFonts w:ascii="Times New Roman" w:hAnsi="Times New Roman"/>
                <w:b/>
                <w:sz w:val="14"/>
              </w:rPr>
              <w:t>MAPE %</w:t>
            </w:r>
          </w:p>
        </w:tc>
      </w:tr>
      <w:tr>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Linear</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10,049.97</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17,410.41</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0.8783</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33.51</w:t>
            </w:r>
          </w:p>
        </w:tc>
      </w:tr>
      <w:tr>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Random Forest</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12,556.09</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21,343.40</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0.8172</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60.82</w:t>
            </w:r>
          </w:p>
        </w:tc>
      </w:tr>
      <w:tr>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Gradient Boost</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11,023.36</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18,086.89</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0.8687</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62.83</w:t>
            </w:r>
          </w:p>
        </w:tc>
      </w:tr>
      <w:tr>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XGBoost</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11,267.99</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18,752.05</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0.8589</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70.74</w:t>
            </w:r>
          </w:p>
        </w:tc>
      </w:tr>
      <w:tr>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Extra Trees</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12,105.21</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18,388.83</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0.8643</w:t>
            </w:r>
          </w:p>
        </w:tc>
        <w:tc>
          <w:tcPr>
            <w:tcW w:type="dxa" w:w="2064"/>
            <w:vAlign w:val="center"/>
            <w:tcBorders>
              <w:top w:val="single" w:sz="3" w:color="D9D9D9"/>
              <w:left w:val="single" w:sz="3" w:color="D9D9D9"/>
              <w:bottom w:val="single" w:sz="3" w:color="D9D9D9"/>
              <w:right w:val="single" w:sz="3" w:color="D9D9D9"/>
            </w:tcBorders>
          </w:tcPr>
          <w:p>
            <w:pPr>
              <w:spacing w:after="20"/>
            </w:pPr>
            <w:r>
              <w:rPr>
                <w:rFonts w:ascii="Times New Roman" w:hAnsi="Times New Roman"/>
                <w:sz w:val="14"/>
              </w:rPr>
              <w:t>71.66</w:t>
            </w:r>
          </w:p>
        </w:tc>
      </w:tr>
    </w:tbl>
    <w:p>
      <w:pPr>
        <w:spacing w:after="0"/>
      </w:pPr>
    </w:p>
    <w:p>
      <w:pPr>
        <w:spacing w:after="60"/>
        <w:jc w:val="both"/>
      </w:pPr>
      <w:r>
        <w:t>MAE and RMSE are in ₹ crore. R² is dimensionless. The reported R² of 0.8783 for linear regression is a pooled score over 105 state-years, not an estimate of the strength of an ENSO effect. In that model, 99.74% of the code's normalized absolute-coefficient summary is assigned to state-indicator terms. That summary is not a causal or cross-feature importance measure because coefficients depend on units and encoding. Tree importance values likewise describe splits within fitted models, not independent climate effects.</w:t>
      </w:r>
    </w:p>
    <w:p>
      <w:pPr>
        <w:spacing w:after="60"/>
        <w:jc w:val="both"/>
      </w:pPr>
      <w:r>
        <w:t>The linear model's advantage over Extra Trees in this run is ₹978.42 crore of RMSE. This comparison describes this particular data version and test period. It does not prove that linear relationships will dominate in future years or other economic series. Because the lowest-RMSE model is chosen using the same test set reported here, its selected score should be treated as exploratory rather than as an untouched final-test estimate.</w:t>
      </w:r>
    </w:p>
    <w:p>
      <w:pPr>
        <w:spacing w:before="160" w:after="60"/>
        <w:jc w:val="center"/>
      </w:pPr>
      <w:r>
        <w:rPr>
          <w:rFonts w:ascii="Times New Roman" w:hAnsi="Times New Roman"/>
          <w:b/>
          <w:sz w:val="20"/>
        </w:rPr>
        <w:t>V. INTERPRETATION AND LIMITATIONS</w:t>
      </w:r>
    </w:p>
    <w:p>
      <w:pPr>
        <w:spacing w:after="60"/>
        <w:jc w:val="both"/>
      </w:pPr>
      <w:r>
        <w:t>The main finding is modest: models that include state identity and three climate measures can describe later-year crop GSVA differences in this panel, and the linear benchmark has the lowest test RMSE in the recorded run. The data do not isolate how much of this fit is attributable to ONI. Much of a state's economic scale persists across years, so pooled performance should be read alongside state-by-state errors and simple state-level baselines. Those additional diagnostics have not been reported as results here.</w:t>
      </w:r>
    </w:p>
    <w:p>
      <w:pPr>
        <w:spacing w:after="60"/>
        <w:jc w:val="both"/>
      </w:pPr>
      <w:r>
        <w:t>There are only 14 annual target years, despite the daily climate input. The panel lacks time-varying irrigation, crop composition, policy and other economic drivers. Point-sampled weather can miss strong within-state differences. Missing official GSVA values are excluded, which reduces the later-year sample for several states. Historical association also cannot establish the counterfactual economic effect of changing rainfall, temperature or ONI.</w:t>
      </w:r>
    </w:p>
    <w:p>
      <w:pPr>
        <w:spacing w:after="60"/>
        <w:jc w:val="both"/>
      </w:pPr>
      <w:r>
        <w:t>The web application's Scenario Lab changes selected inputs and compares conditional model estimates with a historical baseline. These are exploratory what-if calculations. Without a causal design, calibrated uncertainty intervals, and independent forecast verification, they should not be interpreted as predicted losses for a future El Niño season.</w:t>
      </w:r>
    </w:p>
    <w:p>
      <w:pPr>
        <w:spacing w:before="160" w:after="60"/>
        <w:jc w:val="center"/>
      </w:pPr>
      <w:r>
        <w:rPr>
          <w:rFonts w:ascii="Times New Roman" w:hAnsi="Times New Roman"/>
          <w:b/>
          <w:sz w:val="20"/>
        </w:rPr>
        <w:t>VI. CONCLUSION</w:t>
      </w:r>
    </w:p>
    <w:p>
      <w:pPr>
        <w:spacing w:after="60"/>
        <w:jc w:val="both"/>
      </w:pPr>
      <w:r>
        <w:t>We assembled and documented a 28-state crop-GSVA panel from IMD, NOAA and RBI/NSO inputs, then compared five regressors using later financial years as a common holdout. For the current 385-row panel, linear regression achieved the smallest held-out RMSE, ₹17,410.41 crore. The result establishes a reproducible benchmark for this application. Better tests of climate-related economic signal would compare state-specific baselines, evaluate additional later years, and examine input sensitivity without treating model responses as causal effects.</w:t>
      </w:r>
    </w:p>
    <w:p>
      <w:pPr>
        <w:spacing w:before="160" w:after="60"/>
        <w:jc w:val="center"/>
      </w:pPr>
      <w:r>
        <w:rPr>
          <w:rFonts w:ascii="Times New Roman" w:hAnsi="Times New Roman"/>
          <w:b/>
          <w:sz w:val="20"/>
        </w:rPr>
        <w:t>ACKNOWLEDGMENT</w:t>
      </w:r>
    </w:p>
    <w:p>
      <w:pPr>
        <w:spacing w:after="60"/>
        <w:jc w:val="both"/>
      </w:pPr>
      <w:r>
        <w:t>The authors acknowledge the Department of Artificial Intelligence and Data Science at K. J. Somaiya Institute of Technology, and the IMD, NOAA CPC and RBI/NSO for the data products used in the study.</w:t>
      </w:r>
    </w:p>
    <w:p>
      <w:pPr>
        <w:spacing w:before="160" w:after="60"/>
        <w:jc w:val="center"/>
      </w:pPr>
      <w:r>
        <w:rPr>
          <w:rFonts w:ascii="Times New Roman" w:hAnsi="Times New Roman"/>
          <w:b/>
          <w:sz w:val="20"/>
        </w:rPr>
        <w:t>REFERENCES</w:t>
      </w:r>
    </w:p>
    <w:p>
      <w:pPr>
        <w:spacing w:after="40"/>
        <w:ind w:left="259" w:hanging="259"/>
        <w:jc w:val="left"/>
      </w:pPr>
      <w:r>
        <w:t>[1] K. K. Kumar, B. Rajagopalan, and M. A. Cane, “On the weakening relationship between the Indian monsoon and ENSO,” Science, vol. 284, pp. 2156–2159, 1999, doi: 10.1126/science.284.5423.2156.</w:t>
      </w:r>
    </w:p>
    <w:p>
      <w:pPr>
        <w:spacing w:after="40"/>
        <w:ind w:left="259" w:hanging="259"/>
        <w:jc w:val="left"/>
      </w:pPr>
      <w:r>
        <w:t>[2] K. K. Kumar et al., “Unraveling the mystery of Indian monsoon failure during El Niño,” Science, vol. 314, pp. 115–119, 2006, doi: 10.1126/science.1131152.</w:t>
      </w:r>
    </w:p>
    <w:p>
      <w:pPr>
        <w:spacing w:after="40"/>
        <w:ind w:left="259" w:hanging="259"/>
        <w:jc w:val="left"/>
      </w:pPr>
      <w:r>
        <w:t>[3] India Meteorological Department, “Daily gridded rainfall data, 0.25° × 0.25°,” IMD Pune. [Online]. Available: https://www.imdpune.gov.in/cmpg/Griddata/Rainfall_25_NetCDF.html</w:t>
      </w:r>
    </w:p>
    <w:p>
      <w:pPr>
        <w:spacing w:after="40"/>
        <w:ind w:left="259" w:hanging="259"/>
        <w:jc w:val="left"/>
      </w:pPr>
      <w:r>
        <w:t>[4] India Meteorological Department, “Daily gridded maximum and minimum temperature data, 1° × 1°,” IMD Pune. [Online]. Available: https://www.imdpune.gov.in/cmpg/Griddata/Max_1_Bin.html and https://www.imdpune.gov.in/cmpg/Griddata/Min_1_Bin.html</w:t>
      </w:r>
    </w:p>
    <w:p>
      <w:pPr>
        <w:spacing w:after="40"/>
        <w:ind w:left="259" w:hanging="259"/>
        <w:jc w:val="left"/>
      </w:pPr>
      <w:r>
        <w:t>[5] NOAA Climate Prediction Center, “Oceanic Niño Index (ONI).” [Online]. Available: https://www.cpc.ncep.noaa.gov/products/analysis_monitoring/enso/oni/</w:t>
      </w:r>
    </w:p>
    <w:p>
      <w:pPr>
        <w:spacing w:after="40"/>
        <w:ind w:left="259" w:hanging="259"/>
        <w:jc w:val="left"/>
      </w:pPr>
      <w:r>
        <w:t>[6] Reserve Bank of India, “Handbook of Statistics on Indian States: Gross State Value Added by Economic Activity, Crops, at Constant 2011–12 Prices.” Mumbai, India.</w:t>
      </w:r>
    </w:p>
    <w:p>
      <w:pPr>
        <w:spacing w:after="40"/>
        <w:ind w:left="259" w:hanging="259"/>
        <w:jc w:val="left"/>
      </w:pPr>
      <w:r>
        <w:t>[7] L. Breiman, “Random forests,” Machine Learning, vol. 45, pp. 5–32, 2001, doi: 10.1023/A:1010933404324.</w:t>
      </w:r>
    </w:p>
    <w:p>
      <w:pPr>
        <w:spacing w:after="40"/>
        <w:ind w:left="259" w:hanging="259"/>
        <w:jc w:val="left"/>
      </w:pPr>
      <w:r>
        <w:t>[8] P. Geurts, D. Ernst, and L. Wehenkel, “Extremely randomized trees,” Machine Learning, vol. 63, pp. 3–42, 2006, doi: 10.1007/s10994-006-6226-1.</w:t>
      </w:r>
    </w:p>
    <w:p>
      <w:pPr>
        <w:spacing w:after="40"/>
        <w:ind w:left="259" w:hanging="259"/>
        <w:jc w:val="left"/>
      </w:pPr>
      <w:r>
        <w:t>[9] T. Chen and C. Guestrin, “XGBoost: A scalable tree boosting system,” in Proc. ACM SIGKDD, 2016, pp. 785–794, doi: 10.1145/2939672.2939785.</w:t>
      </w:r>
    </w:p>
    <w:sectPr w:rsidR="00C0358A">
      <w:footerReference w:type="default" r:id="rId11"/>
      <w:type w:val="continuous"/>
      <w:pgSz w:w="11906" w:h="16838"/>
      <w:pgMar w:top="1020" w:right="794" w:bottom="1020" w:left="794"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355EF" w14:textId="77777777" w:rsidR="00DB1B47" w:rsidRDefault="00DB1B47">
      <w:r>
        <w:separator/>
      </w:r>
    </w:p>
  </w:endnote>
  <w:endnote w:type="continuationSeparator" w:id="0">
    <w:p w14:paraId="21D1B074" w14:textId="77777777" w:rsidR="00DB1B47" w:rsidRDefault="00DB1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5BEE" w14:textId="77777777" w:rsidR="00C0358A" w:rsidRDefault="00000000">
    <w:pPr>
      <w:jc w:val="center"/>
    </w:pPr>
    <w:r>
      <w:rPr>
        <w:sz w:val="18"/>
        <w:szCs w:val="18"/>
      </w:rPr>
      <w:fldChar w:fldCharType="begin"/>
    </w:r>
    <w:r>
      <w:rPr>
        <w:sz w:val="18"/>
        <w:szCs w:val="18"/>
      </w:rPr>
      <w:instrText>PAGE</w:instrText>
    </w:r>
    <w:r>
      <w:rPr>
        <w:sz w:val="18"/>
        <w:szCs w:val="18"/>
      </w:rPr>
      <w:fldChar w:fldCharType="separate"/>
    </w:r>
    <w:r w:rsidR="008D1DA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729B4" w14:textId="77777777" w:rsidR="00DB1B47" w:rsidRDefault="00DB1B47">
      <w:r>
        <w:separator/>
      </w:r>
    </w:p>
  </w:footnote>
  <w:footnote w:type="continuationSeparator" w:id="0">
    <w:p w14:paraId="059F0CE5" w14:textId="77777777" w:rsidR="00DB1B47" w:rsidRDefault="00DB1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7B5B0" w14:textId="77777777" w:rsidR="00C0358A" w:rsidRDefault="00000000">
    <w:pPr>
      <w:jc w:val="right"/>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9925BE"/>
    <w:multiLevelType w:val="hybridMultilevel"/>
    <w:tmpl w:val="5E566AD8"/>
    <w:lvl w:ilvl="0" w:tplc="549C6782" w:tentative="1">
      <w:start w:val="1"/>
      <w:numFmt w:val="bullet"/>
      <w:lvlText w:val="●"/>
      <w:lvlJc w:val="left"/>
      <w:pPr>
        <w:ind w:left="720" w:hanging="360"/>
      </w:pPr>
    </w:lvl>
    <w:lvl w:ilvl="1" w:tplc="69A43D22" w:tentative="1">
      <w:start w:val="1"/>
      <w:numFmt w:val="bullet"/>
      <w:lvlText w:val="○"/>
      <w:lvlJc w:val="left"/>
      <w:pPr>
        <w:ind w:left="1440" w:hanging="360"/>
      </w:pPr>
    </w:lvl>
    <w:lvl w:ilvl="2" w:tplc="960255A2" w:tentative="1">
      <w:start w:val="1"/>
      <w:numFmt w:val="bullet"/>
      <w:lvlText w:val="■"/>
      <w:lvlJc w:val="left"/>
      <w:pPr>
        <w:ind w:left="2160" w:hanging="360"/>
      </w:pPr>
    </w:lvl>
    <w:lvl w:ilvl="3" w:tplc="B15E0720" w:tentative="1">
      <w:start w:val="1"/>
      <w:numFmt w:val="bullet"/>
      <w:lvlText w:val="●"/>
      <w:lvlJc w:val="left"/>
      <w:pPr>
        <w:ind w:left="2880" w:hanging="360"/>
      </w:pPr>
    </w:lvl>
    <w:lvl w:ilvl="4" w:tplc="9B3CD0A2" w:tentative="1">
      <w:start w:val="1"/>
      <w:numFmt w:val="bullet"/>
      <w:lvlText w:val="○"/>
      <w:lvlJc w:val="left"/>
      <w:pPr>
        <w:ind w:left="3600" w:hanging="360"/>
      </w:pPr>
    </w:lvl>
    <w:lvl w:ilvl="5" w:tplc="55203F9E" w:tentative="1">
      <w:start w:val="1"/>
      <w:numFmt w:val="bullet"/>
      <w:lvlText w:val="■"/>
      <w:lvlJc w:val="left"/>
      <w:pPr>
        <w:ind w:left="4320" w:hanging="360"/>
      </w:pPr>
    </w:lvl>
    <w:lvl w:ilvl="6" w:tplc="02389296" w:tentative="1">
      <w:start w:val="1"/>
      <w:numFmt w:val="bullet"/>
      <w:lvlText w:val="●"/>
      <w:lvlJc w:val="left"/>
      <w:pPr>
        <w:ind w:left="5040" w:hanging="360"/>
      </w:pPr>
    </w:lvl>
    <w:lvl w:ilvl="7" w:tplc="2A58EDAA" w:tentative="1">
      <w:start w:val="1"/>
      <w:numFmt w:val="bullet"/>
      <w:lvlText w:val="●"/>
      <w:lvlJc w:val="left"/>
      <w:pPr>
        <w:ind w:left="5760" w:hanging="360"/>
      </w:pPr>
    </w:lvl>
    <w:lvl w:ilvl="8" w:tplc="1220C8F8" w:tentative="1">
      <w:start w:val="1"/>
      <w:numFmt w:val="bullet"/>
      <w:lvlText w:val="●"/>
      <w:lvlJc w:val="left"/>
      <w:pPr>
        <w:ind w:left="6480" w:hanging="360"/>
      </w:pPr>
    </w:lvl>
  </w:abstractNum>
  <w:num w:numId="1" w16cid:durableId="622736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58A"/>
    <w:rsid w:val="006C585F"/>
    <w:rsid w:val="008D1DAE"/>
    <w:rsid w:val="00C0358A"/>
    <w:rsid w:val="00DB1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B617"/>
  <w15:docId w15:val="{D3577EA0-B353-479D-9132-5278D0496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pPr>
    <w:rPr>
      <w:rFonts w:ascii="Times New Roman" w:hAnsi="Times New Roman"/>
      <w:color w:val="000000"/>
      <w:sz w:val="18"/>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ltair.patel@somaiya.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ankaj@somaiya.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hardik.sedani@somaiy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6598</Words>
  <Characters>37609</Characters>
  <Application>Microsoft Office Word</Application>
  <DocSecurity>0</DocSecurity>
  <Lines>313</Lines>
  <Paragraphs>88</Paragraphs>
  <ScaleCrop>false</ScaleCrop>
  <Company/>
  <LinksUpToDate>false</LinksUpToDate>
  <CharactersWithSpaces>44119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Altair Patel</cp:lastModifiedBy>
  <cp:revision>2</cp:revision>
  <dcterms:created xsi:type="dcterms:W3CDTF">2026-10-12T18:56:00Z</dcterms:created>
  <dcterms:modified xsi:type="dcterms:W3CDTF">2026-10-12T19:21:00Z</dcterms:modified>
  <dc:title>Climate Conditions and State Crop Value Added in India</dc:title>
  <dc:subject>Chronological comparison of five regression models for state crop GSVA</dc:subject>
</cp:coreProperties>
</file>