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rFonts w:ascii="Courier New" w:cs="Courier New" w:eastAsia="Courier New" w:hAnsi="Courier New"/>
        </w:rPr>
      </w:pPr>
      <w:bookmarkStart w:colFirst="0" w:colLast="0" w:name="_psfaxnl21ced" w:id="0"/>
      <w:bookmarkEnd w:id="0"/>
      <w:r w:rsidDel="00000000" w:rsidR="00000000" w:rsidRPr="00000000">
        <w:rPr>
          <w:rFonts w:ascii="Courier New" w:cs="Courier New" w:eastAsia="Courier New" w:hAnsi="Courier New"/>
          <w:rtl w:val="0"/>
        </w:rPr>
        <w:t xml:space="preserve">TASK-1 </w:t>
      </w:r>
    </w:p>
    <w:p w:rsidR="00000000" w:rsidDel="00000000" w:rsidP="00000000" w:rsidRDefault="00000000" w:rsidRPr="00000000" w14:paraId="00000002">
      <w:pPr>
        <w:pStyle w:val="Title"/>
        <w:spacing w:after="240" w:lineRule="auto"/>
        <w:jc w:val="center"/>
        <w:rPr>
          <w:rFonts w:ascii="Courier New" w:cs="Courier New" w:eastAsia="Courier New" w:hAnsi="Courier New"/>
        </w:rPr>
      </w:pPr>
      <w:bookmarkStart w:colFirst="0" w:colLast="0" w:name="_vd3vbl1zbrlx" w:id="1"/>
      <w:bookmarkEnd w:id="1"/>
      <w:r w:rsidDel="00000000" w:rsidR="00000000" w:rsidRPr="00000000">
        <w:rPr>
          <w:rFonts w:ascii="Courier New" w:cs="Courier New" w:eastAsia="Courier New" w:hAnsi="Courier New"/>
          <w:rtl w:val="0"/>
        </w:rPr>
        <w:t xml:space="preserve">Project Report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tl w:val="0"/>
        </w:rPr>
        <w:t xml:space="preserve">As a Student Digital Ambassador, I developed a one-page visual resource titled </w:t>
      </w:r>
      <w:r w:rsidDel="00000000" w:rsidR="00000000" w:rsidRPr="00000000">
        <w:rPr>
          <w:b w:val="1"/>
          <w:bCs w:val="1"/>
          <w:rtl w:val="0"/>
        </w:rPr>
        <w:t xml:space="preserve">'A Student’s Guide to Digital Literacy'</w:t>
      </w:r>
      <w:r w:rsidDel="00000000" w:rsidR="00000000" w:rsidRPr="00000000">
        <w:rPr>
          <w:rtl w:val="0"/>
        </w:rPr>
        <w:t xml:space="preserve"> using </w:t>
      </w:r>
      <w:r w:rsidDel="00000000" w:rsidR="00000000" w:rsidRPr="00000000">
        <w:rPr>
          <w:b w:val="1"/>
          <w:bCs w:val="1"/>
          <w:rtl w:val="0"/>
        </w:rPr>
        <w:t xml:space="preserve">Canva</w:t>
      </w:r>
      <w:r w:rsidDel="00000000" w:rsidR="00000000" w:rsidRPr="00000000">
        <w:rPr>
          <w:rtl w:val="0"/>
        </w:rPr>
        <w:t xml:space="preserve">. The primary goal was to create an accessible guide that helps my peers understand their digital responsibilities and the tools available to them. I selected Canva because its professional templates allowed me to organize complex information into a clean, visually engaging hierarchy.</w:t>
      </w:r>
    </w:p>
    <w:p w:rsidR="00000000" w:rsidDel="00000000" w:rsidP="00000000" w:rsidRDefault="00000000" w:rsidRPr="00000000" w14:paraId="00000005">
      <w:pPr>
        <w:spacing w:after="240" w:lineRule="auto"/>
        <w:rPr/>
      </w:pPr>
      <w:r w:rsidDel="00000000" w:rsidR="00000000" w:rsidRPr="00000000">
        <w:rPr>
          <w:rtl w:val="0"/>
        </w:rPr>
        <w:t xml:space="preserve">My infographic covers five critical areas: a clear definition of digital literacy, essential academic platforms like </w:t>
      </w:r>
      <w:r w:rsidDel="00000000" w:rsidR="00000000" w:rsidRPr="00000000">
        <w:rPr>
          <w:b w:val="1"/>
          <w:bCs w:val="1"/>
          <w:rtl w:val="0"/>
        </w:rPr>
        <w:t xml:space="preserve">GitHub and LinkedIn</w:t>
      </w:r>
      <w:r w:rsidDel="00000000" w:rsidR="00000000" w:rsidRPr="00000000">
        <w:rPr>
          <w:rtl w:val="0"/>
        </w:rPr>
        <w:t xml:space="preserve">, safe internet practices, the basics of professional email etiquette, and a checklist for responsible social media use. By including specific tips—such as using professional salutations and understanding that digital footprints are permanent—I aimed to provide actionable advice that my batchmates can apply immediately to their college careers.</w:t>
      </w:r>
    </w:p>
    <w:p w:rsidR="00000000" w:rsidDel="00000000" w:rsidP="00000000" w:rsidRDefault="00000000" w:rsidRPr="00000000" w14:paraId="00000006">
      <w:pPr>
        <w:spacing w:after="240" w:lineRule="auto"/>
        <w:rPr/>
      </w:pPr>
      <w:r w:rsidDel="00000000" w:rsidR="00000000" w:rsidRPr="00000000">
        <w:rPr>
          <w:rtl w:val="0"/>
        </w:rPr>
        <w:t xml:space="preserve">One thing I found particularly </w:t>
      </w:r>
      <w:r w:rsidDel="00000000" w:rsidR="00000000" w:rsidRPr="00000000">
        <w:rPr>
          <w:b w:val="1"/>
          <w:bCs w:val="1"/>
          <w:rtl w:val="0"/>
        </w:rPr>
        <w:t xml:space="preserve">interesting</w:t>
      </w:r>
      <w:r w:rsidDel="00000000" w:rsidR="00000000" w:rsidRPr="00000000">
        <w:rPr>
          <w:rtl w:val="0"/>
        </w:rPr>
        <w:t xml:space="preserve"> during this process was how challenging it is to condense broad topics into short, punchy bullet points without losing their meaning. This task reinforced that effective digital communication requires a balance of visual clarity and concise messaging. Designing this resource has better prepared me to guide others in navigating our digital campus environment."</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