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Sovereign Agent Orchestrator and Local Ollama LLM</w:t>
      </w:r>
    </w:p>
    <w:p>
      <w:pPr>
        <w:pStyle w:val="Heading1"/>
      </w:pPr>
      <w:r>
        <w:t>Task</w:t>
      </w:r>
    </w:p>
    <w:p>
      <w:r>
        <w:t>hey can you descibe me whats in this document</w:t>
      </w:r>
    </w:p>
    <w:p>
      <w:pPr>
        <w:pStyle w:val="Heading1"/>
      </w:pPr>
      <w:r>
        <w:t>Model</w:t>
      </w:r>
    </w:p>
    <w:p>
      <w:r>
        <w:t>unknown</w:t>
      </w:r>
    </w:p>
    <w:p>
      <w:pPr>
        <w:pStyle w:val="Heading1"/>
      </w:pPr>
      <w:r>
        <w:t>Ollama Endpoint</w:t>
      </w:r>
    </w:p>
    <w:p>
      <w:r>
        <w:t>unknown</w:t>
      </w:r>
    </w:p>
    <w:p>
      <w:pPr>
        <w:pStyle w:val="Heading1"/>
      </w:pPr>
      <w:r>
        <w:t>Local Model Response</w:t>
      </w:r>
    </w:p>
    <w:p>
      <w:r>
        <w:t>Use the registered document tools and produce a verified artifact.</w:t>
      </w:r>
    </w:p>
    <w:p>
      <w:pPr>
        <w:pStyle w:val="Heading1"/>
      </w:pPr>
      <w:r>
        <w:t>How the Local Model Is Invoked</w:t>
      </w:r>
    </w:p>
    <w:p>
      <w:r>
        <w:t>The Sovereign Agent Orchestrator invokes the configured Ollama model through its local HTTP API. The model adapter sends the task as chat messages to the Ollama /api/chat endpoint and receives the model response locally.</w:t>
      </w:r>
    </w:p>
    <w:p>
      <w:pPr>
        <w:pStyle w:val="Heading1"/>
      </w:pPr>
      <w:r>
        <w:t>References</w:t>
      </w:r>
    </w:p>
    <w:p>
      <w:r>
        <w:t>Configured local model: unknown</w:t>
      </w:r>
    </w:p>
    <w:p>
      <w:r>
        <w:t>Configured Ollama endpoint: unknown</w:t>
      </w:r>
    </w:p>
    <w:p>
      <w:r>
        <w:t>Local invocation path: OllamaAdapter -&gt; /api/chat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