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7B" w:rsidRDefault="0059397B" w:rsidP="00D069C1"/>
    <w:tbl>
      <w:tblPr>
        <w:tblStyle w:val="Grilledutableau"/>
        <w:tblW w:w="0" w:type="auto"/>
        <w:tblLook w:val="04A0"/>
      </w:tblPr>
      <w:tblGrid>
        <w:gridCol w:w="1526"/>
        <w:gridCol w:w="9178"/>
      </w:tblGrid>
      <w:tr w:rsidR="00BF4EE3" w:rsidRPr="0016402F" w:rsidTr="00BF4EE3">
        <w:trPr>
          <w:trHeight w:val="580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9178" w:type="dxa"/>
            <w:shd w:val="clear" w:color="auto" w:fill="8DB3E2" w:themeFill="text2" w:themeFillTint="66"/>
            <w:vAlign w:val="center"/>
          </w:tcPr>
          <w:p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FA7EDA" w:rsidRPr="0016402F" w:rsidTr="000470A1">
        <w:trPr>
          <w:trHeight w:val="1102"/>
        </w:trPr>
        <w:tc>
          <w:tcPr>
            <w:tcW w:w="1526" w:type="dxa"/>
            <w:vAlign w:val="center"/>
          </w:tcPr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, S2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11192E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07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18/01/13</w:t>
            </w:r>
          </w:p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Pr="00F72533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18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9178" w:type="dxa"/>
            <w:vAlign w:val="center"/>
          </w:tcPr>
          <w:p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Introduction</w:t>
            </w:r>
          </w:p>
          <w:p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du système</w:t>
            </w:r>
          </w:p>
          <w:p w:rsidR="00FA7EDA" w:rsidRPr="00FA7EDA" w:rsidRDefault="00FA7EDA" w:rsidP="00FA7ED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Contraintes</w:t>
            </w:r>
          </w:p>
          <w:p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A7EDA" w:rsidRPr="00F72533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</w:tc>
      </w:tr>
      <w:tr w:rsidR="00FA7EDA" w:rsidRPr="0016402F" w:rsidTr="00CE620D">
        <w:trPr>
          <w:trHeight w:val="1410"/>
        </w:trPr>
        <w:tc>
          <w:tcPr>
            <w:tcW w:w="1526" w:type="dxa"/>
            <w:vAlign w:val="center"/>
          </w:tcPr>
          <w:p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21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25/01/13</w:t>
            </w:r>
          </w:p>
          <w:p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Ecrit le 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25/01//13</w:t>
            </w:r>
          </w:p>
        </w:tc>
        <w:tc>
          <w:tcPr>
            <w:tcW w:w="9178" w:type="dxa"/>
            <w:vAlign w:val="center"/>
          </w:tcPr>
          <w:p w:rsidR="0011192E" w:rsidRDefault="0011192E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  <w:p w:rsidR="0011192E" w:rsidRDefault="0011192E" w:rsidP="0011192E">
            <w:pPr>
              <w:pStyle w:val="Paragraphedeliste"/>
              <w:ind w:left="644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Analyse des risques</w:t>
            </w:r>
          </w:p>
          <w:p w:rsidR="0011192E" w:rsidRP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Premier modèle objet</w:t>
            </w:r>
          </w:p>
        </w:tc>
      </w:tr>
      <w:tr w:rsidR="00FA7EDA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28/01/13 au 01/02/13</w:t>
            </w:r>
          </w:p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01/02//13</w:t>
            </w:r>
          </w:p>
        </w:tc>
        <w:tc>
          <w:tcPr>
            <w:tcW w:w="9178" w:type="dxa"/>
            <w:vAlign w:val="center"/>
          </w:tcPr>
          <w:p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 rédaction du dossier d’analyse 1.0</w:t>
            </w:r>
          </w:p>
          <w:p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Descriptions des diagrammes de séquence</w:t>
            </w:r>
          </w:p>
          <w:p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incréments</w:t>
            </w:r>
          </w:p>
          <w:p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tests de validation</w:t>
            </w:r>
          </w:p>
          <w:p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 Journal d’évènements » dans l’IHM (similaire aux systèmes de journalisation des systèmes UNIX (standard Syslog)</w:t>
            </w:r>
          </w:p>
          <w:p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S5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04/02/13 au 08/02/13</w:t>
            </w:r>
          </w:p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1A2135" w:rsidP="00B07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08</w:t>
            </w:r>
            <w:r w:rsidR="00B07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/02//13</w:t>
            </w:r>
          </w:p>
        </w:tc>
        <w:tc>
          <w:tcPr>
            <w:tcW w:w="9178" w:type="dxa"/>
            <w:vAlign w:val="center"/>
          </w:tcPr>
          <w:p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Schéma récapitulatif des Entrées Sorties TOR </w:t>
            </w:r>
          </w:p>
          <w:p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DossierAnalyse 1.0</w:t>
            </w:r>
          </w:p>
          <w:p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:rsidR="001A2135" w:rsidRDefault="001A2135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Oral de la revue d’Analyse 1.</w:t>
            </w:r>
          </w:p>
          <w:p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lastRenderedPageBreak/>
              <w:t>S6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CF5AE7" w:rsidRDefault="00CF5AE7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11/02/13 au 15/02/13</w:t>
            </w:r>
          </w:p>
          <w:p w:rsidR="00556441" w:rsidRDefault="00556441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1A2135" w:rsidP="001A213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08/02//13</w:t>
            </w:r>
          </w:p>
        </w:tc>
        <w:tc>
          <w:tcPr>
            <w:tcW w:w="9178" w:type="dxa"/>
            <w:vAlign w:val="center"/>
          </w:tcPr>
          <w:p w:rsidR="001A2135" w:rsidRPr="001A2135" w:rsidRDefault="001A2135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Schéma récapitulatif des Entrées Sorties TOR</w:t>
            </w:r>
            <w:r w:rsidR="00005341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1A2135" w:rsidRDefault="001A2135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compte rendu de la revue d’Analyse 1.</w:t>
            </w:r>
          </w:p>
          <w:p w:rsidR="00005341" w:rsidRDefault="00005341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Quelques petites modifications sur le dossier d’Analyse 1.0.</w:t>
            </w:r>
          </w:p>
          <w:p w:rsidR="00FA7EDA" w:rsidRDefault="00FA7EDA" w:rsidP="001A2135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S7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18/02/13 au 22/02/13</w:t>
            </w: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CF5AE7" w:rsidP="00CF5AE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21/02//13</w:t>
            </w:r>
          </w:p>
        </w:tc>
        <w:tc>
          <w:tcPr>
            <w:tcW w:w="9178" w:type="dxa"/>
            <w:vAlign w:val="center"/>
          </w:tcPr>
          <w:p w:rsidR="00CF5AE7" w:rsidRPr="001A2135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Fiche de lecture croisée du dossier d’analyse. </w:t>
            </w:r>
          </w:p>
          <w:p w:rsidR="00CF5AE7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Visite sur site de l’Ascenseur à Poissons le 19/02/13.</w:t>
            </w:r>
          </w:p>
          <w:p w:rsidR="00CF5AE7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à jour schéma des Entrées Sorties TOR.</w:t>
            </w:r>
          </w:p>
          <w:p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S8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11/03/13 au 15/03/13</w:t>
            </w: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410B3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Pr="00556441" w:rsidRDefault="00410B37" w:rsidP="0055644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15/03/13</w:t>
            </w:r>
          </w:p>
        </w:tc>
        <w:tc>
          <w:tcPr>
            <w:tcW w:w="9178" w:type="dxa"/>
            <w:vAlign w:val="center"/>
          </w:tcPr>
          <w:p w:rsidR="00811BA9" w:rsidRPr="001A2135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Fiche de lecture croisée du dossier d’analyse. </w:t>
            </w:r>
          </w:p>
          <w:p w:rsidR="00811BA9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à jour du dossier d’analyse.</w:t>
            </w:r>
          </w:p>
          <w:p w:rsidR="00811BA9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Approfondissement connaissances protocole CANOpen.</w:t>
            </w:r>
          </w:p>
          <w:p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S9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18/03/13 au 22/03/13</w:t>
            </w:r>
          </w:p>
          <w:p w:rsidR="00811BA9" w:rsidRDefault="00811BA9" w:rsidP="00811BA9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811BA9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811BA9" w:rsidRPr="00556441" w:rsidRDefault="00811BA9" w:rsidP="0055644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15/03/13</w:t>
            </w:r>
          </w:p>
        </w:tc>
        <w:tc>
          <w:tcPr>
            <w:tcW w:w="9178" w:type="dxa"/>
            <w:vAlign w:val="center"/>
          </w:tcPr>
          <w:p w:rsidR="00CF5AE7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Absence de l’étudiant.</w:t>
            </w:r>
          </w:p>
          <w:p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11BA9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811BA9" w:rsidRDefault="00811BA9" w:rsidP="009C550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S10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811BA9" w:rsidRDefault="00811BA9" w:rsidP="009C550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811BA9" w:rsidRDefault="00811BA9" w:rsidP="009C550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25/03/13 au 29/03/13</w:t>
            </w:r>
          </w:p>
          <w:p w:rsidR="00811BA9" w:rsidRDefault="00811BA9" w:rsidP="00811BA9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811BA9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Pr="00556441" w:rsidRDefault="00811BA9" w:rsidP="0055644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28</w:t>
            </w:r>
            <w:bookmarkStart w:id="0" w:name="_GoBack"/>
            <w:bookmarkEnd w:id="0"/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/03/13</w:t>
            </w:r>
          </w:p>
        </w:tc>
        <w:tc>
          <w:tcPr>
            <w:tcW w:w="9178" w:type="dxa"/>
            <w:vAlign w:val="center"/>
          </w:tcPr>
          <w:p w:rsidR="00811BA9" w:rsidRPr="001A2135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Remise à niveau de l’avancée du projet après absence prolongée.</w:t>
            </w:r>
          </w:p>
          <w:p w:rsidR="00811BA9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à jour du dossier d’incrément 1.0</w:t>
            </w:r>
          </w:p>
          <w:p w:rsidR="00556441" w:rsidRPr="00556441" w:rsidRDefault="00811BA9" w:rsidP="00556441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Approfondissement connaissances protocole CANOpen.</w:t>
            </w:r>
          </w:p>
        </w:tc>
      </w:tr>
      <w:tr w:rsidR="00556441" w:rsidRPr="00556441" w:rsidTr="00556441">
        <w:trPr>
          <w:trHeight w:val="1410"/>
        </w:trPr>
        <w:tc>
          <w:tcPr>
            <w:tcW w:w="1526" w:type="dxa"/>
          </w:tcPr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1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du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01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04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/13 au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05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04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  <w:p w:rsidR="00556441" w:rsidRDefault="00556441" w:rsidP="003619B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55644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Ecrit le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04/04/13</w:t>
            </w:r>
          </w:p>
          <w:p w:rsidR="00556441" w:rsidRPr="00556441" w:rsidRDefault="00556441" w:rsidP="0055644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9178" w:type="dxa"/>
          </w:tcPr>
          <w:p w:rsidR="00556441" w:rsidRDefault="00556441" w:rsidP="0055644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56441" w:rsidRDefault="00556441" w:rsidP="00556441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à jour du dossier d’incrément 1.0</w:t>
            </w:r>
          </w:p>
          <w:p w:rsidR="00556441" w:rsidRDefault="00556441" w:rsidP="00556441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 w:rsidRPr="00556441">
              <w:rPr>
                <w:rFonts w:ascii="Arial" w:hAnsi="Arial" w:cs="Arial"/>
                <w:b/>
                <w:sz w:val="22"/>
                <w:szCs w:val="22"/>
              </w:rPr>
              <w:t>Approfondissement connaissances protocole CANOpen.</w:t>
            </w:r>
          </w:p>
          <w:p w:rsidR="00556441" w:rsidRPr="00556441" w:rsidRDefault="00556441" w:rsidP="00556441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Calcul identifiants trames RxPDO et TxPDO.</w:t>
            </w:r>
          </w:p>
        </w:tc>
      </w:tr>
      <w:tr w:rsidR="00556441" w:rsidRPr="00556441" w:rsidTr="00556441">
        <w:trPr>
          <w:trHeight w:val="1410"/>
        </w:trPr>
        <w:tc>
          <w:tcPr>
            <w:tcW w:w="1526" w:type="dxa"/>
          </w:tcPr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lastRenderedPageBreak/>
              <w:t>S12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du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08/04/13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au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12/04/13</w:t>
            </w:r>
          </w:p>
          <w:p w:rsidR="00556441" w:rsidRDefault="00556441" w:rsidP="003619B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3619B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Ecrit le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10/04/13</w:t>
            </w:r>
          </w:p>
          <w:p w:rsidR="00556441" w:rsidRDefault="00556441" w:rsidP="003619B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</w:tcPr>
          <w:p w:rsidR="00556441" w:rsidRDefault="00556441" w:rsidP="0055644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56441" w:rsidRDefault="00556441" w:rsidP="00556441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Semaine de BTS Blanc, très peu d’avancée.</w:t>
            </w:r>
          </w:p>
          <w:p w:rsidR="00556441" w:rsidRPr="00556441" w:rsidRDefault="00556441" w:rsidP="00556441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Calcul identifiants des trames.</w:t>
            </w:r>
          </w:p>
        </w:tc>
      </w:tr>
      <w:tr w:rsidR="00556441" w:rsidRPr="00556441" w:rsidTr="003619B1">
        <w:trPr>
          <w:trHeight w:val="1410"/>
        </w:trPr>
        <w:tc>
          <w:tcPr>
            <w:tcW w:w="1526" w:type="dxa"/>
          </w:tcPr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du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15/04/13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au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19/04/13</w:t>
            </w:r>
          </w:p>
          <w:p w:rsidR="00556441" w:rsidRDefault="00556441" w:rsidP="003619B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3619B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Ecrit le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19/04/13</w:t>
            </w:r>
          </w:p>
          <w:p w:rsidR="00556441" w:rsidRDefault="00556441" w:rsidP="003619B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</w:tcPr>
          <w:p w:rsidR="00556441" w:rsidRDefault="00556441" w:rsidP="003619B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56441" w:rsidRDefault="00556441" w:rsidP="003619B1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Debut oraux BTS blanc donc pas beaucoup cours de projets.</w:t>
            </w:r>
          </w:p>
          <w:p w:rsidR="00556441" w:rsidRDefault="00556441" w:rsidP="00556441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Calcul identifiants des trames.</w:t>
            </w:r>
          </w:p>
          <w:p w:rsidR="00556441" w:rsidRPr="00556441" w:rsidRDefault="00556441" w:rsidP="00556441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Planning prévisionnel avec le professeur référent en vue de l’installation de l’application sur le PC embarqué.</w:t>
            </w:r>
          </w:p>
        </w:tc>
      </w:tr>
    </w:tbl>
    <w:p w:rsidR="00556441" w:rsidRDefault="00556441" w:rsidP="00556441">
      <w:pPr>
        <w:rPr>
          <w:rFonts w:ascii="Arial" w:hAnsi="Arial" w:cs="Arial"/>
        </w:rPr>
      </w:pPr>
    </w:p>
    <w:p w:rsidR="00556441" w:rsidRDefault="00556441" w:rsidP="00D069C1">
      <w:pPr>
        <w:rPr>
          <w:rFonts w:ascii="Arial" w:hAnsi="Arial" w:cs="Arial"/>
        </w:rPr>
      </w:pPr>
    </w:p>
    <w:sectPr w:rsidR="00556441" w:rsidSect="0056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5AC" w:rsidRDefault="00C435AC">
      <w:r>
        <w:separator/>
      </w:r>
    </w:p>
  </w:endnote>
  <w:endnote w:type="continuationSeparator" w:id="0">
    <w:p w:rsidR="00C435AC" w:rsidRDefault="00C43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D563C9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D563C9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56441">
      <w:rPr>
        <w:rStyle w:val="Numrodepage"/>
        <w:noProof/>
      </w:rPr>
      <w:t>3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>AUTEUR :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D563C9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D563C9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556441">
            <w:rPr>
              <w:rFonts w:ascii="Arial" w:hAnsi="Arial" w:cs="Arial"/>
              <w:i/>
              <w:iCs/>
              <w:noProof/>
              <w:sz w:val="18"/>
              <w:szCs w:val="18"/>
            </w:rPr>
            <w:t>19 avril 2013</w:t>
          </w:r>
          <w:r w:rsidR="00D563C9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D563C9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5AC" w:rsidRDefault="00C435AC">
      <w:r>
        <w:separator/>
      </w:r>
    </w:p>
  </w:footnote>
  <w:footnote w:type="continuationSeparator" w:id="0">
    <w:p w:rsidR="00C435AC" w:rsidRDefault="00C435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Default="00CF5AE7" w:rsidP="00CF5AE7">
          <w:pPr>
            <w:pStyle w:val="En-tte"/>
            <w:rPr>
              <w:rFonts w:ascii="Arial" w:hAnsi="Arial" w:cs="Arial"/>
              <w:i/>
              <w:iCs/>
              <w:sz w:val="4"/>
              <w:szCs w:val="4"/>
            </w:rPr>
          </w:pPr>
          <w:r>
            <w:rPr>
              <w:rFonts w:ascii="Arial" w:hAnsi="Arial" w:cs="Arial"/>
              <w:i/>
              <w:iCs/>
              <w:noProof/>
              <w:sz w:val="4"/>
              <w:szCs w:val="4"/>
            </w:rPr>
            <w:drawing>
              <wp:inline distT="0" distB="0" distL="0" distR="0">
                <wp:extent cx="1576070" cy="113220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shem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1132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vAlign w:val="center"/>
        </w:tcPr>
        <w:p w:rsidR="009F1AEF" w:rsidRPr="0060355F" w:rsidRDefault="00CF5AE7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À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B21"/>
    <w:rsid w:val="00005341"/>
    <w:rsid w:val="00023D91"/>
    <w:rsid w:val="00065AE5"/>
    <w:rsid w:val="000808A4"/>
    <w:rsid w:val="000A47AB"/>
    <w:rsid w:val="000D4B55"/>
    <w:rsid w:val="000F1DB8"/>
    <w:rsid w:val="000F3FBC"/>
    <w:rsid w:val="0011192E"/>
    <w:rsid w:val="0016209E"/>
    <w:rsid w:val="0016402F"/>
    <w:rsid w:val="001A0B8B"/>
    <w:rsid w:val="001A1F27"/>
    <w:rsid w:val="001A2135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10B37"/>
    <w:rsid w:val="00430050"/>
    <w:rsid w:val="00494ABA"/>
    <w:rsid w:val="004A089E"/>
    <w:rsid w:val="004B23B6"/>
    <w:rsid w:val="004B2F50"/>
    <w:rsid w:val="004D0716"/>
    <w:rsid w:val="00521364"/>
    <w:rsid w:val="00556441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11BA9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0792E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E4CC2"/>
    <w:rsid w:val="00CF5AE7"/>
    <w:rsid w:val="00D069C1"/>
    <w:rsid w:val="00D112CF"/>
    <w:rsid w:val="00D563C9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43887"/>
    <w:rsid w:val="00F92F51"/>
    <w:rsid w:val="00F97873"/>
    <w:rsid w:val="00FA467E"/>
    <w:rsid w:val="00FA7EDA"/>
    <w:rsid w:val="00FB6C4C"/>
    <w:rsid w:val="00FC5E87"/>
    <w:rsid w:val="00FE0A42"/>
    <w:rsid w:val="00FF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A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D9CEBF-28D7-41BE-985D-8E71FD3F7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jtard</cp:lastModifiedBy>
  <cp:revision>12</cp:revision>
  <cp:lastPrinted>2012-11-20T16:35:00Z</cp:lastPrinted>
  <dcterms:created xsi:type="dcterms:W3CDTF">2012-11-20T18:26:00Z</dcterms:created>
  <dcterms:modified xsi:type="dcterms:W3CDTF">2013-04-19T07:28:00Z</dcterms:modified>
</cp:coreProperties>
</file>