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set up an addressbook application and we did build, test and create an dapplication deployable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 Agenda:-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review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1990 - 1995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Physical Machines.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physical servers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operating 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Just like your laptop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laptop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windows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apple mac osx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IBM system z’s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operating systems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 applications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Very expensive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10000$ 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Small 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 profitable-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Vmware --- Commercial Virtualisation:-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vSphere, ESXi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VirtualBox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Vmware workstation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Vmware ESXi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Openstack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Xen hypervisor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Windows Hyper-V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EC2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Cloud Compute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Azure Virtual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Interoperability of machines.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VirtualBox&lt;&lt;&gt; vmware workstation&lt;--AWS---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Virtualbox--OVA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Workstation-- VMDK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VSphere--OVA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Openstack--ISO, QCOW,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Wastage of resouces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Saves you cost because on the same hardware you run more apps in containers.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Allows you to run the same container anywhere in the world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Container:- Logical grouping of files/packages/binaries running as a independent entity on a kernel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-- Kubernetes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https://kubernetes.io/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https://linuxcontainers.org/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https://mesosphere.com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Amazon ECS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docker on a VM in the 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a look at how docker 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commit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pull push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commands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Docker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to be shown on monday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 up for Digitalocean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this:-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https://www.digitalocean.com/community/tutorials/how-to-create-a-cluster-of-docker-containers-with-docker-swarm-and-digitalocean-on-ubuntu-16-04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Installing jenkins on windows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https://wiki.jenkins-ci.org/display/JENKINS/Installing+Jenkins+as+a+Windows+service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https://hub.docker.com/explore/?page=3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iki.jenkins-ci.org/display/JENKINS/Installing+Jenkins+as+a+Windows+service" TargetMode="External"/><Relationship Id="rId9" Type="http://schemas.openxmlformats.org/officeDocument/2006/relationships/hyperlink" Target="https://www.digitalocean.com/community/tutorials/how-to-create-a-cluster-of-docker-containers-with-docker-swarm-and-digitalocean-on-ubuntu-16-04" TargetMode="External"/><Relationship Id="rId5" Type="http://schemas.openxmlformats.org/officeDocument/2006/relationships/hyperlink" Target="https://kubernetes.io/" TargetMode="External"/><Relationship Id="rId6" Type="http://schemas.openxmlformats.org/officeDocument/2006/relationships/hyperlink" Target="https://linuxcontainers.org/" TargetMode="External"/><Relationship Id="rId7" Type="http://schemas.openxmlformats.org/officeDocument/2006/relationships/hyperlink" Target="https://www.docker.com/" TargetMode="External"/><Relationship Id="rId8" Type="http://schemas.openxmlformats.org/officeDocument/2006/relationships/hyperlink" Target="https://mesosphere.com" TargetMode="External"/></Relationships>
</file>