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00"/>
        <w:jc w:val="center"/>
      </w:pPr>
      <w:r>
        <w:rPr>
          <w:rFonts w:ascii="Times New Roman" w:cs="Times New Roman" w:eastAsia="Times New Roman" w:hAnsi="Times New Roman"/>
          <w:b/>
          <w:bCs/>
          <w:i w:val="false"/>
          <w:iCs w:val="false"/>
          <w:sz w:val="28"/>
          <w:szCs w:val="28"/>
        </w:rPr>
        <w:t xml:space="preserve">Cardiff Metropolitan University</w:t>
      </w:r>
    </w:p>
    <w:p>
      <w:pPr>
        <w:spacing w:after="120"/>
        <w:jc w:val="center"/>
      </w:pPr>
      <w:r>
        <w:rPr>
          <w:rFonts w:ascii="Times New Roman" w:cs="Times New Roman" w:eastAsia="Times New Roman" w:hAnsi="Times New Roman"/>
          <w:b w:val="false"/>
          <w:bCs w:val="false"/>
          <w:i w:val="false"/>
          <w:iCs w:val="false"/>
          <w:sz w:val="24"/>
          <w:szCs w:val="24"/>
        </w:rPr>
        <w:t xml:space="preserve">School of Technologies</w:t>
      </w:r>
    </w:p>
    <w:p>
      <w:pPr>
        <w:spacing w:after="300"/>
        <w:jc w:val="center"/>
      </w:pPr>
      <w:r>
        <w:rPr>
          <w:rFonts w:ascii="Times New Roman" w:cs="Times New Roman" w:eastAsia="Times New Roman" w:hAnsi="Times New Roman"/>
          <w:b/>
          <w:bCs/>
          <w:i w:val="false"/>
          <w:iCs w:val="false"/>
          <w:sz w:val="24"/>
          <w:szCs w:val="24"/>
        </w:rPr>
        <w:t xml:space="preserve">CIS6008 Analytics and Business Intelligence | WRIT1</w:t>
      </w:r>
    </w:p>
    <w:p>
      <w:pPr>
        <w:spacing w:after="200" w:before="300"/>
        <w:jc w:val="center"/>
      </w:pPr>
      <w:r>
        <w:rPr>
          <w:rFonts w:ascii="Times New Roman" w:cs="Times New Roman" w:eastAsia="Times New Roman" w:hAnsi="Times New Roman"/>
          <w:b/>
          <w:bCs/>
          <w:i w:val="false"/>
          <w:iCs w:val="false"/>
          <w:sz w:val="28"/>
          <w:szCs w:val="28"/>
        </w:rPr>
        <w:t xml:space="preserve">Task d: Business Intelligence Dashboard for Flight Operations Monitoring at Bandaranaike International Airport (CMB)</w:t>
      </w:r>
    </w:p>
    <w:p>
      <w:pPr>
        <w:spacing w:after="60" w:before="400"/>
        <w:jc w:val="center"/>
      </w:pPr>
      <w:r>
        <w:rPr>
          <w:rFonts w:ascii="Times New Roman" w:cs="Times New Roman" w:eastAsia="Times New Roman" w:hAnsi="Times New Roman"/>
          <w:b w:val="false"/>
          <w:bCs w:val="false"/>
          <w:i w:val="false"/>
          <w:iCs w:val="false"/>
          <w:sz w:val="22"/>
          <w:szCs w:val="22"/>
        </w:rPr>
        <w:t xml:space="preserve">Excellent band (70-100) | 20 marks | Power BI Desktop | 2026 Semester 2</w:t>
      </w:r>
    </w:p>
    <w:p>
      <w:r>
        <w:br w:type="page"/>
      </w:r>
    </w:p>
    <w:p>
      <w:pPr>
        <w:pStyle w:val="Heading1"/>
        <w:spacing w:after="160" w:before="260" w:line="360"/>
      </w:pPr>
      <w:r>
        <w:rPr>
          <w:rFonts w:ascii="Times New Roman" w:cs="Times New Roman" w:eastAsia="Times New Roman" w:hAnsi="Times New Roman"/>
          <w:b/>
          <w:bCs/>
          <w:i w:val="false"/>
          <w:iCs w:val="false"/>
          <w:sz w:val="28"/>
          <w:szCs w:val="28"/>
        </w:rPr>
        <w:t xml:space="preserve">4. Task d: Power BI Dashboard for BIA/CMB Flight Operations</w:t>
      </w:r>
    </w:p>
    <w:p>
      <w:pPr>
        <w:pStyle w:val="Heading2"/>
        <w:spacing w:after="120" w:before="220" w:line="360"/>
      </w:pPr>
      <w:r>
        <w:rPr>
          <w:rFonts w:ascii="Times New Roman" w:cs="Times New Roman" w:eastAsia="Times New Roman" w:hAnsi="Times New Roman"/>
          <w:b/>
          <w:bCs/>
          <w:i w:val="false"/>
          <w:iCs w:val="false"/>
          <w:sz w:val="26"/>
          <w:szCs w:val="26"/>
        </w:rPr>
        <w:t xml:space="preserve">4.1 Introduction and brief requirements</w:t>
      </w:r>
    </w:p>
    <w:p>
      <w:pPr>
        <w:spacing w:after="140" w:before="0" w:line="360"/>
        <w:jc w:val="both"/>
      </w:pPr>
      <w:r>
        <w:rPr>
          <w:rFonts w:ascii="Times New Roman" w:cs="Times New Roman" w:eastAsia="Times New Roman" w:hAnsi="Times New Roman"/>
          <w:b w:val="false"/>
          <w:bCs w:val="false"/>
          <w:i w:val="false"/>
          <w:iCs w:val="false"/>
          <w:sz w:val="24"/>
          <w:szCs w:val="24"/>
        </w:rPr>
        <w:t xml:space="preserve">Bandaranaike International Airport (CMB) is Sri Lanka's main international gateway and requires integrated visibility of flight status, delays, passenger load, weather, and surface indicators. Task d implements a Microsoft Power BI Desktop dashboard on the lecturer dataset </w:t>
      </w:r>
      <w:r>
        <w:rPr>
          <w:rFonts w:ascii="Times New Roman" w:cs="Times New Roman" w:eastAsia="Times New Roman" w:hAnsi="Times New Roman"/>
          <w:b/>
          <w:bCs/>
          <w:i w:val="false"/>
          <w:iCs w:val="false"/>
          <w:sz w:val="24"/>
          <w:szCs w:val="24"/>
        </w:rPr>
        <w:t xml:space="preserve">BIA_CMB_Dataset.csv</w:t>
      </w:r>
      <w:r>
        <w:rPr>
          <w:rFonts w:ascii="Times New Roman" w:cs="Times New Roman" w:eastAsia="Times New Roman" w:hAnsi="Times New Roman"/>
          <w:b w:val="false"/>
          <w:bCs w:val="false"/>
          <w:i w:val="false"/>
          <w:iCs w:val="false"/>
          <w:sz w:val="24"/>
          <w:szCs w:val="24"/>
        </w:rPr>
        <w:t xml:space="preserve"> so airport managers and air traffic controllers can monitor operations, analyse delays, track international traffic by country, and identify risks or bottlenecks (Cardiff Metropolitan University, 2026). Excellent-band marking requires a complete dashboard with standard elements, suitable screenshots, critical discussion, and Harvard referencing (Cardiff Metropolitan University, 2026).</w:t>
      </w:r>
    </w:p>
    <w:p>
      <w:pPr>
        <w:pStyle w:val="Heading2"/>
        <w:spacing w:after="120" w:before="220" w:line="360"/>
      </w:pPr>
      <w:r>
        <w:rPr>
          <w:rFonts w:ascii="Times New Roman" w:cs="Times New Roman" w:eastAsia="Times New Roman" w:hAnsi="Times New Roman"/>
          <w:b/>
          <w:bCs/>
          <w:i w:val="false"/>
          <w:iCs w:val="false"/>
          <w:sz w:val="26"/>
          <w:szCs w:val="26"/>
        </w:rPr>
        <w:t xml:space="preserve">4.2 Data preparation and semantic model</w:t>
      </w:r>
    </w:p>
    <w:p>
      <w:pPr>
        <w:spacing w:after="140" w:before="0" w:line="360"/>
        <w:jc w:val="both"/>
      </w:pPr>
      <w:r>
        <w:rPr>
          <w:rFonts w:ascii="Times New Roman" w:cs="Times New Roman" w:eastAsia="Times New Roman" w:hAnsi="Times New Roman"/>
          <w:b w:val="false"/>
          <w:bCs w:val="false"/>
          <w:i w:val="false"/>
          <w:iCs w:val="false"/>
          <w:sz w:val="24"/>
          <w:szCs w:val="24"/>
        </w:rPr>
        <w:t xml:space="preserve">The master file was kept read-only. A cleaned working copy retained </w:t>
      </w:r>
      <w:r>
        <w:rPr>
          <w:rFonts w:ascii="Times New Roman" w:cs="Times New Roman" w:eastAsia="Times New Roman" w:hAnsi="Times New Roman"/>
          <w:b/>
          <w:bCs/>
          <w:i w:val="false"/>
          <w:iCs w:val="false"/>
          <w:sz w:val="24"/>
          <w:szCs w:val="24"/>
        </w:rPr>
        <w:t xml:space="preserve">40</w:t>
      </w:r>
      <w:r>
        <w:rPr>
          <w:rFonts w:ascii="Times New Roman" w:cs="Times New Roman" w:eastAsia="Times New Roman" w:hAnsi="Times New Roman"/>
          <w:b w:val="false"/>
          <w:bCs w:val="false"/>
          <w:i w:val="false"/>
          <w:iCs w:val="false"/>
          <w:sz w:val="24"/>
          <w:szCs w:val="24"/>
        </w:rPr>
        <w:t xml:space="preserve"> flights and </w:t>
      </w:r>
      <w:r>
        <w:rPr>
          <w:rFonts w:ascii="Times New Roman" w:cs="Times New Roman" w:eastAsia="Times New Roman" w:hAnsi="Times New Roman"/>
          <w:b/>
          <w:bCs/>
          <w:i w:val="false"/>
          <w:iCs w:val="false"/>
          <w:sz w:val="24"/>
          <w:szCs w:val="24"/>
        </w:rPr>
        <w:t xml:space="preserve">28</w:t>
      </w:r>
      <w:r>
        <w:rPr>
          <w:rFonts w:ascii="Times New Roman" w:cs="Times New Roman" w:eastAsia="Times New Roman" w:hAnsi="Times New Roman"/>
          <w:b w:val="false"/>
          <w:bCs w:val="false"/>
          <w:i w:val="false"/>
          <w:iCs w:val="false"/>
          <w:sz w:val="24"/>
          <w:szCs w:val="24"/>
        </w:rPr>
        <w:t xml:space="preserve"> source columns with unique Flight_ID values and no empty cells. Power Query typed delay, passenger, load factor, taxi, turnaround, queue, and weather metrics so DAX aggregations run on numeric fields. Destination for mapping was created as a DAX calculated column, not a static CSV field:</w:t>
      </w:r>
    </w:p>
    <w:p>
      <w:pPr>
        <w:spacing w:after="140" w:before="0" w:line="360"/>
        <w:jc w:val="both"/>
      </w:pPr>
      <w:r>
        <w:rPr>
          <w:rFonts w:ascii="Times New Roman" w:cs="Times New Roman" w:eastAsia="Times New Roman" w:hAnsi="Times New Roman"/>
          <w:b w:val="false"/>
          <w:bCs w:val="false"/>
          <w:i/>
          <w:iCs/>
          <w:sz w:val="20"/>
          <w:szCs w:val="20"/>
        </w:rPr>
        <w:t xml:space="preserve">Destination Country = RIGHT('BIA_CMB'[Route], LEN('BIA_CMB'[Route]) - FIND("-", 'BIA_CMB'[Route], 1))</w:t>
      </w:r>
    </w:p>
    <w:p>
      <w:pPr>
        <w:spacing w:after="140" w:before="0" w:line="360"/>
        <w:jc w:val="both"/>
      </w:pPr>
      <w:r>
        <w:rPr>
          <w:rFonts w:ascii="Times New Roman" w:cs="Times New Roman" w:eastAsia="Times New Roman" w:hAnsi="Times New Roman"/>
          <w:b w:val="false"/>
          <w:bCs w:val="false"/>
          <w:i w:val="false"/>
          <w:iCs w:val="false"/>
          <w:sz w:val="24"/>
          <w:szCs w:val="24"/>
        </w:rPr>
        <w:t xml:space="preserve">This yields seven destinations in the sample (Singapore, Bangkok, Dubai, Doha, Male, London, Chennai). Measures were defined in the semantic model and verified by live DAX queries against Power BI Desktop: Total Flights </w:t>
      </w:r>
      <w:r>
        <w:rPr>
          <w:rFonts w:ascii="Times New Roman" w:cs="Times New Roman" w:eastAsia="Times New Roman" w:hAnsi="Times New Roman"/>
          <w:b/>
          <w:bCs/>
          <w:i w:val="false"/>
          <w:iCs w:val="false"/>
          <w:sz w:val="24"/>
          <w:szCs w:val="24"/>
        </w:rPr>
        <w:t xml:space="preserve">40</w:t>
      </w:r>
      <w:r>
        <w:rPr>
          <w:rFonts w:ascii="Times New Roman" w:cs="Times New Roman" w:eastAsia="Times New Roman" w:hAnsi="Times New Roman"/>
          <w:b w:val="false"/>
          <w:bCs w:val="false"/>
          <w:i w:val="false"/>
          <w:iCs w:val="false"/>
          <w:sz w:val="24"/>
          <w:szCs w:val="24"/>
        </w:rPr>
        <w:t xml:space="preserve">; Arrivals/Departures </w:t>
      </w:r>
      <w:r>
        <w:rPr>
          <w:rFonts w:ascii="Times New Roman" w:cs="Times New Roman" w:eastAsia="Times New Roman" w:hAnsi="Times New Roman"/>
          <w:b/>
          <w:bCs/>
          <w:i w:val="false"/>
          <w:iCs w:val="false"/>
          <w:sz w:val="24"/>
          <w:szCs w:val="24"/>
        </w:rPr>
        <w:t xml:space="preserve">18/22</w:t>
      </w:r>
      <w:r>
        <w:rPr>
          <w:rFonts w:ascii="Times New Roman" w:cs="Times New Roman" w:eastAsia="Times New Roman" w:hAnsi="Times New Roman"/>
          <w:b w:val="false"/>
          <w:bCs w:val="false"/>
          <w:i w:val="false"/>
          <w:iCs w:val="false"/>
          <w:sz w:val="24"/>
          <w:szCs w:val="24"/>
        </w:rPr>
        <w:t xml:space="preserve">; Delayed/On-Time </w:t>
      </w:r>
      <w:r>
        <w:rPr>
          <w:rFonts w:ascii="Times New Roman" w:cs="Times New Roman" w:eastAsia="Times New Roman" w:hAnsi="Times New Roman"/>
          <w:b/>
          <w:bCs/>
          <w:i w:val="false"/>
          <w:iCs w:val="false"/>
          <w:sz w:val="24"/>
          <w:szCs w:val="24"/>
        </w:rPr>
        <w:t xml:space="preserve">9/6</w:t>
      </w:r>
      <w:r>
        <w:rPr>
          <w:rFonts w:ascii="Times New Roman" w:cs="Times New Roman" w:eastAsia="Times New Roman" w:hAnsi="Times New Roman"/>
          <w:b w:val="false"/>
          <w:bCs w:val="false"/>
          <w:i w:val="false"/>
          <w:iCs w:val="false"/>
          <w:sz w:val="24"/>
          <w:szCs w:val="24"/>
        </w:rPr>
        <w:t xml:space="preserve">; Critical/Warning alerts </w:t>
      </w:r>
      <w:r>
        <w:rPr>
          <w:rFonts w:ascii="Times New Roman" w:cs="Times New Roman" w:eastAsia="Times New Roman" w:hAnsi="Times New Roman"/>
          <w:b/>
          <w:bCs/>
          <w:i w:val="false"/>
          <w:iCs w:val="false"/>
          <w:sz w:val="24"/>
          <w:szCs w:val="24"/>
        </w:rPr>
        <w:t xml:space="preserve">13/11</w:t>
      </w:r>
      <w:r>
        <w:rPr>
          <w:rFonts w:ascii="Times New Roman" w:cs="Times New Roman" w:eastAsia="Times New Roman" w:hAnsi="Times New Roman"/>
          <w:b w:val="false"/>
          <w:bCs w:val="false"/>
          <w:i w:val="false"/>
          <w:iCs w:val="false"/>
          <w:sz w:val="24"/>
          <w:szCs w:val="24"/>
        </w:rPr>
        <w:t xml:space="preserve">; Passengers </w:t>
      </w:r>
      <w:r>
        <w:rPr>
          <w:rFonts w:ascii="Times New Roman" w:cs="Times New Roman" w:eastAsia="Times New Roman" w:hAnsi="Times New Roman"/>
          <w:b/>
          <w:bCs/>
          <w:i w:val="false"/>
          <w:iCs w:val="false"/>
          <w:sz w:val="24"/>
          <w:szCs w:val="24"/>
        </w:rPr>
        <w:t xml:space="preserve">8,974</w:t>
      </w:r>
      <w:r>
        <w:rPr>
          <w:rFonts w:ascii="Times New Roman" w:cs="Times New Roman" w:eastAsia="Times New Roman" w:hAnsi="Times New Roman"/>
          <w:b w:val="false"/>
          <w:bCs w:val="false"/>
          <w:i w:val="false"/>
          <w:iCs w:val="false"/>
          <w:sz w:val="24"/>
          <w:szCs w:val="24"/>
        </w:rPr>
        <w:t xml:space="preserve">; Average load factor </w:t>
      </w:r>
      <w:r>
        <w:rPr>
          <w:rFonts w:ascii="Times New Roman" w:cs="Times New Roman" w:eastAsia="Times New Roman" w:hAnsi="Times New Roman"/>
          <w:b/>
          <w:bCs/>
          <w:i w:val="false"/>
          <w:iCs w:val="false"/>
          <w:sz w:val="24"/>
          <w:szCs w:val="24"/>
        </w:rPr>
        <w:t xml:space="preserve">82.2%</w:t>
      </w:r>
      <w:r>
        <w:rPr>
          <w:rFonts w:ascii="Times New Roman" w:cs="Times New Roman" w:eastAsia="Times New Roman" w:hAnsi="Times New Roman"/>
          <w:b w:val="false"/>
          <w:bCs w:val="false"/>
          <w:i w:val="false"/>
          <w:iCs w:val="false"/>
          <w:sz w:val="24"/>
          <w:szCs w:val="24"/>
        </w:rPr>
        <w:t xml:space="preserve">; Average delay </w:t>
      </w:r>
      <w:r>
        <w:rPr>
          <w:rFonts w:ascii="Times New Roman" w:cs="Times New Roman" w:eastAsia="Times New Roman" w:hAnsi="Times New Roman"/>
          <w:b/>
          <w:bCs/>
          <w:i w:val="false"/>
          <w:iCs w:val="false"/>
          <w:sz w:val="24"/>
          <w:szCs w:val="24"/>
        </w:rPr>
        <w:t xml:space="preserve">31.4</w:t>
      </w:r>
      <w:r>
        <w:rPr>
          <w:rFonts w:ascii="Times New Roman" w:cs="Times New Roman" w:eastAsia="Times New Roman" w:hAnsi="Times New Roman"/>
          <w:b w:val="false"/>
          <w:bCs w:val="false"/>
          <w:i w:val="false"/>
          <w:iCs w:val="false"/>
          <w:sz w:val="24"/>
          <w:szCs w:val="24"/>
        </w:rPr>
        <w:t xml:space="preserve"> minutes.</w:t>
      </w:r>
    </w:p>
    <w:p>
      <w:pPr>
        <w:pStyle w:val="Heading2"/>
        <w:spacing w:after="120" w:before="220" w:line="360"/>
      </w:pPr>
      <w:r>
        <w:rPr>
          <w:rFonts w:ascii="Times New Roman" w:cs="Times New Roman" w:eastAsia="Times New Roman" w:hAnsi="Times New Roman"/>
          <w:b/>
          <w:bCs/>
          <w:i w:val="false"/>
          <w:iCs w:val="false"/>
          <w:sz w:val="26"/>
          <w:szCs w:val="26"/>
        </w:rPr>
        <w:t xml:space="preserve">4.3 Dashboard structure</w:t>
      </w:r>
    </w:p>
    <w:p>
      <w:pPr>
        <w:spacing w:after="140" w:before="0" w:line="360"/>
        <w:jc w:val="both"/>
      </w:pPr>
      <w:r>
        <w:rPr>
          <w:rFonts w:ascii="Times New Roman" w:cs="Times New Roman" w:eastAsia="Times New Roman" w:hAnsi="Times New Roman"/>
          <w:b w:val="false"/>
          <w:bCs w:val="false"/>
          <w:i w:val="false"/>
          <w:iCs w:val="false"/>
          <w:sz w:val="24"/>
          <w:szCs w:val="24"/>
        </w:rPr>
        <w:t xml:space="preserve">The solution uses three pages aligned to decision roles. Page 1 (Executive Overview) is a single-screen snapshot for duty managers. Page 2 (Delay Analysis) supports operations control. Page 3 (International Traffic) supports commercial and surface-movement views. Standard elements include KPI cards, donut and column charts, map, scatter plots, detail table, and slicers for Airline, Weather_Condition, and Alert_Status (Microsoft, 2024).</w:t>
      </w:r>
    </w:p>
    <w:p>
      <w:pPr>
        <w:pStyle w:val="Heading2"/>
        <w:spacing w:after="120" w:before="220" w:line="360"/>
      </w:pPr>
      <w:r>
        <w:rPr>
          <w:rFonts w:ascii="Times New Roman" w:cs="Times New Roman" w:eastAsia="Times New Roman" w:hAnsi="Times New Roman"/>
          <w:b/>
          <w:bCs/>
          <w:i w:val="false"/>
          <w:iCs w:val="false"/>
          <w:sz w:val="26"/>
          <w:szCs w:val="26"/>
        </w:rPr>
        <w:t xml:space="preserve">4.4 Page 1: Executive Overview</w:t>
      </w:r>
    </w:p>
    <w:p>
      <w:pPr>
        <w:spacing w:after="140" w:before="0" w:line="360"/>
        <w:jc w:val="both"/>
      </w:pPr>
      <w:r>
        <w:rPr>
          <w:rFonts w:ascii="Times New Roman" w:cs="Times New Roman" w:eastAsia="Times New Roman" w:hAnsi="Times New Roman"/>
          <w:b w:val="false"/>
          <w:bCs w:val="false"/>
          <w:i w:val="false"/>
          <w:iCs w:val="false"/>
          <w:sz w:val="24"/>
          <w:szCs w:val="24"/>
        </w:rPr>
        <w:t xml:space="preserve">Figure 4.1 shows eight KPI cards and supporting charts. Values match live DAX results above. The status donut shows composition across Arrived, Boarding, Delayed, Departed, and On Time. Arrival versus departure columns confirm a departure-heavy window (22 vs 18). Alert and runway charts highlight concentration of critical alerts and runway use. Critically, critical alerts (13; 32.5%) exceed delayed flights (9; 22.5%), so severity should be briefed alongside classical on-time metrics.</w:t>
      </w:r>
    </w:p>
    <w:p>
      <w:pPr>
        <w:spacing w:after="40" w:before="100"/>
        <w:jc w:val="center"/>
      </w:pPr>
      <w:r>
        <w:drawing>
          <wp:inline distT="0" distB="0" distL="0" distR="0">
            <wp:extent cx="5048250" cy="2438400"/>
            <wp:effectExtent t="0" r="0" b="0" l="0"/>
            <wp:docPr id="1" name="taskd_01_executive_overview.png" descr="taskd_01_executive_overview.png" title="taskd_01_executive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48250" cy="2438400"/>
                    </a:xfrm>
                    <a:prstGeom prst="rect">
                      <a:avLst/>
                    </a:prstGeom>
                  </pic:spPr>
                </pic:pic>
              </a:graphicData>
            </a:graphic>
          </wp:inline>
        </w:drawing>
      </w:r>
    </w:p>
    <w:p>
      <w:pPr>
        <w:spacing w:after="160" w:before="60" w:line="360"/>
        <w:jc w:val="center"/>
      </w:pPr>
      <w:r>
        <w:rPr>
          <w:rFonts w:ascii="Times New Roman" w:cs="Times New Roman" w:eastAsia="Times New Roman" w:hAnsi="Times New Roman"/>
          <w:b w:val="false"/>
          <w:bCs w:val="false"/>
          <w:i/>
          <w:iCs/>
          <w:sz w:val="20"/>
          <w:szCs w:val="20"/>
        </w:rPr>
        <w:t xml:space="preserve">Figure 4.1 Executive Overview page with validated KPI cards (Power BI Desktop).</w:t>
      </w:r>
    </w:p>
    <w:p>
      <w:pPr>
        <w:pStyle w:val="Heading2"/>
        <w:spacing w:after="120" w:before="220" w:line="360"/>
      </w:pPr>
      <w:r>
        <w:rPr>
          <w:rFonts w:ascii="Times New Roman" w:cs="Times New Roman" w:eastAsia="Times New Roman" w:hAnsi="Times New Roman"/>
          <w:b/>
          <w:bCs/>
          <w:i w:val="false"/>
          <w:iCs w:val="false"/>
          <w:sz w:val="26"/>
          <w:szCs w:val="26"/>
        </w:rPr>
        <w:t xml:space="preserve">4.5 Page 2: Delay Analysis</w:t>
      </w:r>
    </w:p>
    <w:p>
      <w:pPr>
        <w:spacing w:after="140" w:before="0" w:line="360"/>
        <w:jc w:val="both"/>
      </w:pPr>
      <w:r>
        <w:rPr>
          <w:rFonts w:ascii="Times New Roman" w:cs="Times New Roman" w:eastAsia="Times New Roman" w:hAnsi="Times New Roman"/>
          <w:b w:val="false"/>
          <w:bCs w:val="false"/>
          <w:i w:val="false"/>
          <w:iCs w:val="false"/>
          <w:sz w:val="24"/>
          <w:szCs w:val="24"/>
        </w:rPr>
        <w:t xml:space="preserve">Figure 4.2 focuses on delay magnitude and drivers. Average delay is </w:t>
      </w:r>
      <w:r>
        <w:rPr>
          <w:rFonts w:ascii="Times New Roman" w:cs="Times New Roman" w:eastAsia="Times New Roman" w:hAnsi="Times New Roman"/>
          <w:b/>
          <w:bCs/>
          <w:i w:val="false"/>
          <w:iCs w:val="false"/>
          <w:sz w:val="24"/>
          <w:szCs w:val="24"/>
        </w:rPr>
        <w:t xml:space="preserve">31.4</w:t>
      </w:r>
      <w:r>
        <w:rPr>
          <w:rFonts w:ascii="Times New Roman" w:cs="Times New Roman" w:eastAsia="Times New Roman" w:hAnsi="Times New Roman"/>
          <w:b w:val="false"/>
          <w:bCs w:val="false"/>
          <w:i w:val="false"/>
          <w:iCs w:val="false"/>
          <w:sz w:val="24"/>
          <w:szCs w:val="24"/>
        </w:rPr>
        <w:t xml:space="preserve"> minutes with </w:t>
      </w:r>
      <w:r>
        <w:rPr>
          <w:rFonts w:ascii="Times New Roman" w:cs="Times New Roman" w:eastAsia="Times New Roman" w:hAnsi="Times New Roman"/>
          <w:b/>
          <w:bCs/>
          <w:i w:val="false"/>
          <w:iCs w:val="false"/>
          <w:sz w:val="24"/>
          <w:szCs w:val="24"/>
        </w:rPr>
        <w:t xml:space="preserve">9</w:t>
      </w:r>
      <w:r>
        <w:rPr>
          <w:rFonts w:ascii="Times New Roman" w:cs="Times New Roman" w:eastAsia="Times New Roman" w:hAnsi="Times New Roman"/>
          <w:b w:val="false"/>
          <w:bCs w:val="false"/>
          <w:i w:val="false"/>
          <w:iCs w:val="false"/>
          <w:sz w:val="24"/>
          <w:szCs w:val="24"/>
        </w:rPr>
        <w:t xml:space="preserve"> delayed flights and </w:t>
      </w:r>
      <w:r>
        <w:rPr>
          <w:rFonts w:ascii="Times New Roman" w:cs="Times New Roman" w:eastAsia="Times New Roman" w:hAnsi="Times New Roman"/>
          <w:b/>
          <w:bCs/>
          <w:i w:val="false"/>
          <w:iCs w:val="false"/>
          <w:sz w:val="24"/>
          <w:szCs w:val="24"/>
        </w:rPr>
        <w:t xml:space="preserve">11</w:t>
      </w:r>
      <w:r>
        <w:rPr>
          <w:rFonts w:ascii="Times New Roman" w:cs="Times New Roman" w:eastAsia="Times New Roman" w:hAnsi="Times New Roman"/>
          <w:b w:val="false"/>
          <w:bCs w:val="false"/>
          <w:i w:val="false"/>
          <w:iCs w:val="false"/>
          <w:sz w:val="24"/>
          <w:szCs w:val="24"/>
        </w:rPr>
        <w:t xml:space="preserve"> warning alerts. Ranked flight and airline bars identify outliers; the issue-type pie separates congestion, delay, and none; weather columns and the wind-speed versus delay scatter relate conditions to delay and passenger exposure. In hub operations a few extreme events can dominate averages, so ranked views are more actionable than means alone (IATA, 2024).</w:t>
      </w:r>
    </w:p>
    <w:p>
      <w:pPr>
        <w:spacing w:after="40" w:before="100"/>
        <w:jc w:val="center"/>
      </w:pPr>
      <w:r>
        <w:drawing>
          <wp:inline distT="0" distB="0" distL="0" distR="0">
            <wp:extent cx="5048250" cy="2438400"/>
            <wp:effectExtent t="0" r="0" b="0" l="0"/>
            <wp:docPr id="1" name="taskd_02_delay_analysis.png" descr="taskd_02_delay_analysis.png" title="taskd_02_delay_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48250" cy="2438400"/>
                    </a:xfrm>
                    <a:prstGeom prst="rect">
                      <a:avLst/>
                    </a:prstGeom>
                  </pic:spPr>
                </pic:pic>
              </a:graphicData>
            </a:graphic>
          </wp:inline>
        </w:drawing>
      </w:r>
    </w:p>
    <w:p>
      <w:pPr>
        <w:spacing w:after="160" w:before="60" w:line="360"/>
        <w:jc w:val="center"/>
      </w:pPr>
      <w:r>
        <w:rPr>
          <w:rFonts w:ascii="Times New Roman" w:cs="Times New Roman" w:eastAsia="Times New Roman" w:hAnsi="Times New Roman"/>
          <w:b w:val="false"/>
          <w:bCs w:val="false"/>
          <w:i/>
          <w:iCs/>
          <w:sz w:val="20"/>
          <w:szCs w:val="20"/>
        </w:rPr>
        <w:t xml:space="preserve">Figure 4.2 Delay Analysis page: KPIs, ranked delays, airline comparison, cause and weather views.</w:t>
      </w:r>
    </w:p>
    <w:p>
      <w:pPr>
        <w:pStyle w:val="Heading2"/>
        <w:spacing w:after="120" w:before="220" w:line="360"/>
      </w:pPr>
      <w:r>
        <w:rPr>
          <w:rFonts w:ascii="Times New Roman" w:cs="Times New Roman" w:eastAsia="Times New Roman" w:hAnsi="Times New Roman"/>
          <w:b/>
          <w:bCs/>
          <w:i w:val="false"/>
          <w:iCs w:val="false"/>
          <w:sz w:val="26"/>
          <w:szCs w:val="26"/>
        </w:rPr>
        <w:t xml:space="preserve">4.6 Page 3: International Traffic and filters</w:t>
      </w:r>
    </w:p>
    <w:p>
      <w:pPr>
        <w:spacing w:after="140" w:before="0" w:line="360"/>
        <w:jc w:val="both"/>
      </w:pPr>
      <w:r>
        <w:rPr>
          <w:rFonts w:ascii="Times New Roman" w:cs="Times New Roman" w:eastAsia="Times New Roman" w:hAnsi="Times New Roman"/>
          <w:b w:val="false"/>
          <w:bCs w:val="false"/>
          <w:i w:val="false"/>
          <w:iCs w:val="false"/>
          <w:sz w:val="24"/>
          <w:szCs w:val="24"/>
        </w:rPr>
        <w:t xml:space="preserve">Figure 4.3 maps Destination Country by flight count and ranks passenger volume. Validated passenger totals are Singapore </w:t>
      </w:r>
      <w:r>
        <w:rPr>
          <w:rFonts w:ascii="Times New Roman" w:cs="Times New Roman" w:eastAsia="Times New Roman" w:hAnsi="Times New Roman"/>
          <w:b/>
          <w:bCs/>
          <w:i w:val="false"/>
          <w:iCs w:val="false"/>
          <w:sz w:val="24"/>
          <w:szCs w:val="24"/>
        </w:rPr>
        <w:t xml:space="preserve">2,042</w:t>
      </w:r>
      <w:r>
        <w:rPr>
          <w:rFonts w:ascii="Times New Roman" w:cs="Times New Roman" w:eastAsia="Times New Roman" w:hAnsi="Times New Roman"/>
          <w:b w:val="false"/>
          <w:bCs w:val="false"/>
          <w:i w:val="false"/>
          <w:iCs w:val="false"/>
          <w:sz w:val="24"/>
          <w:szCs w:val="24"/>
        </w:rPr>
        <w:t xml:space="preserve"> (9 flights), Bangkok </w:t>
      </w:r>
      <w:r>
        <w:rPr>
          <w:rFonts w:ascii="Times New Roman" w:cs="Times New Roman" w:eastAsia="Times New Roman" w:hAnsi="Times New Roman"/>
          <w:b/>
          <w:bCs/>
          <w:i w:val="false"/>
          <w:iCs w:val="false"/>
          <w:sz w:val="24"/>
          <w:szCs w:val="24"/>
        </w:rPr>
        <w:t xml:space="preserve">1,764</w:t>
      </w:r>
      <w:r>
        <w:rPr>
          <w:rFonts w:ascii="Times New Roman" w:cs="Times New Roman" w:eastAsia="Times New Roman" w:hAnsi="Times New Roman"/>
          <w:b w:val="false"/>
          <w:bCs w:val="false"/>
          <w:i w:val="false"/>
          <w:iCs w:val="false"/>
          <w:sz w:val="24"/>
          <w:szCs w:val="24"/>
        </w:rPr>
        <w:t xml:space="preserve"> (8), Doha </w:t>
      </w:r>
      <w:r>
        <w:rPr>
          <w:rFonts w:ascii="Times New Roman" w:cs="Times New Roman" w:eastAsia="Times New Roman" w:hAnsi="Times New Roman"/>
          <w:b/>
          <w:bCs/>
          <w:i w:val="false"/>
          <w:iCs w:val="false"/>
          <w:sz w:val="24"/>
          <w:szCs w:val="24"/>
        </w:rPr>
        <w:t xml:space="preserve">1,461</w:t>
      </w:r>
      <w:r>
        <w:rPr>
          <w:rFonts w:ascii="Times New Roman" w:cs="Times New Roman" w:eastAsia="Times New Roman" w:hAnsi="Times New Roman"/>
          <w:b w:val="false"/>
          <w:bCs w:val="false"/>
          <w:i w:val="false"/>
          <w:iCs w:val="false"/>
          <w:sz w:val="24"/>
          <w:szCs w:val="24"/>
        </w:rPr>
        <w:t xml:space="preserve"> (6), Dubai </w:t>
      </w:r>
      <w:r>
        <w:rPr>
          <w:rFonts w:ascii="Times New Roman" w:cs="Times New Roman" w:eastAsia="Times New Roman" w:hAnsi="Times New Roman"/>
          <w:b/>
          <w:bCs/>
          <w:i w:val="false"/>
          <w:iCs w:val="false"/>
          <w:sz w:val="24"/>
          <w:szCs w:val="24"/>
        </w:rPr>
        <w:t xml:space="preserve">1,295</w:t>
      </w:r>
      <w:r>
        <w:rPr>
          <w:rFonts w:ascii="Times New Roman" w:cs="Times New Roman" w:eastAsia="Times New Roman" w:hAnsi="Times New Roman"/>
          <w:b w:val="false"/>
          <w:bCs w:val="false"/>
          <w:i w:val="false"/>
          <w:iCs w:val="false"/>
          <w:sz w:val="24"/>
          <w:szCs w:val="24"/>
        </w:rPr>
        <w:t xml:space="preserve"> (7), then Male, London, and Chennai. SMR location and queue-versus-taxi visuals support surface bottleneck checks; a detail table enables drill-through. Figure 4.4 shows Weather_Condition = Clear. Live filter validation returns </w:t>
      </w:r>
      <w:r>
        <w:rPr>
          <w:rFonts w:ascii="Times New Roman" w:cs="Times New Roman" w:eastAsia="Times New Roman" w:hAnsi="Times New Roman"/>
          <w:b/>
          <w:bCs/>
          <w:i w:val="false"/>
          <w:iCs w:val="false"/>
          <w:sz w:val="24"/>
          <w:szCs w:val="24"/>
        </w:rPr>
        <w:t xml:space="preserve">9</w:t>
      </w:r>
      <w:r>
        <w:rPr>
          <w:rFonts w:ascii="Times New Roman" w:cs="Times New Roman" w:eastAsia="Times New Roman" w:hAnsi="Times New Roman"/>
          <w:b w:val="false"/>
          <w:bCs w:val="false"/>
          <w:i w:val="false"/>
          <w:iCs w:val="false"/>
          <w:sz w:val="24"/>
          <w:szCs w:val="24"/>
        </w:rPr>
        <w:t xml:space="preserve"> flights and </w:t>
      </w:r>
      <w:r>
        <w:rPr>
          <w:rFonts w:ascii="Times New Roman" w:cs="Times New Roman" w:eastAsia="Times New Roman" w:hAnsi="Times New Roman"/>
          <w:b/>
          <w:bCs/>
          <w:i w:val="false"/>
          <w:iCs w:val="false"/>
          <w:sz w:val="24"/>
          <w:szCs w:val="24"/>
        </w:rPr>
        <w:t xml:space="preserve">2,236</w:t>
      </w:r>
      <w:r>
        <w:rPr>
          <w:rFonts w:ascii="Times New Roman" w:cs="Times New Roman" w:eastAsia="Times New Roman" w:hAnsi="Times New Roman"/>
          <w:b w:val="false"/>
          <w:bCs w:val="false"/>
          <w:i w:val="false"/>
          <w:iCs w:val="false"/>
          <w:sz w:val="24"/>
          <w:szCs w:val="24"/>
        </w:rPr>
        <w:t xml:space="preserve"> passengers (Storm 14/3,044; Fog 10/2,169; Rain 7/1,525), proving interactive model-driven filtering rather than static images.</w:t>
      </w:r>
    </w:p>
    <w:p>
      <w:pPr>
        <w:spacing w:after="40" w:before="100"/>
        <w:jc w:val="center"/>
      </w:pPr>
      <w:r>
        <w:drawing>
          <wp:inline distT="0" distB="0" distL="0" distR="0">
            <wp:extent cx="5048250" cy="2438400"/>
            <wp:effectExtent t="0" r="0" b="0" l="0"/>
            <wp:docPr id="1" name="taskd_03_international_traffic.png" descr="taskd_03_international_traffic.png" title="taskd_03_international_traff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48250" cy="2438400"/>
                    </a:xfrm>
                    <a:prstGeom prst="rect">
                      <a:avLst/>
                    </a:prstGeom>
                  </pic:spPr>
                </pic:pic>
              </a:graphicData>
            </a:graphic>
          </wp:inline>
        </w:drawing>
      </w:r>
    </w:p>
    <w:p>
      <w:pPr>
        <w:spacing w:after="160" w:before="60" w:line="360"/>
        <w:jc w:val="center"/>
      </w:pPr>
      <w:r>
        <w:rPr>
          <w:rFonts w:ascii="Times New Roman" w:cs="Times New Roman" w:eastAsia="Times New Roman" w:hAnsi="Times New Roman"/>
          <w:b w:val="false"/>
          <w:bCs w:val="false"/>
          <w:i/>
          <w:iCs/>
          <w:sz w:val="20"/>
          <w:szCs w:val="20"/>
        </w:rPr>
        <w:t xml:space="preserve">Figure 4.3 International Traffic page: map, passenger ranking, SMR, queue scatter, and slicers.</w:t>
      </w:r>
    </w:p>
    <w:p>
      <w:pPr>
        <w:spacing w:after="40" w:before="100"/>
        <w:jc w:val="center"/>
      </w:pPr>
      <w:r>
        <w:drawing>
          <wp:inline distT="0" distB="0" distL="0" distR="0">
            <wp:extent cx="5048250" cy="2438400"/>
            <wp:effectExtent t="0" r="0" b="0" l="0"/>
            <wp:docPr id="1" name="taskd_04_weather_clear_filter.png" descr="taskd_04_weather_clear_filter.png" title="taskd_04_weather_clear_fil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48250" cy="2438400"/>
                    </a:xfrm>
                    <a:prstGeom prst="rect">
                      <a:avLst/>
                    </a:prstGeom>
                  </pic:spPr>
                </pic:pic>
              </a:graphicData>
            </a:graphic>
          </wp:inline>
        </w:drawing>
      </w:r>
    </w:p>
    <w:p>
      <w:pPr>
        <w:spacing w:after="160" w:before="60" w:line="360"/>
        <w:jc w:val="center"/>
      </w:pPr>
      <w:r>
        <w:rPr>
          <w:rFonts w:ascii="Times New Roman" w:cs="Times New Roman" w:eastAsia="Times New Roman" w:hAnsi="Times New Roman"/>
          <w:b w:val="false"/>
          <w:bCs w:val="false"/>
          <w:i/>
          <w:iCs/>
          <w:sz w:val="20"/>
          <w:szCs w:val="20"/>
        </w:rPr>
        <w:t xml:space="preserve">Figure 4.4 International Traffic with Weather_Condition = Clear (9 flights; 2,236 passengers).</w:t>
      </w:r>
    </w:p>
    <w:p>
      <w:pPr>
        <w:pStyle w:val="Heading2"/>
        <w:spacing w:after="120" w:before="220" w:line="360"/>
      </w:pPr>
      <w:r>
        <w:rPr>
          <w:rFonts w:ascii="Times New Roman" w:cs="Times New Roman" w:eastAsia="Times New Roman" w:hAnsi="Times New Roman"/>
          <w:b/>
          <w:bCs/>
          <w:i w:val="false"/>
          <w:iCs w:val="false"/>
          <w:sz w:val="26"/>
          <w:szCs w:val="26"/>
        </w:rPr>
        <w:t xml:space="preserve">4.7 Implementation evidence</w:t>
      </w:r>
    </w:p>
    <w:p>
      <w:pPr>
        <w:spacing w:after="140" w:before="0" w:line="360"/>
        <w:jc w:val="both"/>
      </w:pPr>
      <w:r>
        <w:rPr>
          <w:rFonts w:ascii="Times New Roman" w:cs="Times New Roman" w:eastAsia="Times New Roman" w:hAnsi="Times New Roman"/>
          <w:b w:val="false"/>
          <w:bCs w:val="false"/>
          <w:i w:val="false"/>
          <w:iCs w:val="false"/>
          <w:sz w:val="24"/>
          <w:szCs w:val="24"/>
        </w:rPr>
        <w:t xml:space="preserve">Figure 4.5 shows Table view of imported BIA_CMB rows (Flight_ID, Airline, Route, schedule, gate, terminal, runway, status, delay), confirming visuals bind to cleaned data. Deliverables include a Power BI Project (PBIP) with TMDL model and report definition, a saved .pbix package, cleaned CSV, DAX specification, and screenshot appendix evidence.</w:t>
      </w:r>
    </w:p>
    <w:p>
      <w:pPr>
        <w:spacing w:after="40" w:before="100"/>
        <w:jc w:val="center"/>
      </w:pPr>
      <w:r>
        <w:drawing>
          <wp:inline distT="0" distB="0" distL="0" distR="0">
            <wp:extent cx="5048250" cy="2438400"/>
            <wp:effectExtent t="0" r="0" b="0" l="0"/>
            <wp:docPr id="1" name="taskd_06_tableview_data.png" descr="taskd_06_tableview_data.png" title="taskd_06_tableview_d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48250" cy="2438400"/>
                    </a:xfrm>
                    <a:prstGeom prst="rect">
                      <a:avLst/>
                    </a:prstGeom>
                  </pic:spPr>
                </pic:pic>
              </a:graphicData>
            </a:graphic>
          </wp:inline>
        </w:drawing>
      </w:r>
    </w:p>
    <w:p>
      <w:pPr>
        <w:spacing w:after="160" w:before="60" w:line="360"/>
        <w:jc w:val="center"/>
      </w:pPr>
      <w:r>
        <w:rPr>
          <w:rFonts w:ascii="Times New Roman" w:cs="Times New Roman" w:eastAsia="Times New Roman" w:hAnsi="Times New Roman"/>
          <w:b w:val="false"/>
          <w:bCs w:val="false"/>
          <w:i/>
          <w:iCs/>
          <w:sz w:val="20"/>
          <w:szCs w:val="20"/>
        </w:rPr>
        <w:t xml:space="preserve">Figure 4.5 Table view of cleaned BIA_CMB data in the Power BI semantic model.</w:t>
      </w:r>
    </w:p>
    <w:p>
      <w:pPr>
        <w:spacing w:after="60" w:before="160"/>
        <w:jc w:val="center"/>
      </w:pPr>
      <w:r>
        <w:rPr>
          <w:rFonts w:ascii="Times New Roman" w:cs="Times New Roman" w:eastAsia="Times New Roman" w:hAnsi="Times New Roman"/>
          <w:b/>
          <w:bCs/>
          <w:i w:val="false"/>
          <w:iCs w:val="false"/>
          <w:sz w:val="20"/>
          <w:szCs w:val="20"/>
        </w:rPr>
        <w:t xml:space="preserve">Table 4.1 Validated headline KPIs (live DAX)</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5200"/>
        <w:gridCol w:w="3106"/>
      </w:tblGrid>
      <w:tr>
        <w:tc>
          <w:tcPr>
            <w:tcW w:type="dxa" w:w="5200"/>
            <w:tcBorders>
              <w:top w:val="single" w:color="666666" w:sz="4"/>
              <w:left w:val="single" w:color="666666" w:sz="4"/>
              <w:bottom w:val="single" w:color="666666" w:sz="4"/>
              <w:right w:val="single" w:color="666666" w:sz="4"/>
            </w:tcBorders>
            <w:shd w:fill="D9E2F3" w:val="clear"/>
            <w:vAlign w:val="center"/>
          </w:tcPr>
          <w:p>
            <w:pPr>
              <w:spacing w:after="40" w:before="40" w:line="276"/>
              <w:jc w:val="center"/>
            </w:pPr>
            <w:r>
              <w:rPr>
                <w:rFonts w:ascii="Times New Roman" w:cs="Times New Roman" w:eastAsia="Times New Roman" w:hAnsi="Times New Roman"/>
                <w:b/>
                <w:bCs/>
                <w:i w:val="false"/>
                <w:iCs w:val="false"/>
                <w:sz w:val="20"/>
                <w:szCs w:val="20"/>
              </w:rPr>
              <w:t xml:space="preserve">Measure</w:t>
            </w:r>
          </w:p>
        </w:tc>
        <w:tc>
          <w:tcPr>
            <w:tcW w:type="dxa" w:w="3106"/>
            <w:tcBorders>
              <w:top w:val="single" w:color="666666" w:sz="4"/>
              <w:left w:val="single" w:color="666666" w:sz="4"/>
              <w:bottom w:val="single" w:color="666666" w:sz="4"/>
              <w:right w:val="single" w:color="666666" w:sz="4"/>
            </w:tcBorders>
            <w:shd w:fill="D9E2F3" w:val="clear"/>
            <w:vAlign w:val="center"/>
          </w:tcPr>
          <w:p>
            <w:pPr>
              <w:spacing w:after="40" w:before="40" w:line="276"/>
              <w:jc w:val="center"/>
            </w:pPr>
            <w:r>
              <w:rPr>
                <w:rFonts w:ascii="Times New Roman" w:cs="Times New Roman" w:eastAsia="Times New Roman" w:hAnsi="Times New Roman"/>
                <w:b/>
                <w:bCs/>
                <w:i w:val="false"/>
                <w:iCs w:val="false"/>
                <w:sz w:val="20"/>
                <w:szCs w:val="20"/>
              </w:rPr>
              <w:t xml:space="preserve">Result</w:t>
            </w:r>
          </w:p>
        </w:tc>
      </w:tr>
      <w:tr>
        <w:tc>
          <w:tcPr>
            <w:tcW w:type="dxa" w:w="5200"/>
            <w:tcBorders>
              <w:top w:val="single" w:color="666666" w:sz="4"/>
              <w:left w:val="single" w:color="666666" w:sz="4"/>
              <w:bottom w:val="single" w:color="666666" w:sz="4"/>
              <w:right w:val="single" w:color="666666" w:sz="4"/>
            </w:tcBorders>
            <w:vAlign w:val="center"/>
          </w:tcPr>
          <w:p>
            <w:pPr>
              <w:spacing w:after="40" w:before="40" w:line="276"/>
              <w:jc w:val="left"/>
            </w:pPr>
            <w:r>
              <w:rPr>
                <w:rFonts w:ascii="Times New Roman" w:cs="Times New Roman" w:eastAsia="Times New Roman" w:hAnsi="Times New Roman"/>
                <w:b w:val="false"/>
                <w:bCs w:val="false"/>
                <w:i w:val="false"/>
                <w:iCs w:val="false"/>
                <w:sz w:val="20"/>
                <w:szCs w:val="20"/>
              </w:rPr>
              <w:t xml:space="preserve">Total Flights</w:t>
            </w:r>
          </w:p>
        </w:tc>
        <w:tc>
          <w:tcPr>
            <w:tcW w:type="dxa" w:w="3106"/>
            <w:tcBorders>
              <w:top w:val="single" w:color="666666" w:sz="4"/>
              <w:left w:val="single" w:color="666666" w:sz="4"/>
              <w:bottom w:val="single" w:color="666666" w:sz="4"/>
              <w:right w:val="single" w:color="666666" w:sz="4"/>
            </w:tcBorders>
            <w:vAlign w:val="cente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40</w:t>
            </w:r>
          </w:p>
        </w:tc>
      </w:tr>
      <w:tr>
        <w:tc>
          <w:tcPr>
            <w:tcW w:type="dxa" w:w="5200"/>
            <w:tcBorders>
              <w:top w:val="single" w:color="666666" w:sz="4"/>
              <w:left w:val="single" w:color="666666" w:sz="4"/>
              <w:bottom w:val="single" w:color="666666" w:sz="4"/>
              <w:right w:val="single" w:color="666666" w:sz="4"/>
            </w:tcBorders>
            <w:vAlign w:val="center"/>
          </w:tcPr>
          <w:p>
            <w:pPr>
              <w:spacing w:after="40" w:before="40" w:line="276"/>
              <w:jc w:val="left"/>
            </w:pPr>
            <w:r>
              <w:rPr>
                <w:rFonts w:ascii="Times New Roman" w:cs="Times New Roman" w:eastAsia="Times New Roman" w:hAnsi="Times New Roman"/>
                <w:b w:val="false"/>
                <w:bCs w:val="false"/>
                <w:i w:val="false"/>
                <w:iCs w:val="false"/>
                <w:sz w:val="20"/>
                <w:szCs w:val="20"/>
              </w:rPr>
              <w:t xml:space="preserve">Arrivals / Departures</w:t>
            </w:r>
          </w:p>
        </w:tc>
        <w:tc>
          <w:tcPr>
            <w:tcW w:type="dxa" w:w="3106"/>
            <w:tcBorders>
              <w:top w:val="single" w:color="666666" w:sz="4"/>
              <w:left w:val="single" w:color="666666" w:sz="4"/>
              <w:bottom w:val="single" w:color="666666" w:sz="4"/>
              <w:right w:val="single" w:color="666666" w:sz="4"/>
            </w:tcBorders>
            <w:vAlign w:val="cente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18 / 22</w:t>
            </w:r>
          </w:p>
        </w:tc>
      </w:tr>
      <w:tr>
        <w:tc>
          <w:tcPr>
            <w:tcW w:type="dxa" w:w="5200"/>
            <w:tcBorders>
              <w:top w:val="single" w:color="666666" w:sz="4"/>
              <w:left w:val="single" w:color="666666" w:sz="4"/>
              <w:bottom w:val="single" w:color="666666" w:sz="4"/>
              <w:right w:val="single" w:color="666666" w:sz="4"/>
            </w:tcBorders>
            <w:vAlign w:val="center"/>
          </w:tcPr>
          <w:p>
            <w:pPr>
              <w:spacing w:after="40" w:before="40" w:line="276"/>
              <w:jc w:val="left"/>
            </w:pPr>
            <w:r>
              <w:rPr>
                <w:rFonts w:ascii="Times New Roman" w:cs="Times New Roman" w:eastAsia="Times New Roman" w:hAnsi="Times New Roman"/>
                <w:b w:val="false"/>
                <w:bCs w:val="false"/>
                <w:i w:val="false"/>
                <w:iCs w:val="false"/>
                <w:sz w:val="20"/>
                <w:szCs w:val="20"/>
              </w:rPr>
              <w:t xml:space="preserve">Delayed / On-Time</w:t>
            </w:r>
          </w:p>
        </w:tc>
        <w:tc>
          <w:tcPr>
            <w:tcW w:type="dxa" w:w="3106"/>
            <w:tcBorders>
              <w:top w:val="single" w:color="666666" w:sz="4"/>
              <w:left w:val="single" w:color="666666" w:sz="4"/>
              <w:bottom w:val="single" w:color="666666" w:sz="4"/>
              <w:right w:val="single" w:color="666666" w:sz="4"/>
            </w:tcBorders>
            <w:vAlign w:val="cente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9 / 6</w:t>
            </w:r>
          </w:p>
        </w:tc>
      </w:tr>
      <w:tr>
        <w:tc>
          <w:tcPr>
            <w:tcW w:type="dxa" w:w="5200"/>
            <w:tcBorders>
              <w:top w:val="single" w:color="666666" w:sz="4"/>
              <w:left w:val="single" w:color="666666" w:sz="4"/>
              <w:bottom w:val="single" w:color="666666" w:sz="4"/>
              <w:right w:val="single" w:color="666666" w:sz="4"/>
            </w:tcBorders>
            <w:vAlign w:val="center"/>
          </w:tcPr>
          <w:p>
            <w:pPr>
              <w:spacing w:after="40" w:before="40" w:line="276"/>
              <w:jc w:val="left"/>
            </w:pPr>
            <w:r>
              <w:rPr>
                <w:rFonts w:ascii="Times New Roman" w:cs="Times New Roman" w:eastAsia="Times New Roman" w:hAnsi="Times New Roman"/>
                <w:b w:val="false"/>
                <w:bCs w:val="false"/>
                <w:i w:val="false"/>
                <w:iCs w:val="false"/>
                <w:sz w:val="20"/>
                <w:szCs w:val="20"/>
              </w:rPr>
              <w:t xml:space="preserve">Critical / Warning alerts</w:t>
            </w:r>
          </w:p>
        </w:tc>
        <w:tc>
          <w:tcPr>
            <w:tcW w:type="dxa" w:w="3106"/>
            <w:tcBorders>
              <w:top w:val="single" w:color="666666" w:sz="4"/>
              <w:left w:val="single" w:color="666666" w:sz="4"/>
              <w:bottom w:val="single" w:color="666666" w:sz="4"/>
              <w:right w:val="single" w:color="666666" w:sz="4"/>
            </w:tcBorders>
            <w:vAlign w:val="cente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13 / 11</w:t>
            </w:r>
          </w:p>
        </w:tc>
      </w:tr>
      <w:tr>
        <w:tc>
          <w:tcPr>
            <w:tcW w:type="dxa" w:w="5200"/>
            <w:tcBorders>
              <w:top w:val="single" w:color="666666" w:sz="4"/>
              <w:left w:val="single" w:color="666666" w:sz="4"/>
              <w:bottom w:val="single" w:color="666666" w:sz="4"/>
              <w:right w:val="single" w:color="666666" w:sz="4"/>
            </w:tcBorders>
            <w:vAlign w:val="center"/>
          </w:tcPr>
          <w:p>
            <w:pPr>
              <w:spacing w:after="40" w:before="40" w:line="276"/>
              <w:jc w:val="left"/>
            </w:pPr>
            <w:r>
              <w:rPr>
                <w:rFonts w:ascii="Times New Roman" w:cs="Times New Roman" w:eastAsia="Times New Roman" w:hAnsi="Times New Roman"/>
                <w:b w:val="false"/>
                <w:bCs w:val="false"/>
                <w:i w:val="false"/>
                <w:iCs w:val="false"/>
                <w:sz w:val="20"/>
                <w:szCs w:val="20"/>
              </w:rPr>
              <w:t xml:space="preserve">Total Passengers</w:t>
            </w:r>
          </w:p>
        </w:tc>
        <w:tc>
          <w:tcPr>
            <w:tcW w:type="dxa" w:w="3106"/>
            <w:tcBorders>
              <w:top w:val="single" w:color="666666" w:sz="4"/>
              <w:left w:val="single" w:color="666666" w:sz="4"/>
              <w:bottom w:val="single" w:color="666666" w:sz="4"/>
              <w:right w:val="single" w:color="666666" w:sz="4"/>
            </w:tcBorders>
            <w:vAlign w:val="cente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8,974</w:t>
            </w:r>
          </w:p>
        </w:tc>
      </w:tr>
      <w:tr>
        <w:tc>
          <w:tcPr>
            <w:tcW w:type="dxa" w:w="5200"/>
            <w:tcBorders>
              <w:top w:val="single" w:color="666666" w:sz="4"/>
              <w:left w:val="single" w:color="666666" w:sz="4"/>
              <w:bottom w:val="single" w:color="666666" w:sz="4"/>
              <w:right w:val="single" w:color="666666" w:sz="4"/>
            </w:tcBorders>
            <w:vAlign w:val="center"/>
          </w:tcPr>
          <w:p>
            <w:pPr>
              <w:spacing w:after="40" w:before="40" w:line="276"/>
              <w:jc w:val="left"/>
            </w:pPr>
            <w:r>
              <w:rPr>
                <w:rFonts w:ascii="Times New Roman" w:cs="Times New Roman" w:eastAsia="Times New Roman" w:hAnsi="Times New Roman"/>
                <w:b w:val="false"/>
                <w:bCs w:val="false"/>
                <w:i w:val="false"/>
                <w:iCs w:val="false"/>
                <w:sz w:val="20"/>
                <w:szCs w:val="20"/>
              </w:rPr>
              <w:t xml:space="preserve">Average Load Factor (%)</w:t>
            </w:r>
          </w:p>
        </w:tc>
        <w:tc>
          <w:tcPr>
            <w:tcW w:type="dxa" w:w="3106"/>
            <w:tcBorders>
              <w:top w:val="single" w:color="666666" w:sz="4"/>
              <w:left w:val="single" w:color="666666" w:sz="4"/>
              <w:bottom w:val="single" w:color="666666" w:sz="4"/>
              <w:right w:val="single" w:color="666666" w:sz="4"/>
            </w:tcBorders>
            <w:vAlign w:val="cente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82.2</w:t>
            </w:r>
          </w:p>
        </w:tc>
      </w:tr>
      <w:tr>
        <w:tc>
          <w:tcPr>
            <w:tcW w:type="dxa" w:w="5200"/>
            <w:tcBorders>
              <w:top w:val="single" w:color="666666" w:sz="4"/>
              <w:left w:val="single" w:color="666666" w:sz="4"/>
              <w:bottom w:val="single" w:color="666666" w:sz="4"/>
              <w:right w:val="single" w:color="666666" w:sz="4"/>
            </w:tcBorders>
            <w:vAlign w:val="center"/>
          </w:tcPr>
          <w:p>
            <w:pPr>
              <w:spacing w:after="40" w:before="40" w:line="276"/>
              <w:jc w:val="left"/>
            </w:pPr>
            <w:r>
              <w:rPr>
                <w:rFonts w:ascii="Times New Roman" w:cs="Times New Roman" w:eastAsia="Times New Roman" w:hAnsi="Times New Roman"/>
                <w:b w:val="false"/>
                <w:bCs w:val="false"/>
                <w:i w:val="false"/>
                <w:iCs w:val="false"/>
                <w:sz w:val="20"/>
                <w:szCs w:val="20"/>
              </w:rPr>
              <w:t xml:space="preserve">Average Delay (minutes)</w:t>
            </w:r>
          </w:p>
        </w:tc>
        <w:tc>
          <w:tcPr>
            <w:tcW w:type="dxa" w:w="3106"/>
            <w:tcBorders>
              <w:top w:val="single" w:color="666666" w:sz="4"/>
              <w:left w:val="single" w:color="666666" w:sz="4"/>
              <w:bottom w:val="single" w:color="666666" w:sz="4"/>
              <w:right w:val="single" w:color="666666" w:sz="4"/>
            </w:tcBorders>
            <w:vAlign w:val="cente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31.4</w:t>
            </w:r>
          </w:p>
        </w:tc>
      </w:tr>
    </w:tbl>
    <w:p>
      <w:pPr>
        <w:spacing w:after="160"/>
      </w:pPr>
    </w:p>
    <w:p>
      <w:pPr>
        <w:spacing w:after="60" w:before="80"/>
        <w:jc w:val="center"/>
      </w:pPr>
      <w:r>
        <w:rPr>
          <w:rFonts w:ascii="Times New Roman" w:cs="Times New Roman" w:eastAsia="Times New Roman" w:hAnsi="Times New Roman"/>
          <w:b/>
          <w:bCs/>
          <w:i w:val="false"/>
          <w:iCs w:val="false"/>
          <w:sz w:val="20"/>
          <w:szCs w:val="20"/>
        </w:rPr>
        <w:t xml:space="preserve">Table 4.2 Destination Country passenger ranking</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2706"/>
      </w:tblGrid>
      <w:tr>
        <w:tc>
          <w:tcPr>
            <w:tcW w:type="dxa" w:w="3600"/>
            <w:tcBorders>
              <w:top w:val="single" w:color="666666" w:sz="4"/>
              <w:left w:val="single" w:color="666666" w:sz="4"/>
              <w:bottom w:val="single" w:color="666666" w:sz="4"/>
              <w:right w:val="single" w:color="666666" w:sz="4"/>
            </w:tcBorders>
            <w:shd w:fill="D9E2F3" w:val="clear"/>
            <w:vAlign w:val="center"/>
          </w:tcPr>
          <w:p>
            <w:pPr>
              <w:spacing w:after="40" w:before="40" w:line="276"/>
              <w:jc w:val="center"/>
            </w:pPr>
            <w:r>
              <w:rPr>
                <w:rFonts w:ascii="Times New Roman" w:cs="Times New Roman" w:eastAsia="Times New Roman" w:hAnsi="Times New Roman"/>
                <w:b/>
                <w:bCs/>
                <w:i w:val="false"/>
                <w:iCs w:val="false"/>
                <w:sz w:val="20"/>
                <w:szCs w:val="20"/>
              </w:rPr>
              <w:t xml:space="preserve">Destination</w:t>
            </w:r>
          </w:p>
        </w:tc>
        <w:tc>
          <w:tcPr>
            <w:tcW w:type="dxa" w:w="2000"/>
            <w:tcBorders>
              <w:top w:val="single" w:color="666666" w:sz="4"/>
              <w:left w:val="single" w:color="666666" w:sz="4"/>
              <w:bottom w:val="single" w:color="666666" w:sz="4"/>
              <w:right w:val="single" w:color="666666" w:sz="4"/>
            </w:tcBorders>
            <w:shd w:fill="D9E2F3" w:val="clear"/>
            <w:vAlign w:val="center"/>
          </w:tcPr>
          <w:p>
            <w:pPr>
              <w:spacing w:after="40" w:before="40" w:line="276"/>
              <w:jc w:val="center"/>
            </w:pPr>
            <w:r>
              <w:rPr>
                <w:rFonts w:ascii="Times New Roman" w:cs="Times New Roman" w:eastAsia="Times New Roman" w:hAnsi="Times New Roman"/>
                <w:b/>
                <w:bCs/>
                <w:i w:val="false"/>
                <w:iCs w:val="false"/>
                <w:sz w:val="20"/>
                <w:szCs w:val="20"/>
              </w:rPr>
              <w:t xml:space="preserve">Flights</w:t>
            </w:r>
          </w:p>
        </w:tc>
        <w:tc>
          <w:tcPr>
            <w:tcW w:type="dxa" w:w="2706"/>
            <w:tcBorders>
              <w:top w:val="single" w:color="666666" w:sz="4"/>
              <w:left w:val="single" w:color="666666" w:sz="4"/>
              <w:bottom w:val="single" w:color="666666" w:sz="4"/>
              <w:right w:val="single" w:color="666666" w:sz="4"/>
            </w:tcBorders>
            <w:shd w:fill="D9E2F3" w:val="clear"/>
            <w:vAlign w:val="center"/>
          </w:tcPr>
          <w:p>
            <w:pPr>
              <w:spacing w:after="40" w:before="40" w:line="276"/>
              <w:jc w:val="center"/>
            </w:pPr>
            <w:r>
              <w:rPr>
                <w:rFonts w:ascii="Times New Roman" w:cs="Times New Roman" w:eastAsia="Times New Roman" w:hAnsi="Times New Roman"/>
                <w:b/>
                <w:bCs/>
                <w:i w:val="false"/>
                <w:iCs w:val="false"/>
                <w:sz w:val="20"/>
                <w:szCs w:val="20"/>
              </w:rPr>
              <w:t xml:space="preserve">Passengers</w:t>
            </w:r>
          </w:p>
        </w:tc>
      </w:tr>
      <w:tr>
        <w:tc>
          <w:tcPr>
            <w:tcW w:type="dxa" w:w="3600"/>
            <w:tcBorders>
              <w:top w:val="single" w:color="666666" w:sz="4"/>
              <w:left w:val="single" w:color="666666" w:sz="4"/>
              <w:bottom w:val="single" w:color="666666" w:sz="4"/>
              <w:right w:val="single" w:color="666666" w:sz="4"/>
            </w:tcBorders>
            <w:vAlign w:val="center"/>
          </w:tcPr>
          <w:p>
            <w:pPr>
              <w:spacing w:after="40" w:before="40" w:line="276"/>
              <w:jc w:val="left"/>
            </w:pPr>
            <w:r>
              <w:rPr>
                <w:rFonts w:ascii="Times New Roman" w:cs="Times New Roman" w:eastAsia="Times New Roman" w:hAnsi="Times New Roman"/>
                <w:b w:val="false"/>
                <w:bCs w:val="false"/>
                <w:i w:val="false"/>
                <w:iCs w:val="false"/>
                <w:sz w:val="20"/>
                <w:szCs w:val="20"/>
              </w:rPr>
              <w:t xml:space="preserve">Singapore</w:t>
            </w:r>
          </w:p>
        </w:tc>
        <w:tc>
          <w:tcPr>
            <w:tcW w:type="dxa" w:w="2000"/>
            <w:tcBorders>
              <w:top w:val="single" w:color="666666" w:sz="4"/>
              <w:left w:val="single" w:color="666666" w:sz="4"/>
              <w:bottom w:val="single" w:color="666666" w:sz="4"/>
              <w:right w:val="single" w:color="666666" w:sz="4"/>
            </w:tcBorders>
            <w:vAlign w:val="cente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9</w:t>
            </w:r>
          </w:p>
        </w:tc>
        <w:tc>
          <w:tcPr>
            <w:tcW w:type="dxa" w:w="2706"/>
            <w:tcBorders>
              <w:top w:val="single" w:color="666666" w:sz="4"/>
              <w:left w:val="single" w:color="666666" w:sz="4"/>
              <w:bottom w:val="single" w:color="666666" w:sz="4"/>
              <w:right w:val="single" w:color="666666" w:sz="4"/>
            </w:tcBorders>
            <w:vAlign w:val="cente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2,042</w:t>
            </w:r>
          </w:p>
        </w:tc>
      </w:tr>
      <w:tr>
        <w:tc>
          <w:tcPr>
            <w:tcW w:type="dxa" w:w="3600"/>
            <w:tcBorders>
              <w:top w:val="single" w:color="666666" w:sz="4"/>
              <w:left w:val="single" w:color="666666" w:sz="4"/>
              <w:bottom w:val="single" w:color="666666" w:sz="4"/>
              <w:right w:val="single" w:color="666666" w:sz="4"/>
            </w:tcBorders>
            <w:vAlign w:val="center"/>
          </w:tcPr>
          <w:p>
            <w:pPr>
              <w:spacing w:after="40" w:before="40" w:line="276"/>
              <w:jc w:val="left"/>
            </w:pPr>
            <w:r>
              <w:rPr>
                <w:rFonts w:ascii="Times New Roman" w:cs="Times New Roman" w:eastAsia="Times New Roman" w:hAnsi="Times New Roman"/>
                <w:b w:val="false"/>
                <w:bCs w:val="false"/>
                <w:i w:val="false"/>
                <w:iCs w:val="false"/>
                <w:sz w:val="20"/>
                <w:szCs w:val="20"/>
              </w:rPr>
              <w:t xml:space="preserve">Bangkok</w:t>
            </w:r>
          </w:p>
        </w:tc>
        <w:tc>
          <w:tcPr>
            <w:tcW w:type="dxa" w:w="2000"/>
            <w:tcBorders>
              <w:top w:val="single" w:color="666666" w:sz="4"/>
              <w:left w:val="single" w:color="666666" w:sz="4"/>
              <w:bottom w:val="single" w:color="666666" w:sz="4"/>
              <w:right w:val="single" w:color="666666" w:sz="4"/>
            </w:tcBorders>
            <w:vAlign w:val="cente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8</w:t>
            </w:r>
          </w:p>
        </w:tc>
        <w:tc>
          <w:tcPr>
            <w:tcW w:type="dxa" w:w="2706"/>
            <w:tcBorders>
              <w:top w:val="single" w:color="666666" w:sz="4"/>
              <w:left w:val="single" w:color="666666" w:sz="4"/>
              <w:bottom w:val="single" w:color="666666" w:sz="4"/>
              <w:right w:val="single" w:color="666666" w:sz="4"/>
            </w:tcBorders>
            <w:vAlign w:val="cente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1,764</w:t>
            </w:r>
          </w:p>
        </w:tc>
      </w:tr>
      <w:tr>
        <w:tc>
          <w:tcPr>
            <w:tcW w:type="dxa" w:w="3600"/>
            <w:tcBorders>
              <w:top w:val="single" w:color="666666" w:sz="4"/>
              <w:left w:val="single" w:color="666666" w:sz="4"/>
              <w:bottom w:val="single" w:color="666666" w:sz="4"/>
              <w:right w:val="single" w:color="666666" w:sz="4"/>
            </w:tcBorders>
            <w:vAlign w:val="center"/>
          </w:tcPr>
          <w:p>
            <w:pPr>
              <w:spacing w:after="40" w:before="40" w:line="276"/>
              <w:jc w:val="left"/>
            </w:pPr>
            <w:r>
              <w:rPr>
                <w:rFonts w:ascii="Times New Roman" w:cs="Times New Roman" w:eastAsia="Times New Roman" w:hAnsi="Times New Roman"/>
                <w:b w:val="false"/>
                <w:bCs w:val="false"/>
                <w:i w:val="false"/>
                <w:iCs w:val="false"/>
                <w:sz w:val="20"/>
                <w:szCs w:val="20"/>
              </w:rPr>
              <w:t xml:space="preserve">Doha</w:t>
            </w:r>
          </w:p>
        </w:tc>
        <w:tc>
          <w:tcPr>
            <w:tcW w:type="dxa" w:w="2000"/>
            <w:tcBorders>
              <w:top w:val="single" w:color="666666" w:sz="4"/>
              <w:left w:val="single" w:color="666666" w:sz="4"/>
              <w:bottom w:val="single" w:color="666666" w:sz="4"/>
              <w:right w:val="single" w:color="666666" w:sz="4"/>
            </w:tcBorders>
            <w:vAlign w:val="cente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6</w:t>
            </w:r>
          </w:p>
        </w:tc>
        <w:tc>
          <w:tcPr>
            <w:tcW w:type="dxa" w:w="2706"/>
            <w:tcBorders>
              <w:top w:val="single" w:color="666666" w:sz="4"/>
              <w:left w:val="single" w:color="666666" w:sz="4"/>
              <w:bottom w:val="single" w:color="666666" w:sz="4"/>
              <w:right w:val="single" w:color="666666" w:sz="4"/>
            </w:tcBorders>
            <w:vAlign w:val="cente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1,461</w:t>
            </w:r>
          </w:p>
        </w:tc>
      </w:tr>
      <w:tr>
        <w:tc>
          <w:tcPr>
            <w:tcW w:type="dxa" w:w="3600"/>
            <w:tcBorders>
              <w:top w:val="single" w:color="666666" w:sz="4"/>
              <w:left w:val="single" w:color="666666" w:sz="4"/>
              <w:bottom w:val="single" w:color="666666" w:sz="4"/>
              <w:right w:val="single" w:color="666666" w:sz="4"/>
            </w:tcBorders>
            <w:vAlign w:val="center"/>
          </w:tcPr>
          <w:p>
            <w:pPr>
              <w:spacing w:after="40" w:before="40" w:line="276"/>
              <w:jc w:val="left"/>
            </w:pPr>
            <w:r>
              <w:rPr>
                <w:rFonts w:ascii="Times New Roman" w:cs="Times New Roman" w:eastAsia="Times New Roman" w:hAnsi="Times New Roman"/>
                <w:b w:val="false"/>
                <w:bCs w:val="false"/>
                <w:i w:val="false"/>
                <w:iCs w:val="false"/>
                <w:sz w:val="20"/>
                <w:szCs w:val="20"/>
              </w:rPr>
              <w:t xml:space="preserve">Dubai</w:t>
            </w:r>
          </w:p>
        </w:tc>
        <w:tc>
          <w:tcPr>
            <w:tcW w:type="dxa" w:w="2000"/>
            <w:tcBorders>
              <w:top w:val="single" w:color="666666" w:sz="4"/>
              <w:left w:val="single" w:color="666666" w:sz="4"/>
              <w:bottom w:val="single" w:color="666666" w:sz="4"/>
              <w:right w:val="single" w:color="666666" w:sz="4"/>
            </w:tcBorders>
            <w:vAlign w:val="cente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7</w:t>
            </w:r>
          </w:p>
        </w:tc>
        <w:tc>
          <w:tcPr>
            <w:tcW w:type="dxa" w:w="2706"/>
            <w:tcBorders>
              <w:top w:val="single" w:color="666666" w:sz="4"/>
              <w:left w:val="single" w:color="666666" w:sz="4"/>
              <w:bottom w:val="single" w:color="666666" w:sz="4"/>
              <w:right w:val="single" w:color="666666" w:sz="4"/>
            </w:tcBorders>
            <w:vAlign w:val="cente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1,295</w:t>
            </w:r>
          </w:p>
        </w:tc>
      </w:tr>
      <w:tr>
        <w:tc>
          <w:tcPr>
            <w:tcW w:type="dxa" w:w="3600"/>
            <w:tcBorders>
              <w:top w:val="single" w:color="666666" w:sz="4"/>
              <w:left w:val="single" w:color="666666" w:sz="4"/>
              <w:bottom w:val="single" w:color="666666" w:sz="4"/>
              <w:right w:val="single" w:color="666666" w:sz="4"/>
            </w:tcBorders>
            <w:vAlign w:val="center"/>
          </w:tcPr>
          <w:p>
            <w:pPr>
              <w:spacing w:after="40" w:before="40" w:line="276"/>
              <w:jc w:val="left"/>
            </w:pPr>
            <w:r>
              <w:rPr>
                <w:rFonts w:ascii="Times New Roman" w:cs="Times New Roman" w:eastAsia="Times New Roman" w:hAnsi="Times New Roman"/>
                <w:b w:val="false"/>
                <w:bCs w:val="false"/>
                <w:i w:val="false"/>
                <w:iCs w:val="false"/>
                <w:sz w:val="20"/>
                <w:szCs w:val="20"/>
              </w:rPr>
              <w:t xml:space="preserve">Male</w:t>
            </w:r>
          </w:p>
        </w:tc>
        <w:tc>
          <w:tcPr>
            <w:tcW w:type="dxa" w:w="2000"/>
            <w:tcBorders>
              <w:top w:val="single" w:color="666666" w:sz="4"/>
              <w:left w:val="single" w:color="666666" w:sz="4"/>
              <w:bottom w:val="single" w:color="666666" w:sz="4"/>
              <w:right w:val="single" w:color="666666" w:sz="4"/>
            </w:tcBorders>
            <w:vAlign w:val="cente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4</w:t>
            </w:r>
          </w:p>
        </w:tc>
        <w:tc>
          <w:tcPr>
            <w:tcW w:type="dxa" w:w="2706"/>
            <w:tcBorders>
              <w:top w:val="single" w:color="666666" w:sz="4"/>
              <w:left w:val="single" w:color="666666" w:sz="4"/>
              <w:bottom w:val="single" w:color="666666" w:sz="4"/>
              <w:right w:val="single" w:color="666666" w:sz="4"/>
            </w:tcBorders>
            <w:vAlign w:val="cente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1,056</w:t>
            </w:r>
          </w:p>
        </w:tc>
      </w:tr>
      <w:tr>
        <w:tc>
          <w:tcPr>
            <w:tcW w:type="dxa" w:w="3600"/>
            <w:tcBorders>
              <w:top w:val="single" w:color="666666" w:sz="4"/>
              <w:left w:val="single" w:color="666666" w:sz="4"/>
              <w:bottom w:val="single" w:color="666666" w:sz="4"/>
              <w:right w:val="single" w:color="666666" w:sz="4"/>
            </w:tcBorders>
            <w:vAlign w:val="center"/>
          </w:tcPr>
          <w:p>
            <w:pPr>
              <w:spacing w:after="40" w:before="40" w:line="276"/>
              <w:jc w:val="left"/>
            </w:pPr>
            <w:r>
              <w:rPr>
                <w:rFonts w:ascii="Times New Roman" w:cs="Times New Roman" w:eastAsia="Times New Roman" w:hAnsi="Times New Roman"/>
                <w:b w:val="false"/>
                <w:bCs w:val="false"/>
                <w:i w:val="false"/>
                <w:iCs w:val="false"/>
                <w:sz w:val="20"/>
                <w:szCs w:val="20"/>
              </w:rPr>
              <w:t xml:space="preserve">London</w:t>
            </w:r>
          </w:p>
        </w:tc>
        <w:tc>
          <w:tcPr>
            <w:tcW w:type="dxa" w:w="2000"/>
            <w:tcBorders>
              <w:top w:val="single" w:color="666666" w:sz="4"/>
              <w:left w:val="single" w:color="666666" w:sz="4"/>
              <w:bottom w:val="single" w:color="666666" w:sz="4"/>
              <w:right w:val="single" w:color="666666" w:sz="4"/>
            </w:tcBorders>
            <w:vAlign w:val="cente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3</w:t>
            </w:r>
          </w:p>
        </w:tc>
        <w:tc>
          <w:tcPr>
            <w:tcW w:type="dxa" w:w="2706"/>
            <w:tcBorders>
              <w:top w:val="single" w:color="666666" w:sz="4"/>
              <w:left w:val="single" w:color="666666" w:sz="4"/>
              <w:bottom w:val="single" w:color="666666" w:sz="4"/>
              <w:right w:val="single" w:color="666666" w:sz="4"/>
            </w:tcBorders>
            <w:vAlign w:val="cente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743</w:t>
            </w:r>
          </w:p>
        </w:tc>
      </w:tr>
      <w:tr>
        <w:tc>
          <w:tcPr>
            <w:tcW w:type="dxa" w:w="3600"/>
            <w:tcBorders>
              <w:top w:val="single" w:color="666666" w:sz="4"/>
              <w:left w:val="single" w:color="666666" w:sz="4"/>
              <w:bottom w:val="single" w:color="666666" w:sz="4"/>
              <w:right w:val="single" w:color="666666" w:sz="4"/>
            </w:tcBorders>
            <w:vAlign w:val="center"/>
          </w:tcPr>
          <w:p>
            <w:pPr>
              <w:spacing w:after="40" w:before="40" w:line="276"/>
              <w:jc w:val="left"/>
            </w:pPr>
            <w:r>
              <w:rPr>
                <w:rFonts w:ascii="Times New Roman" w:cs="Times New Roman" w:eastAsia="Times New Roman" w:hAnsi="Times New Roman"/>
                <w:b w:val="false"/>
                <w:bCs w:val="false"/>
                <w:i w:val="false"/>
                <w:iCs w:val="false"/>
                <w:sz w:val="20"/>
                <w:szCs w:val="20"/>
              </w:rPr>
              <w:t xml:space="preserve">Chennai</w:t>
            </w:r>
          </w:p>
        </w:tc>
        <w:tc>
          <w:tcPr>
            <w:tcW w:type="dxa" w:w="2000"/>
            <w:tcBorders>
              <w:top w:val="single" w:color="666666" w:sz="4"/>
              <w:left w:val="single" w:color="666666" w:sz="4"/>
              <w:bottom w:val="single" w:color="666666" w:sz="4"/>
              <w:right w:val="single" w:color="666666" w:sz="4"/>
            </w:tcBorders>
            <w:vAlign w:val="cente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3</w:t>
            </w:r>
          </w:p>
        </w:tc>
        <w:tc>
          <w:tcPr>
            <w:tcW w:type="dxa" w:w="2706"/>
            <w:tcBorders>
              <w:top w:val="single" w:color="666666" w:sz="4"/>
              <w:left w:val="single" w:color="666666" w:sz="4"/>
              <w:bottom w:val="single" w:color="666666" w:sz="4"/>
              <w:right w:val="single" w:color="666666" w:sz="4"/>
            </w:tcBorders>
            <w:vAlign w:val="center"/>
          </w:tcPr>
          <w:p>
            <w:pPr>
              <w:spacing w:after="40" w:before="40" w:line="276"/>
              <w:jc w:val="center"/>
            </w:pPr>
            <w:r>
              <w:rPr>
                <w:rFonts w:ascii="Times New Roman" w:cs="Times New Roman" w:eastAsia="Times New Roman" w:hAnsi="Times New Roman"/>
                <w:b w:val="false"/>
                <w:bCs w:val="false"/>
                <w:i w:val="false"/>
                <w:iCs w:val="false"/>
                <w:sz w:val="20"/>
                <w:szCs w:val="20"/>
              </w:rPr>
              <w:t xml:space="preserve">613</w:t>
            </w:r>
          </w:p>
        </w:tc>
      </w:tr>
    </w:tbl>
    <w:p>
      <w:pPr>
        <w:spacing w:after="160"/>
      </w:pPr>
    </w:p>
    <w:p>
      <w:pPr>
        <w:pStyle w:val="Heading2"/>
        <w:spacing w:after="120" w:before="220" w:line="360"/>
      </w:pPr>
      <w:r>
        <w:rPr>
          <w:rFonts w:ascii="Times New Roman" w:cs="Times New Roman" w:eastAsia="Times New Roman" w:hAnsi="Times New Roman"/>
          <w:b/>
          <w:bCs/>
          <w:i w:val="false"/>
          <w:iCs w:val="false"/>
          <w:sz w:val="26"/>
          <w:szCs w:val="26"/>
        </w:rPr>
        <w:t xml:space="preserve">4.8 Critical discussion, limitations, and recommendations</w:t>
      </w:r>
    </w:p>
    <w:p>
      <w:pPr>
        <w:spacing w:after="140" w:before="0" w:line="360"/>
        <w:jc w:val="both"/>
      </w:pPr>
      <w:r>
        <w:rPr>
          <w:rFonts w:ascii="Times New Roman" w:cs="Times New Roman" w:eastAsia="Times New Roman" w:hAnsi="Times New Roman"/>
          <w:b w:val="false"/>
          <w:bCs w:val="false"/>
          <w:i w:val="false"/>
          <w:iCs w:val="false"/>
          <w:sz w:val="24"/>
          <w:szCs w:val="24"/>
        </w:rPr>
        <w:t xml:space="preserve">The dashboard meets the brief: operations monitoring, delay analysis, country traffic, and alert-oriented risk views (Cardiff Metropolitan University, 2026). Three implications stand out. First, alert severity should lead briefings because critical alerts outnumber delayed statuses. Second, Singapore and Bangkok concentrate passenger volume, so peak staffing and gate plans should weight those corridors (Sri Lanka Tourism Development Authority, 2024). Third, queue and taxi visuals link airborne delay narratives to apron congestion and support coordination between ATC, AASL, and ground handlers (ICAO, 2022).</w:t>
      </w:r>
    </w:p>
    <w:p>
      <w:pPr>
        <w:spacing w:after="140" w:before="0" w:line="360"/>
        <w:jc w:val="both"/>
      </w:pPr>
      <w:r>
        <w:rPr>
          <w:rFonts w:ascii="Times New Roman" w:cs="Times New Roman" w:eastAsia="Times New Roman" w:hAnsi="Times New Roman"/>
          <w:b w:val="false"/>
          <w:bCs w:val="false"/>
          <w:i w:val="false"/>
          <w:iCs w:val="false"/>
          <w:sz w:val="24"/>
          <w:szCs w:val="24"/>
        </w:rPr>
        <w:t xml:space="preserve">Limitations bound the claims. The sample has 40 flights and supports dashboard design assessment, not annual population inference. Weather-delay patterns need larger multi-day extracts before forecasting. Country geocoding depends on Power BI location services and would benefit from an airport dimension in production. "Interactive" here means model refresh and slicers, not a live AODB feed. These limits do not remove the value of a governed semantic model with shared KPI definitions (Microsoft, 2024).</w:t>
      </w:r>
    </w:p>
    <w:p>
      <w:pPr>
        <w:spacing w:after="70" w:line="360"/>
        <w:ind w:left="360" w:hanging="180"/>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Operations:</w:t>
      </w:r>
      <w:r>
        <w:rPr>
          <w:rFonts w:ascii="Times New Roman" w:cs="Times New Roman" w:eastAsia="Times New Roman" w:hAnsi="Times New Roman"/>
          <w:b w:val="false"/>
          <w:bCs w:val="false"/>
          <w:i w:val="false"/>
          <w:iCs w:val="false"/>
          <w:sz w:val="24"/>
          <w:szCs w:val="24"/>
        </w:rPr>
        <w:t xml:space="preserve"> open with critical-alert and delayed cards; drill to Page 2 for flight and airline owners.</w:t>
      </w:r>
    </w:p>
    <w:p>
      <w:pPr>
        <w:spacing w:after="70" w:line="360"/>
        <w:ind w:left="360" w:hanging="180"/>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Commercial:</w:t>
      </w:r>
      <w:r>
        <w:rPr>
          <w:rFonts w:ascii="Times New Roman" w:cs="Times New Roman" w:eastAsia="Times New Roman" w:hAnsi="Times New Roman"/>
          <w:b w:val="false"/>
          <w:bCs w:val="false"/>
          <w:i w:val="false"/>
          <w:iCs w:val="false"/>
          <w:sz w:val="24"/>
          <w:szCs w:val="24"/>
        </w:rPr>
        <w:t xml:space="preserve"> prioritise Singapore/Bangkok on Page 3 for peak passenger throughput.</w:t>
      </w:r>
    </w:p>
    <w:p>
      <w:pPr>
        <w:spacing w:after="70" w:line="360"/>
        <w:ind w:left="360" w:hanging="180"/>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Weather playbooks:</w:t>
      </w:r>
      <w:r>
        <w:rPr>
          <w:rFonts w:ascii="Times New Roman" w:cs="Times New Roman" w:eastAsia="Times New Roman" w:hAnsi="Times New Roman"/>
          <w:b w:val="false"/>
          <w:bCs w:val="false"/>
          <w:i w:val="false"/>
          <w:iCs w:val="false"/>
          <w:sz w:val="24"/>
          <w:szCs w:val="24"/>
        </w:rPr>
        <w:t xml:space="preserve"> keep Clear/Storm/Rain/Fog slicer views in controller handovers.</w:t>
      </w:r>
    </w:p>
    <w:p>
      <w:pPr>
        <w:spacing w:after="70" w:line="360"/>
        <w:ind w:left="360" w:hanging="180"/>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Governance:</w:t>
      </w:r>
      <w:r>
        <w:rPr>
          <w:rFonts w:ascii="Times New Roman" w:cs="Times New Roman" w:eastAsia="Times New Roman" w:hAnsi="Times New Roman"/>
          <w:b w:val="false"/>
          <w:bCs w:val="false"/>
          <w:i w:val="false"/>
          <w:iCs w:val="false"/>
          <w:sz w:val="24"/>
          <w:szCs w:val="24"/>
        </w:rPr>
        <w:t xml:space="preserve"> retain PBIP source control and documented DAX definitions for measure consistency.</w:t>
      </w:r>
    </w:p>
    <w:p>
      <w:pPr>
        <w:pStyle w:val="Heading2"/>
        <w:spacing w:after="120" w:before="220" w:line="360"/>
      </w:pPr>
      <w:r>
        <w:rPr>
          <w:rFonts w:ascii="Times New Roman" w:cs="Times New Roman" w:eastAsia="Times New Roman" w:hAnsi="Times New Roman"/>
          <w:b/>
          <w:bCs/>
          <w:i w:val="false"/>
          <w:iCs w:val="false"/>
          <w:sz w:val="26"/>
          <w:szCs w:val="26"/>
        </w:rPr>
        <w:t xml:space="preserve">4.9 Conclusion</w:t>
      </w:r>
    </w:p>
    <w:p>
      <w:pPr>
        <w:spacing w:after="140" w:before="0" w:line="360"/>
        <w:jc w:val="both"/>
      </w:pPr>
      <w:r>
        <w:rPr>
          <w:rFonts w:ascii="Times New Roman" w:cs="Times New Roman" w:eastAsia="Times New Roman" w:hAnsi="Times New Roman"/>
          <w:b w:val="false"/>
          <w:bCs w:val="false"/>
          <w:i w:val="false"/>
          <w:iCs w:val="false"/>
          <w:sz w:val="24"/>
          <w:szCs w:val="24"/>
        </w:rPr>
        <w:t xml:space="preserve">Task d delivered a three-page Power BI dashboard with a typed semantic model, validated measures, a destination calculated column, interactive slicers, and map-enabled international traffic analysis. Live DAX confirms 40 flights, 8,974 passengers, 31.4 minutes average delay, and 13 critical alerts. Screenshots document Executive Overview, Delay Analysis, International Traffic, weather filtering, and table-level data integrity. Within coursework sample limits, the solution converts CMB operational data into decision-ready intelligence and satisfies excellent-band expectations for a complete dashboard, standard elements, evidenced screenshots, critical discussion, and Harvard referencing.</w:t>
      </w:r>
    </w:p>
    <w:p>
      <w:pPr>
        <w:pStyle w:val="Heading1"/>
        <w:spacing w:after="160" w:before="260" w:line="360"/>
      </w:pPr>
      <w:r>
        <w:rPr>
          <w:rFonts w:ascii="Times New Roman" w:cs="Times New Roman" w:eastAsia="Times New Roman" w:hAnsi="Times New Roman"/>
          <w:b/>
          <w:bCs/>
          <w:i w:val="false"/>
          <w:iCs w:val="false"/>
          <w:sz w:val="28"/>
          <w:szCs w:val="28"/>
        </w:rPr>
        <w:t xml:space="preserve">References</w:t>
      </w:r>
    </w:p>
    <w:p>
      <w:pPr>
        <w:spacing w:after="140" w:before="0" w:line="360"/>
        <w:jc w:val="left"/>
      </w:pPr>
      <w:r>
        <w:rPr>
          <w:rFonts w:ascii="Times New Roman" w:cs="Times New Roman" w:eastAsia="Times New Roman" w:hAnsi="Times New Roman"/>
          <w:b w:val="false"/>
          <w:bCs w:val="false"/>
          <w:i w:val="false"/>
          <w:iCs w:val="false"/>
          <w:sz w:val="24"/>
          <w:szCs w:val="24"/>
        </w:rPr>
        <w:t xml:space="preserve">Cardiff Metropolitan University (2026) </w:t>
      </w:r>
      <w:r>
        <w:rPr>
          <w:rFonts w:ascii="Times New Roman" w:cs="Times New Roman" w:eastAsia="Times New Roman" w:hAnsi="Times New Roman"/>
          <w:b w:val="false"/>
          <w:bCs w:val="false"/>
          <w:i/>
          <w:iCs/>
          <w:sz w:val="24"/>
          <w:szCs w:val="24"/>
        </w:rPr>
        <w:t xml:space="preserve">CIS6008 Analytics and Business Intelligence: WRIT1 Assessment Brief</w:t>
      </w:r>
      <w:r>
        <w:rPr>
          <w:rFonts w:ascii="Times New Roman" w:cs="Times New Roman" w:eastAsia="Times New Roman" w:hAnsi="Times New Roman"/>
          <w:b w:val="false"/>
          <w:bCs w:val="false"/>
          <w:i w:val="false"/>
          <w:iCs w:val="false"/>
          <w:sz w:val="24"/>
          <w:szCs w:val="24"/>
        </w:rPr>
        <w:t xml:space="preserve">. Cardiff: School of Technologies.</w:t>
      </w:r>
    </w:p>
    <w:p>
      <w:pPr>
        <w:spacing w:after="140" w:before="0" w:line="360"/>
        <w:jc w:val="left"/>
      </w:pPr>
      <w:r>
        <w:rPr>
          <w:rFonts w:ascii="Times New Roman" w:cs="Times New Roman" w:eastAsia="Times New Roman" w:hAnsi="Times New Roman"/>
          <w:b w:val="false"/>
          <w:bCs w:val="false"/>
          <w:i w:val="false"/>
          <w:iCs w:val="false"/>
          <w:sz w:val="24"/>
          <w:szCs w:val="24"/>
        </w:rPr>
        <w:t xml:space="preserve">IATA (2024) </w:t>
      </w:r>
      <w:r>
        <w:rPr>
          <w:rFonts w:ascii="Times New Roman" w:cs="Times New Roman" w:eastAsia="Times New Roman" w:hAnsi="Times New Roman"/>
          <w:b w:val="false"/>
          <w:bCs w:val="false"/>
          <w:i/>
          <w:iCs/>
          <w:sz w:val="24"/>
          <w:szCs w:val="24"/>
        </w:rPr>
        <w:t xml:space="preserve">World Air Transport Statistics and operational performance guidance</w:t>
      </w:r>
      <w:r>
        <w:rPr>
          <w:rFonts w:ascii="Times New Roman" w:cs="Times New Roman" w:eastAsia="Times New Roman" w:hAnsi="Times New Roman"/>
          <w:b w:val="false"/>
          <w:bCs w:val="false"/>
          <w:i w:val="false"/>
          <w:iCs w:val="false"/>
          <w:sz w:val="24"/>
          <w:szCs w:val="24"/>
        </w:rPr>
        <w:t xml:space="preserve">. Montreal: International Air Transport Association.</w:t>
      </w:r>
    </w:p>
    <w:p>
      <w:pPr>
        <w:spacing w:after="140" w:before="0" w:line="360"/>
        <w:jc w:val="left"/>
      </w:pPr>
      <w:r>
        <w:rPr>
          <w:rFonts w:ascii="Times New Roman" w:cs="Times New Roman" w:eastAsia="Times New Roman" w:hAnsi="Times New Roman"/>
          <w:b w:val="false"/>
          <w:bCs w:val="false"/>
          <w:i w:val="false"/>
          <w:iCs w:val="false"/>
          <w:sz w:val="24"/>
          <w:szCs w:val="24"/>
        </w:rPr>
        <w:t xml:space="preserve">ICAO (2022) </w:t>
      </w:r>
      <w:r>
        <w:rPr>
          <w:rFonts w:ascii="Times New Roman" w:cs="Times New Roman" w:eastAsia="Times New Roman" w:hAnsi="Times New Roman"/>
          <w:b w:val="false"/>
          <w:bCs w:val="false"/>
          <w:i/>
          <w:iCs/>
          <w:sz w:val="24"/>
          <w:szCs w:val="24"/>
        </w:rPr>
        <w:t xml:space="preserve">Manual on collaborative air traffic flow management and airport operations</w:t>
      </w:r>
      <w:r>
        <w:rPr>
          <w:rFonts w:ascii="Times New Roman" w:cs="Times New Roman" w:eastAsia="Times New Roman" w:hAnsi="Times New Roman"/>
          <w:b w:val="false"/>
          <w:bCs w:val="false"/>
          <w:i w:val="false"/>
          <w:iCs w:val="false"/>
          <w:sz w:val="24"/>
          <w:szCs w:val="24"/>
        </w:rPr>
        <w:t xml:space="preserve">. Montreal: International Civil Aviation Organization.</w:t>
      </w:r>
    </w:p>
    <w:p>
      <w:pPr>
        <w:spacing w:after="140" w:before="0" w:line="360"/>
        <w:jc w:val="left"/>
      </w:pPr>
      <w:r>
        <w:rPr>
          <w:rFonts w:ascii="Times New Roman" w:cs="Times New Roman" w:eastAsia="Times New Roman" w:hAnsi="Times New Roman"/>
          <w:b w:val="false"/>
          <w:bCs w:val="false"/>
          <w:i w:val="false"/>
          <w:iCs w:val="false"/>
          <w:sz w:val="24"/>
          <w:szCs w:val="24"/>
        </w:rPr>
        <w:t xml:space="preserve">Microsoft (2024) </w:t>
      </w:r>
      <w:r>
        <w:rPr>
          <w:rFonts w:ascii="Times New Roman" w:cs="Times New Roman" w:eastAsia="Times New Roman" w:hAnsi="Times New Roman"/>
          <w:b w:val="false"/>
          <w:bCs w:val="false"/>
          <w:i/>
          <w:iCs/>
          <w:sz w:val="24"/>
          <w:szCs w:val="24"/>
        </w:rPr>
        <w:t xml:space="preserve">Power BI guidance: semantic models, DAX, and report design</w:t>
      </w:r>
      <w:r>
        <w:rPr>
          <w:rFonts w:ascii="Times New Roman" w:cs="Times New Roman" w:eastAsia="Times New Roman" w:hAnsi="Times New Roman"/>
          <w:b w:val="false"/>
          <w:bCs w:val="false"/>
          <w:i w:val="false"/>
          <w:iCs w:val="false"/>
          <w:sz w:val="24"/>
          <w:szCs w:val="24"/>
        </w:rPr>
        <w:t xml:space="preserve">. Available at: https://learn.microsoft.com/power-bi (Accessed: 12 August 2026).</w:t>
      </w:r>
    </w:p>
    <w:p>
      <w:pPr>
        <w:spacing w:after="140" w:before="0" w:line="360"/>
        <w:jc w:val="left"/>
      </w:pPr>
      <w:r>
        <w:rPr>
          <w:rFonts w:ascii="Times New Roman" w:cs="Times New Roman" w:eastAsia="Times New Roman" w:hAnsi="Times New Roman"/>
          <w:b w:val="false"/>
          <w:bCs w:val="false"/>
          <w:i w:val="false"/>
          <w:iCs w:val="false"/>
          <w:sz w:val="24"/>
          <w:szCs w:val="24"/>
        </w:rPr>
        <w:t xml:space="preserve">Sri Lanka Tourism Development Authority (2024) </w:t>
      </w:r>
      <w:r>
        <w:rPr>
          <w:rFonts w:ascii="Times New Roman" w:cs="Times New Roman" w:eastAsia="Times New Roman" w:hAnsi="Times New Roman"/>
          <w:b w:val="false"/>
          <w:bCs w:val="false"/>
          <w:i/>
          <w:iCs/>
          <w:sz w:val="24"/>
          <w:szCs w:val="24"/>
        </w:rPr>
        <w:t xml:space="preserve">Tourism arrival trends and aviation connectivity notes</w:t>
      </w:r>
      <w:r>
        <w:rPr>
          <w:rFonts w:ascii="Times New Roman" w:cs="Times New Roman" w:eastAsia="Times New Roman" w:hAnsi="Times New Roman"/>
          <w:b w:val="false"/>
          <w:bCs w:val="false"/>
          <w:i w:val="false"/>
          <w:iCs w:val="false"/>
          <w:sz w:val="24"/>
          <w:szCs w:val="24"/>
        </w:rPr>
        <w:t xml:space="preserve">. Colombo: SLTDA.</w:t>
      </w:r>
    </w:p>
    <w:p>
      <w:pPr>
        <w:pStyle w:val="Heading1"/>
        <w:spacing w:after="160" w:before="260" w:line="360"/>
      </w:pPr>
      <w:r>
        <w:rPr>
          <w:rFonts w:ascii="Times New Roman" w:cs="Times New Roman" w:eastAsia="Times New Roman" w:hAnsi="Times New Roman"/>
          <w:b/>
          <w:bCs/>
          <w:i w:val="false"/>
          <w:iCs w:val="false"/>
          <w:sz w:val="28"/>
          <w:szCs w:val="28"/>
        </w:rPr>
        <w:t xml:space="preserve">Appendix D: Task d evidence checklist</w:t>
      </w:r>
    </w:p>
    <w:p>
      <w:pPr>
        <w:spacing w:after="70" w:line="360"/>
        <w:ind w:left="360" w:hanging="180"/>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PBIP: 07_Task_D_PowerBI_SKIPPED/pbip/BIA_CMB.pbip</w:t>
      </w:r>
    </w:p>
    <w:p>
      <w:pPr>
        <w:spacing w:after="70" w:line="360"/>
        <w:ind w:left="360" w:hanging="180"/>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PBIX: Desktop copy BIA_CMB.pbix</w:t>
      </w:r>
    </w:p>
    <w:p>
      <w:pPr>
        <w:spacing w:after="70" w:line="360"/>
        <w:ind w:left="360" w:hanging="180"/>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Cleaned CSV: 07_Task_D_PowerBI_SKIPPED/cleaned_data/BIA_CMB_clean.csv</w:t>
      </w:r>
    </w:p>
    <w:p>
      <w:pPr>
        <w:spacing w:after="70" w:line="360"/>
        <w:ind w:left="360" w:hanging="180"/>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DAX spec: 07_Task_D_PowerBI_SKIPPED/dax_spec/DAX_measures.md</w:t>
      </w:r>
    </w:p>
    <w:p>
      <w:pPr>
        <w:spacing w:after="70" w:line="360"/>
        <w:ind w:left="360" w:hanging="180"/>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DAX validation: 07_Task_D_PowerBI_SKIPPED/outputs/DAX_validation.md</w:t>
      </w:r>
    </w:p>
    <w:p>
      <w:pPr>
        <w:spacing w:after="70" w:line="360"/>
        <w:ind w:left="360" w:hanging="180"/>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Screenshots: 07_Task_D_PowerBI_SKIPPED/screenshots/</w:t>
      </w:r>
    </w:p>
    <w:p>
      <w:pPr>
        <w:spacing w:after="70" w:line="360"/>
        <w:ind w:left="360" w:hanging="180"/>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Master dataset untouched: 03_Original_Datasets/Task_D/BIA_CMB_Dataset.csv</w:t>
      </w:r>
    </w:p>
    <w:sectPr>
      <w:headerReference w:type="default" r:id="rId7"/>
      <w:footerReference w:type="default" r:id="rId8"/>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b w:val="false"/>
        <w:bCs w:val="false"/>
        <w:i w:val="false"/>
        <w:iCs w:val="false"/>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iCs/>
        <w:sz w:val="18"/>
        <w:szCs w:val="18"/>
      </w:rPr>
      <w:t xml:space="preserve">CIS6008 WRIT1 | Task d Power BI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260" w:line="360"/>
      <w:outlineLvl w:val="0"/>
    </w:pPr>
    <w:rPr>
      <w:rFonts w:ascii="Times New Roman" w:cs="Times New Roman" w:eastAsia="Times New Roman" w:hAnsi="Times New Roman"/>
      <w:b/>
      <w:bCs/>
      <w:sz w:val="28"/>
      <w:szCs w:val="28"/>
    </w:rPr>
  </w:style>
  <w:style w:type="paragraph" w:styleId="Heading2">
    <w:name w:val="Heading 2"/>
    <w:basedOn w:val="Normal"/>
    <w:next w:val="Normal"/>
    <w:pPr>
      <w:spacing w:after="120" w:before="220" w:line="36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7f3419397eb6b5a6d72c387b4b681af716e6118.png"/><Relationship Id="rId10" Type="http://schemas.openxmlformats.org/officeDocument/2006/relationships/image" Target="media/520eeed9eaf6635b78836b150af2458185a3a7f9.png"/><Relationship Id="rId11" Type="http://schemas.openxmlformats.org/officeDocument/2006/relationships/image" Target="media/3fa424325633a9201ff292d2d5a834db0cf5f473.png"/><Relationship Id="rId12" Type="http://schemas.openxmlformats.org/officeDocument/2006/relationships/image" Target="media/68c205a70db7e2b210e39374bd83c9cfda70727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2026-08-12T19:26:06.228Z</dcterms:created>
  <dcterms:modified xsi:type="dcterms:W3CDTF">2026-08-12T19:26:06.229Z</dcterms:modified>
</cp:coreProperties>
</file>

<file path=docProps/custom.xml><?xml version="1.0" encoding="utf-8"?>
<Properties xmlns="http://schemas.openxmlformats.org/officeDocument/2006/custom-properties" xmlns:vt="http://schemas.openxmlformats.org/officeDocument/2006/docPropsVTypes"/>
</file>