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Times New Roman" w:cs="Times New Roman" w:eastAsia="Times New Roman" w:hAnsi="Times New Roman"/>
          <w:b/>
          <w:bCs/>
          <w:sz w:val="36"/>
          <w:szCs w:val="36"/>
        </w:rPr>
        <w:t xml:space="preserve">Network Analysis of Sri Lanka Civil Aviation Stakeholders</w:t>
      </w:r>
    </w:p>
    <w:p>
      <w:pPr>
        <w:spacing w:after="500"/>
        <w:jc w:val="center"/>
      </w:pPr>
      <w:r>
        <w:rPr>
          <w:rFonts w:ascii="Times New Roman" w:cs="Times New Roman" w:eastAsia="Times New Roman" w:hAnsi="Times New Roman"/>
          <w:i/>
          <w:iCs/>
          <w:sz w:val="26"/>
          <w:szCs w:val="26"/>
        </w:rPr>
        <w:t xml:space="preserve">WRIT1 Task 2, Directed Weighted Network Analysis in R</w:t>
      </w:r>
    </w:p>
    <w:p>
      <w:pPr>
        <w:spacing w:after="140"/>
        <w:jc w:val="center"/>
      </w:pPr>
      <w:r>
        <w:rPr>
          <w:rFonts w:ascii="Times New Roman" w:cs="Times New Roman" w:eastAsia="Times New Roman" w:hAnsi="Times New Roman"/>
          <w:sz w:val="24"/>
          <w:szCs w:val="24"/>
        </w:rPr>
        <w:t xml:space="preserve">Hareesh Kar</w:t>
      </w:r>
    </w:p>
    <w:p>
      <w:pPr>
        <w:spacing w:after="140"/>
        <w:jc w:val="center"/>
      </w:pPr>
      <w:r>
        <w:rPr>
          <w:rFonts w:ascii="Times New Roman" w:cs="Times New Roman" w:eastAsia="Times New Roman" w:hAnsi="Times New Roman"/>
          <w:sz w:val="24"/>
          <w:szCs w:val="24"/>
        </w:rPr>
        <w:t xml:space="preserve">CIS6008 Analytics and Business Intelligence</w:t>
      </w:r>
    </w:p>
    <w:p>
      <w:pPr>
        <w:spacing w:after="140"/>
        <w:jc w:val="center"/>
      </w:pPr>
      <w:r>
        <w:rPr>
          <w:rFonts w:ascii="Times New Roman" w:cs="Times New Roman" w:eastAsia="Times New Roman" w:hAnsi="Times New Roman"/>
          <w:sz w:val="24"/>
          <w:szCs w:val="24"/>
        </w:rPr>
        <w:t xml:space="preserve">WRIT1 Report</w:t>
      </w:r>
    </w:p>
    <w:p>
      <w:pPr>
        <w:spacing w:after="140"/>
        <w:jc w:val="center"/>
      </w:pPr>
      <w:r>
        <w:rPr>
          <w:rFonts w:ascii="Times New Roman" w:cs="Times New Roman" w:eastAsia="Times New Roman" w:hAnsi="Times New Roman"/>
          <w:sz w:val="24"/>
          <w:szCs w:val="24"/>
        </w:rPr>
        <w:t xml:space="preserve">Cardiff Metropolitan University, ICBT Campus</w:t>
      </w:r>
    </w:p>
    <w:p>
      <w:pPr>
        <w:spacing w:after="140"/>
        <w:jc w:val="center"/>
      </w:pPr>
      <w:r>
        <w:rPr>
          <w:rFonts w:ascii="Times New Roman" w:cs="Times New Roman" w:eastAsia="Times New Roman" w:hAnsi="Times New Roman"/>
          <w:sz w:val="24"/>
          <w:szCs w:val="24"/>
        </w:rPr>
        <w:t xml:space="preserve">Academic Year 2025-2026</w:t>
      </w:r>
    </w:p>
    <w:p>
      <w:pPr>
        <w:pStyle w:val="Heading1"/>
        <w:pageBreakBefore/>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spacing w:after="180" w:before="100"/>
      </w:pPr>
      <w:r>
        <w:rPr>
          <w:rFonts w:ascii="Times New Roman" w:cs="Times New Roman" w:eastAsia="Times New Roman" w:hAnsi="Times New Roman"/>
          <w:b/>
          <w:bCs/>
          <w:sz w:val="30"/>
          <w:szCs w:val="30"/>
        </w:rPr>
        <w:t xml:space="preserve">Task 2: Network Analysis of Sri Lanka Civil Aviation Stakeholders</w:t>
      </w:r>
    </w:p>
    <w:p>
      <w:pPr>
        <w:pStyle w:val="Heading2"/>
        <w:spacing w:after="140" w:before="240"/>
      </w:pPr>
      <w:r>
        <w:rPr>
          <w:rFonts w:ascii="Times New Roman" w:cs="Times New Roman" w:eastAsia="Times New Roman" w:hAnsi="Times New Roman"/>
          <w:b/>
          <w:bCs/>
          <w:sz w:val="26"/>
          <w:szCs w:val="26"/>
        </w:rPr>
        <w:t xml:space="preserve">2.1 Scenario, Aim and Network Model</w:t>
      </w:r>
    </w:p>
    <w:p>
      <w:pPr>
        <w:spacing w:after="150" w:line="360"/>
      </w:pPr>
      <w:r>
        <w:rPr>
          <w:rFonts w:ascii="Times New Roman" w:cs="Times New Roman" w:eastAsia="Times New Roman" w:hAnsi="Times New Roman"/>
          <w:b w:val="false"/>
          <w:bCs w:val="false"/>
          <w:sz w:val="24"/>
          <w:szCs w:val="24"/>
        </w:rPr>
        <w:t xml:space="preserve">This task evaluates stakeholder coordination during the stated peak-tourism scenario at Bandaranaike International Airport, where inbound and outbound traffic rises while an arriving aircraft develops a technical fault. The operational question is not simply which organisation has the largest number of contacts, but which organisations control communication and operational pathways when airport, airline, regulatory, maintenance, customs, security, fuel and cargo functions must respond together.</w:t>
      </w:r>
    </w:p>
    <w:p>
      <w:pPr>
        <w:spacing w:after="150" w:line="360"/>
      </w:pPr>
      <w:r>
        <w:rPr>
          <w:rFonts w:ascii="Times New Roman" w:cs="Times New Roman" w:eastAsia="Times New Roman" w:hAnsi="Times New Roman"/>
          <w:b w:val="false"/>
          <w:bCs w:val="false"/>
          <w:sz w:val="24"/>
          <w:szCs w:val="24"/>
        </w:rPr>
        <w:t xml:space="preserve">The supplied dataset contains </w:t>
      </w:r>
      <w:r>
        <w:rPr>
          <w:rFonts w:ascii="Times New Roman" w:cs="Times New Roman" w:eastAsia="Times New Roman" w:hAnsi="Times New Roman"/>
          <w:b/>
          <w:bCs/>
          <w:sz w:val="24"/>
          <w:szCs w:val="24"/>
        </w:rPr>
        <w:t xml:space="preserve">28</w:t>
      </w:r>
      <w:r>
        <w:rPr>
          <w:rFonts w:ascii="Times New Roman" w:cs="Times New Roman" w:eastAsia="Times New Roman" w:hAnsi="Times New Roman"/>
          <w:b w:val="false"/>
          <w:bCs w:val="false"/>
          <w:sz w:val="24"/>
          <w:szCs w:val="24"/>
        </w:rPr>
        <w:t xml:space="preserve"> relationship records among </w:t>
      </w:r>
      <w:r>
        <w:rPr>
          <w:rFonts w:ascii="Times New Roman" w:cs="Times New Roman" w:eastAsia="Times New Roman" w:hAnsi="Times New Roman"/>
          <w:b/>
          <w:bCs/>
          <w:sz w:val="24"/>
          <w:szCs w:val="24"/>
        </w:rPr>
        <w:t xml:space="preserve">15</w:t>
      </w:r>
      <w:r>
        <w:rPr>
          <w:rFonts w:ascii="Times New Roman" w:cs="Times New Roman" w:eastAsia="Times New Roman" w:hAnsi="Times New Roman"/>
          <w:b w:val="false"/>
          <w:bCs w:val="false"/>
          <w:sz w:val="24"/>
          <w:szCs w:val="24"/>
        </w:rPr>
        <w:t xml:space="preserve"> distinct organisations, with no missing values. Each record specifies a source, target, relationship type and tie weight. It was modelled in R as a </w:t>
      </w:r>
      <w:r>
        <w:rPr>
          <w:rFonts w:ascii="Times New Roman" w:cs="Times New Roman" w:eastAsia="Times New Roman" w:hAnsi="Times New Roman"/>
          <w:b/>
          <w:bCs/>
          <w:sz w:val="24"/>
          <w:szCs w:val="24"/>
        </w:rPr>
        <w:t xml:space="preserve">directed weighted network</w:t>
      </w:r>
      <w:r>
        <w:rPr>
          <w:rFonts w:ascii="Times New Roman" w:cs="Times New Roman" w:eastAsia="Times New Roman" w:hAnsi="Times New Roman"/>
          <w:b w:val="false"/>
          <w:bCs w:val="false"/>
          <w:sz w:val="24"/>
          <w:szCs w:val="24"/>
        </w:rPr>
        <w:t xml:space="preserve">, so an edge represents the listed Source to Target relationship rather than an assumed reciprocal connection. Commercial ties account for </w:t>
      </w:r>
      <w:r>
        <w:rPr>
          <w:rFonts w:ascii="Times New Roman" w:cs="Times New Roman" w:eastAsia="Times New Roman" w:hAnsi="Times New Roman"/>
          <w:b/>
          <w:bCs/>
          <w:sz w:val="24"/>
          <w:szCs w:val="24"/>
        </w:rPr>
        <w:t xml:space="preserve">10</w:t>
      </w:r>
      <w:r>
        <w:rPr>
          <w:rFonts w:ascii="Times New Roman" w:cs="Times New Roman" w:eastAsia="Times New Roman" w:hAnsi="Times New Roman"/>
          <w:b w:val="false"/>
          <w:bCs w:val="false"/>
          <w:sz w:val="24"/>
          <w:szCs w:val="24"/>
        </w:rPr>
        <w:t xml:space="preserve"> records, Support for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Operational for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and Regulatory for </w:t>
      </w:r>
      <w:r>
        <w:rPr>
          <w:rFonts w:ascii="Times New Roman" w:cs="Times New Roman" w:eastAsia="Times New Roman" w:hAnsi="Times New Roman"/>
          <w:b/>
          <w:bCs/>
          <w:sz w:val="24"/>
          <w:szCs w:val="24"/>
        </w:rPr>
        <w:t xml:space="preserve">5</w:t>
      </w:r>
      <w:r>
        <w:rPr>
          <w:rFonts w:ascii="Times New Roman" w:cs="Times New Roman" w:eastAsia="Times New Roman" w:hAnsi="Times New Roman"/>
          <w:b w:val="false"/>
          <w:bCs w:val="false"/>
          <w:sz w:val="24"/>
          <w:szCs w:val="24"/>
        </w:rPr>
        <w:t xml:space="preserve">. Weights range from </w:t>
      </w:r>
      <w:r>
        <w:rPr>
          <w:rFonts w:ascii="Times New Roman" w:cs="Times New Roman" w:eastAsia="Times New Roman" w:hAnsi="Times New Roman"/>
          <w:b/>
          <w:bCs/>
          <w:sz w:val="24"/>
          <w:szCs w:val="24"/>
        </w:rPr>
        <w:t xml:space="preserve">1 to 9</w:t>
      </w:r>
      <w:r>
        <w:rPr>
          <w:rFonts w:ascii="Times New Roman" w:cs="Times New Roman" w:eastAsia="Times New Roman" w:hAnsi="Times New Roman"/>
          <w:b w:val="false"/>
          <w:bCs w:val="false"/>
          <w:sz w:val="24"/>
          <w:szCs w:val="24"/>
        </w:rPr>
        <w:t xml:space="preserve">, with a mean of </w:t>
      </w:r>
      <w:r>
        <w:rPr>
          <w:rFonts w:ascii="Times New Roman" w:cs="Times New Roman" w:eastAsia="Times New Roman" w:hAnsi="Times New Roman"/>
          <w:b/>
          <w:bCs/>
          <w:sz w:val="24"/>
          <w:szCs w:val="24"/>
        </w:rPr>
        <w:t xml:space="preserve">4.64</w:t>
      </w:r>
      <w:r>
        <w:rPr>
          <w:rFonts w:ascii="Times New Roman" w:cs="Times New Roman" w:eastAsia="Times New Roman" w:hAnsi="Times New Roman"/>
          <w:b w:val="false"/>
          <w:bCs w:val="false"/>
          <w:sz w:val="24"/>
          <w:szCs w:val="24"/>
        </w:rPr>
        <w:t xml:space="preserve">.</w:t>
      </w:r>
    </w:p>
    <w:p>
      <w:pPr>
        <w:spacing w:after="150" w:line="360"/>
      </w:pPr>
      <w:r>
        <w:rPr>
          <w:rFonts w:ascii="Times New Roman" w:cs="Times New Roman" w:eastAsia="Times New Roman" w:hAnsi="Times New Roman"/>
          <w:b w:val="false"/>
          <w:bCs w:val="false"/>
          <w:sz w:val="24"/>
          <w:szCs w:val="24"/>
        </w:rPr>
        <w:t xml:space="preserve">Degree, strength, directed betweenness, closeness, PageRank, HITS hub and authority scores were calculated on the directed network. For shortest-path metrics, a stronger tie was converted to a lower travel cost using distance = 10 minus Weight. An undirected projection, retaining the mean weight where ties were collapsed, was used only for Louvain community detection because the Louvain method requires an undirected graph [Blondel et al., 2008; Csardi et al., 2026].</w:t>
      </w:r>
    </w:p>
    <w:p>
      <w:pPr>
        <w:spacing w:after="40" w:before="80"/>
      </w:pPr>
      <w:r>
        <w:rPr>
          <w:rFonts w:ascii="Times New Roman" w:cs="Times New Roman" w:eastAsia="Times New Roman" w:hAnsi="Times New Roman"/>
          <w:i/>
          <w:iCs/>
          <w:sz w:val="20"/>
          <w:szCs w:val="20"/>
        </w:rPr>
        <w:t xml:space="preserve">Listing 1. Directed weighted graph construction and centrality calculation.</w:t>
      </w:r>
    </w:p>
    <w:p>
      <w:pPr>
        <w:pBdr>
          <w:top w:val="single" w:color="BFBFBF" w:sz="4"/>
          <w:bottom w:val="single" w:color="BFBFBF" w:sz="4"/>
          <w:left w:val="single" w:color="BFBFBF" w:sz="4"/>
          <w:right w:val="single" w:color="BFBFBF" w:sz="4"/>
        </w:pBdr>
        <w:shd w:color="F2F2F2" w:val="clear"/>
        <w:spacing w:after="150"/>
      </w:pPr>
      <w:r>
        <w:rPr>
          <w:rFonts w:ascii="Courier New" w:cs="Courier New" w:eastAsia="Courier New" w:hAnsi="Courier New"/>
          <w:sz w:val="18"/>
          <w:szCs w:val="18"/>
        </w:rPr>
        <w:t xml:space="preserve">g &lt;- graph_from_data_frame(edges_raw, directed = TRUE, vertices = data.frame(name = all_nodes))</w:t>
      </w:r>
      <w:r>
        <w:rPr>
          <w:rFonts w:ascii="Courier New" w:cs="Courier New" w:eastAsia="Courier New" w:hAnsi="Courier New"/>
          <w:sz w:val="18"/>
          <w:szCs w:val="18"/>
        </w:rPr>
        <w:br/>
        <w:t xml:space="preserve">E(g)$distance &lt;- 10 - E(g)$Weight</w:t>
      </w:r>
      <w:r>
        <w:rPr>
          <w:rFonts w:ascii="Courier New" w:cs="Courier New" w:eastAsia="Courier New" w:hAnsi="Courier New"/>
          <w:sz w:val="18"/>
          <w:szCs w:val="18"/>
        </w:rPr>
        <w:br/>
        <w:t xml:space="preserve">deg_total &lt;- degree(g, mode = "all")</w:t>
      </w:r>
      <w:r>
        <w:rPr>
          <w:rFonts w:ascii="Courier New" w:cs="Courier New" w:eastAsia="Courier New" w:hAnsi="Courier New"/>
          <w:sz w:val="18"/>
          <w:szCs w:val="18"/>
        </w:rPr>
        <w:br/>
        <w:t xml:space="preserve">str_total &lt;- strength(g, mode = "all", weights = E(g)$Weight)</w:t>
      </w:r>
      <w:r>
        <w:rPr>
          <w:rFonts w:ascii="Courier New" w:cs="Courier New" w:eastAsia="Courier New" w:hAnsi="Courier New"/>
          <w:sz w:val="18"/>
          <w:szCs w:val="18"/>
        </w:rPr>
        <w:br/>
        <w:t xml:space="preserve">betw &lt;- betweenness(g, directed = TRUE, weights = E(g)$distance)</w:t>
      </w:r>
    </w:p>
    <w:p>
      <w:pPr>
        <w:pStyle w:val="Heading2"/>
        <w:spacing w:after="140" w:before="240"/>
      </w:pPr>
      <w:r>
        <w:rPr>
          <w:rFonts w:ascii="Times New Roman" w:cs="Times New Roman" w:eastAsia="Times New Roman" w:hAnsi="Times New Roman"/>
          <w:b/>
          <w:bCs/>
          <w:sz w:val="26"/>
          <w:szCs w:val="26"/>
        </w:rPr>
        <w:t xml:space="preserve">2.2 Network Structure and Visualisation</w:t>
      </w:r>
    </w:p>
    <w:p>
      <w:pPr>
        <w:spacing w:after="150" w:line="360"/>
      </w:pPr>
      <w:r>
        <w:rPr>
          <w:rFonts w:ascii="Times New Roman" w:cs="Times New Roman" w:eastAsia="Times New Roman" w:hAnsi="Times New Roman"/>
          <w:b w:val="false"/>
          <w:bCs w:val="false"/>
          <w:sz w:val="24"/>
          <w:szCs w:val="24"/>
        </w:rPr>
        <w:t xml:space="preserve">Figure 1 is the principal visualisation. It uses a Fruchterman-Reingold layout to separate connected stakeholder groups, colour to distinguish Louvain communities, node size to show total degree, edge width to show tie strength and arrowheads to preserve direction. This is an abstract stakeholder-relationship network, not a geographic route map; no coordinates are supplied for the organisations, so adding a geographic basemap would falsely imply spatial locations that the data do not contain.</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1. Directed weighted Sri Lanka civil-aviation stakeholder network. Arrows show Source to Target relationships, edge width shows tie strength, node size shows total degree and colour shows Louvain community.</w:t>
      </w:r>
    </w:p>
    <w:p>
      <w:pPr>
        <w:spacing w:after="150" w:line="360"/>
      </w:pPr>
      <w:r>
        <w:rPr>
          <w:rFonts w:ascii="Times New Roman" w:cs="Times New Roman" w:eastAsia="Times New Roman" w:hAnsi="Times New Roman"/>
          <w:b w:val="false"/>
          <w:bCs w:val="false"/>
          <w:sz w:val="24"/>
          <w:szCs w:val="24"/>
        </w:rPr>
        <w:t xml:space="preserve">The network has directed density </w:t>
      </w:r>
      <w:r>
        <w:rPr>
          <w:rFonts w:ascii="Times New Roman" w:cs="Times New Roman" w:eastAsia="Times New Roman" w:hAnsi="Times New Roman"/>
          <w:b/>
          <w:bCs/>
          <w:sz w:val="24"/>
          <w:szCs w:val="24"/>
        </w:rPr>
        <w:t xml:space="preserve">0.1333</w:t>
      </w:r>
      <w:r>
        <w:rPr>
          <w:rFonts w:ascii="Times New Roman" w:cs="Times New Roman" w:eastAsia="Times New Roman" w:hAnsi="Times New Roman"/>
          <w:b w:val="false"/>
          <w:bCs w:val="false"/>
          <w:sz w:val="24"/>
          <w:szCs w:val="24"/>
        </w:rPr>
        <w:t xml:space="preserve">, meaning that only 13.33% of possible directed stakeholder ties are present. It forms one weak component, so all organisations are connected if direction is ignored. However, it has </w:t>
      </w:r>
      <w:r>
        <w:rPr>
          <w:rFonts w:ascii="Times New Roman" w:cs="Times New Roman" w:eastAsia="Times New Roman" w:hAnsi="Times New Roman"/>
          <w:b/>
          <w:bCs/>
          <w:sz w:val="24"/>
          <w:szCs w:val="24"/>
        </w:rPr>
        <w:t xml:space="preserve">15</w:t>
      </w:r>
      <w:r>
        <w:rPr>
          <w:rFonts w:ascii="Times New Roman" w:cs="Times New Roman" w:eastAsia="Times New Roman" w:hAnsi="Times New Roman"/>
          <w:b w:val="false"/>
          <w:bCs w:val="false"/>
          <w:sz w:val="24"/>
          <w:szCs w:val="24"/>
        </w:rPr>
        <w:t xml:space="preserve"> strong components and reciprocity of </w:t>
      </w:r>
      <w:r>
        <w:rPr>
          <w:rFonts w:ascii="Times New Roman" w:cs="Times New Roman" w:eastAsia="Times New Roman" w:hAnsi="Times New Roman"/>
          <w:b/>
          <w:bCs/>
          <w:sz w:val="24"/>
          <w:szCs w:val="24"/>
        </w:rPr>
        <w:t xml:space="preserve">0.0000</w:t>
      </w:r>
      <w:r>
        <w:rPr>
          <w:rFonts w:ascii="Times New Roman" w:cs="Times New Roman" w:eastAsia="Times New Roman" w:hAnsi="Times New Roman"/>
          <w:b w:val="false"/>
          <w:bCs w:val="false"/>
          <w:sz w:val="24"/>
          <w:szCs w:val="24"/>
        </w:rPr>
        <w:t xml:space="preserve">. The supplied relationships are therefore strictly one-way and hierarchical, with no directed feedback cycle. This describes the scenario dataset, not a claim that real aviation coordination has no feedback loops.</w:t>
      </w:r>
    </w:p>
    <w:p>
      <w:pPr>
        <w:spacing w:after="150" w:line="360"/>
      </w:pPr>
      <w:r>
        <w:rPr>
          <w:rFonts w:ascii="Times New Roman" w:cs="Times New Roman" w:eastAsia="Times New Roman" w:hAnsi="Times New Roman"/>
          <w:b w:val="false"/>
          <w:bCs w:val="false"/>
          <w:sz w:val="24"/>
          <w:szCs w:val="24"/>
        </w:rPr>
        <w:t xml:space="preserve">The unweighted directed diameter is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 and the weighted-distance diameter is </w:t>
      </w:r>
      <w:r>
        <w:rPr>
          <w:rFonts w:ascii="Times New Roman" w:cs="Times New Roman" w:eastAsia="Times New Roman" w:hAnsi="Times New Roman"/>
          <w:b/>
          <w:bCs/>
          <w:sz w:val="24"/>
          <w:szCs w:val="24"/>
        </w:rPr>
        <w:t xml:space="preserve">22.00</w:t>
      </w:r>
      <w:r>
        <w:rPr>
          <w:rFonts w:ascii="Times New Roman" w:cs="Times New Roman" w:eastAsia="Times New Roman" w:hAnsi="Times New Roman"/>
          <w:b w:val="false"/>
          <w:bCs w:val="false"/>
          <w:sz w:val="24"/>
          <w:szCs w:val="24"/>
        </w:rPr>
        <w:t xml:space="preserve">. The reported mean path length is </w:t>
      </w:r>
      <w:r>
        <w:rPr>
          <w:rFonts w:ascii="Times New Roman" w:cs="Times New Roman" w:eastAsia="Times New Roman" w:hAnsi="Times New Roman"/>
          <w:b/>
          <w:bCs/>
          <w:sz w:val="24"/>
          <w:szCs w:val="24"/>
        </w:rPr>
        <w:t xml:space="preserve">1.6545</w:t>
      </w:r>
      <w:r>
        <w:rPr>
          <w:rFonts w:ascii="Times New Roman" w:cs="Times New Roman" w:eastAsia="Times New Roman" w:hAnsi="Times New Roman"/>
          <w:b w:val="false"/>
          <w:bCs w:val="false"/>
          <w:sz w:val="24"/>
          <w:szCs w:val="24"/>
        </w:rPr>
        <w:t xml:space="preserve"> among reachable directed pairs only. It should not be presented as a complete efficiency score because many ordered node pairs are unreachable in a graph with no reciprocal ties. The structural evidence instead indicates that coordination can exist across the weakly connected network, while directional escalation and return communication remain fragile.</w:t>
      </w:r>
    </w:p>
    <w:p>
      <w:pPr>
        <w:pStyle w:val="Heading2"/>
        <w:spacing w:after="140" w:before="240"/>
      </w:pPr>
      <w:r>
        <w:rPr>
          <w:rFonts w:ascii="Times New Roman" w:cs="Times New Roman" w:eastAsia="Times New Roman" w:hAnsi="Times New Roman"/>
          <w:b/>
          <w:bCs/>
          <w:sz w:val="26"/>
          <w:szCs w:val="26"/>
        </w:rPr>
        <w:t xml:space="preserve">2.3 Central Hubs and Critical Bridge Nodes</w:t>
      </w:r>
    </w:p>
    <w:p>
      <w:pPr>
        <w:spacing w:after="150" w:line="360"/>
      </w:pPr>
      <w:r>
        <w:rPr>
          <w:rFonts w:ascii="Times New Roman" w:cs="Times New Roman" w:eastAsia="Times New Roman" w:hAnsi="Times New Roman"/>
          <w:b w:val="false"/>
          <w:bCs w:val="false"/>
          <w:sz w:val="24"/>
          <w:szCs w:val="24"/>
        </w:rPr>
        <w:t xml:space="preserve">Degree identifies direct connections, whereas strength incorporates relationship weight. Cargo Operators is the largest connection hub with total degree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and strength </w:t>
      </w:r>
      <w:r>
        <w:rPr>
          <w:rFonts w:ascii="Times New Roman" w:cs="Times New Roman" w:eastAsia="Times New Roman" w:hAnsi="Times New Roman"/>
          <w:b/>
          <w:bCs/>
          <w:sz w:val="24"/>
          <w:szCs w:val="24"/>
        </w:rPr>
        <w:t xml:space="preserve">35</w:t>
      </w:r>
      <w:r>
        <w:rPr>
          <w:rFonts w:ascii="Times New Roman" w:cs="Times New Roman" w:eastAsia="Times New Roman" w:hAnsi="Times New Roman"/>
          <w:b w:val="false"/>
          <w:bCs w:val="false"/>
          <w:sz w:val="24"/>
          <w:szCs w:val="24"/>
        </w:rPr>
        <w:t xml:space="preserve">. Customs and Immigration has degree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and strength </w:t>
      </w:r>
      <w:r>
        <w:rPr>
          <w:rFonts w:ascii="Times New Roman" w:cs="Times New Roman" w:eastAsia="Times New Roman" w:hAnsi="Times New Roman"/>
          <w:b/>
          <w:bCs/>
          <w:sz w:val="24"/>
          <w:szCs w:val="24"/>
        </w:rPr>
        <w:t xml:space="preserve">32</w:t>
      </w:r>
      <w:r>
        <w:rPr>
          <w:rFonts w:ascii="Times New Roman" w:cs="Times New Roman" w:eastAsia="Times New Roman" w:hAnsi="Times New Roman"/>
          <w:b w:val="false"/>
          <w:bCs w:val="false"/>
          <w:sz w:val="24"/>
          <w:szCs w:val="24"/>
        </w:rPr>
        <w:t xml:space="preserve">. Fuel Supply Companies has degree </w:t>
      </w:r>
      <w:r>
        <w:rPr>
          <w:rFonts w:ascii="Times New Roman" w:cs="Times New Roman" w:eastAsia="Times New Roman" w:hAnsi="Times New Roman"/>
          <w:b/>
          <w:bCs/>
          <w:sz w:val="24"/>
          <w:szCs w:val="24"/>
        </w:rPr>
        <w:t xml:space="preserve">5</w:t>
      </w:r>
      <w:r>
        <w:rPr>
          <w:rFonts w:ascii="Times New Roman" w:cs="Times New Roman" w:eastAsia="Times New Roman" w:hAnsi="Times New Roman"/>
          <w:b w:val="false"/>
          <w:bCs w:val="false"/>
          <w:sz w:val="24"/>
          <w:szCs w:val="24"/>
        </w:rPr>
        <w:t xml:space="preserve"> but also strength </w:t>
      </w:r>
      <w:r>
        <w:rPr>
          <w:rFonts w:ascii="Times New Roman" w:cs="Times New Roman" w:eastAsia="Times New Roman" w:hAnsi="Times New Roman"/>
          <w:b/>
          <w:bCs/>
          <w:sz w:val="24"/>
          <w:szCs w:val="24"/>
        </w:rPr>
        <w:t xml:space="preserve">32</w:t>
      </w:r>
      <w:r>
        <w:rPr>
          <w:rFonts w:ascii="Times New Roman" w:cs="Times New Roman" w:eastAsia="Times New Roman" w:hAnsi="Times New Roman"/>
          <w:b w:val="false"/>
          <w:bCs w:val="false"/>
          <w:sz w:val="24"/>
          <w:szCs w:val="24"/>
        </w:rPr>
        <w:t xml:space="preserve">, exceeding BIA CMB's strength of </w:t>
      </w:r>
      <w:r>
        <w:rPr>
          <w:rFonts w:ascii="Times New Roman" w:cs="Times New Roman" w:eastAsia="Times New Roman" w:hAnsi="Times New Roman"/>
          <w:b/>
          <w:bCs/>
          <w:sz w:val="24"/>
          <w:szCs w:val="24"/>
        </w:rPr>
        <w:t xml:space="preserve">26</w:t>
      </w:r>
      <w:r>
        <w:rPr>
          <w:rFonts w:ascii="Times New Roman" w:cs="Times New Roman" w:eastAsia="Times New Roman" w:hAnsi="Times New Roman"/>
          <w:b w:val="false"/>
          <w:bCs w:val="false"/>
          <w:sz w:val="24"/>
          <w:szCs w:val="24"/>
        </w:rPr>
        <w:t xml:space="preserve"> despite the same degree. BIA CMB is a source node with five outbound and zero inbound ties, while Cargo Operators is a sink with seven inbound and zero outbound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color="D9EAF7" w:val="clear"/>
          </w:tcPr>
          <w:p>
            <w:pPr>
              <w:spacing w:after="40" w:line="300"/>
            </w:pPr>
            <w:r>
              <w:rPr>
                <w:rFonts w:ascii="Times New Roman" w:cs="Times New Roman" w:eastAsia="Times New Roman" w:hAnsi="Times New Roman"/>
                <w:b/>
                <w:bCs/>
                <w:sz w:val="20"/>
                <w:szCs w:val="20"/>
              </w:rPr>
              <w:t xml:space="preserve">Organisation</w:t>
            </w:r>
          </w:p>
        </w:tc>
        <w:tc>
          <w:tcPr>
            <w:tcW w:type="dxa" w:w="2340"/>
            <w:shd w:color="D9EAF7" w:val="clear"/>
          </w:tcPr>
          <w:p>
            <w:pPr>
              <w:spacing w:after="40" w:line="300"/>
            </w:pPr>
            <w:r>
              <w:rPr>
                <w:rFonts w:ascii="Times New Roman" w:cs="Times New Roman" w:eastAsia="Times New Roman" w:hAnsi="Times New Roman"/>
                <w:b/>
                <w:bCs/>
                <w:sz w:val="20"/>
                <w:szCs w:val="20"/>
              </w:rPr>
              <w:t xml:space="preserve">Total degree</w:t>
            </w:r>
          </w:p>
        </w:tc>
        <w:tc>
          <w:tcPr>
            <w:tcW w:type="dxa" w:w="2340"/>
            <w:shd w:color="D9EAF7" w:val="clear"/>
          </w:tcPr>
          <w:p>
            <w:pPr>
              <w:spacing w:after="40" w:line="300"/>
            </w:pPr>
            <w:r>
              <w:rPr>
                <w:rFonts w:ascii="Times New Roman" w:cs="Times New Roman" w:eastAsia="Times New Roman" w:hAnsi="Times New Roman"/>
                <w:b/>
                <w:bCs/>
                <w:sz w:val="20"/>
                <w:szCs w:val="20"/>
              </w:rPr>
              <w:t xml:space="preserve">Strength</w:t>
            </w:r>
          </w:p>
        </w:tc>
        <w:tc>
          <w:tcPr>
            <w:tcW w:type="dxa" w:w="2340"/>
            <w:shd w:color="D9EAF7" w:val="clear"/>
          </w:tcPr>
          <w:p>
            <w:pPr>
              <w:spacing w:after="40" w:line="300"/>
            </w:pPr>
            <w:r>
              <w:rPr>
                <w:rFonts w:ascii="Times New Roman" w:cs="Times New Roman" w:eastAsia="Times New Roman" w:hAnsi="Times New Roman"/>
                <w:b/>
                <w:bCs/>
                <w:sz w:val="20"/>
                <w:szCs w:val="20"/>
              </w:rPr>
              <w:t xml:space="preserve">Operational interpretation</w:t>
            </w:r>
          </w:p>
        </w:tc>
      </w:tr>
      <w:tr>
        <w:tc>
          <w:tcPr>
            <w:tcW w:type="dxa" w:w="2340"/>
          </w:tcPr>
          <w:p>
            <w:pPr>
              <w:spacing w:after="40" w:line="300"/>
            </w:pPr>
            <w:r>
              <w:rPr>
                <w:rFonts w:ascii="Times New Roman" w:cs="Times New Roman" w:eastAsia="Times New Roman" w:hAnsi="Times New Roman"/>
                <w:b w:val="false"/>
                <w:bCs w:val="false"/>
                <w:sz w:val="20"/>
                <w:szCs w:val="20"/>
              </w:rPr>
              <w:t xml:space="preserve">Cargo Operators</w:t>
            </w:r>
          </w:p>
        </w:tc>
        <w:tc>
          <w:tcPr>
            <w:tcW w:type="dxa" w:w="2340"/>
          </w:tcPr>
          <w:p>
            <w:pPr>
              <w:spacing w:after="40" w:line="300"/>
            </w:pPr>
            <w:r>
              <w:rPr>
                <w:rFonts w:ascii="Times New Roman" w:cs="Times New Roman" w:eastAsia="Times New Roman" w:hAnsi="Times New Roman"/>
                <w:b w:val="false"/>
                <w:bCs w:val="false"/>
                <w:sz w:val="20"/>
                <w:szCs w:val="20"/>
              </w:rPr>
              <w:t xml:space="preserve">7</w:t>
            </w:r>
          </w:p>
        </w:tc>
        <w:tc>
          <w:tcPr>
            <w:tcW w:type="dxa" w:w="2340"/>
          </w:tcPr>
          <w:p>
            <w:pPr>
              <w:spacing w:after="40" w:line="300"/>
            </w:pPr>
            <w:r>
              <w:rPr>
                <w:rFonts w:ascii="Times New Roman" w:cs="Times New Roman" w:eastAsia="Times New Roman" w:hAnsi="Times New Roman"/>
                <w:b w:val="false"/>
                <w:bCs w:val="false"/>
                <w:sz w:val="20"/>
                <w:szCs w:val="20"/>
              </w:rPr>
              <w:t xml:space="preserve">35</w:t>
            </w:r>
          </w:p>
        </w:tc>
        <w:tc>
          <w:tcPr>
            <w:tcW w:type="dxa" w:w="2340"/>
          </w:tcPr>
          <w:p>
            <w:pPr>
              <w:spacing w:after="40" w:line="300"/>
            </w:pPr>
            <w:r>
              <w:rPr>
                <w:rFonts w:ascii="Times New Roman" w:cs="Times New Roman" w:eastAsia="Times New Roman" w:hAnsi="Times New Roman"/>
                <w:b w:val="false"/>
                <w:bCs w:val="false"/>
                <w:sz w:val="20"/>
                <w:szCs w:val="20"/>
              </w:rPr>
              <w:t xml:space="preserve">Largest inbound payload and commercial hub</w:t>
            </w:r>
          </w:p>
        </w:tc>
      </w:tr>
      <w:tr>
        <w:tc>
          <w:tcPr>
            <w:tcW w:type="dxa" w:w="2340"/>
          </w:tcPr>
          <w:p>
            <w:pPr>
              <w:spacing w:after="40" w:line="300"/>
            </w:pPr>
            <w:r>
              <w:rPr>
                <w:rFonts w:ascii="Times New Roman" w:cs="Times New Roman" w:eastAsia="Times New Roman" w:hAnsi="Times New Roman"/>
                <w:b w:val="false"/>
                <w:bCs w:val="false"/>
                <w:sz w:val="20"/>
                <w:szCs w:val="20"/>
              </w:rPr>
              <w:t xml:space="preserve">Customs and Immigration</w:t>
            </w:r>
          </w:p>
        </w:tc>
        <w:tc>
          <w:tcPr>
            <w:tcW w:type="dxa" w:w="2340"/>
          </w:tcPr>
          <w:p>
            <w:pPr>
              <w:spacing w:after="40" w:line="300"/>
            </w:pPr>
            <w:r>
              <w:rPr>
                <w:rFonts w:ascii="Times New Roman" w:cs="Times New Roman" w:eastAsia="Times New Roman" w:hAnsi="Times New Roman"/>
                <w:b w:val="false"/>
                <w:bCs w:val="false"/>
                <w:sz w:val="20"/>
                <w:szCs w:val="20"/>
              </w:rPr>
              <w:t xml:space="preserve">6</w:t>
            </w:r>
          </w:p>
        </w:tc>
        <w:tc>
          <w:tcPr>
            <w:tcW w:type="dxa" w:w="2340"/>
          </w:tcPr>
          <w:p>
            <w:pPr>
              <w:spacing w:after="40" w:line="300"/>
            </w:pPr>
            <w:r>
              <w:rPr>
                <w:rFonts w:ascii="Times New Roman" w:cs="Times New Roman" w:eastAsia="Times New Roman" w:hAnsi="Times New Roman"/>
                <w:b w:val="false"/>
                <w:bCs w:val="false"/>
                <w:sz w:val="20"/>
                <w:szCs w:val="20"/>
              </w:rPr>
              <w:t xml:space="preserve">32</w:t>
            </w:r>
          </w:p>
        </w:tc>
        <w:tc>
          <w:tcPr>
            <w:tcW w:type="dxa" w:w="2340"/>
          </w:tcPr>
          <w:p>
            <w:pPr>
              <w:spacing w:after="40" w:line="300"/>
            </w:pPr>
            <w:r>
              <w:rPr>
                <w:rFonts w:ascii="Times New Roman" w:cs="Times New Roman" w:eastAsia="Times New Roman" w:hAnsi="Times New Roman"/>
                <w:b w:val="false"/>
                <w:bCs w:val="false"/>
                <w:sz w:val="20"/>
                <w:szCs w:val="20"/>
              </w:rPr>
              <w:t xml:space="preserve">Gateway between regulatory, passenger and commercial processes</w:t>
            </w:r>
          </w:p>
        </w:tc>
      </w:tr>
      <w:tr>
        <w:tc>
          <w:tcPr>
            <w:tcW w:type="dxa" w:w="2340"/>
          </w:tcPr>
          <w:p>
            <w:pPr>
              <w:spacing w:after="40" w:line="300"/>
            </w:pPr>
            <w:r>
              <w:rPr>
                <w:rFonts w:ascii="Times New Roman" w:cs="Times New Roman" w:eastAsia="Times New Roman" w:hAnsi="Times New Roman"/>
                <w:b w:val="false"/>
                <w:bCs w:val="false"/>
                <w:sz w:val="20"/>
                <w:szCs w:val="20"/>
              </w:rPr>
              <w:t xml:space="preserve">Fuel Supply Companies</w:t>
            </w:r>
          </w:p>
        </w:tc>
        <w:tc>
          <w:tcPr>
            <w:tcW w:type="dxa" w:w="2340"/>
          </w:tcPr>
          <w:p>
            <w:pPr>
              <w:spacing w:after="40" w:line="300"/>
            </w:pPr>
            <w:r>
              <w:rPr>
                <w:rFonts w:ascii="Times New Roman" w:cs="Times New Roman" w:eastAsia="Times New Roman" w:hAnsi="Times New Roman"/>
                <w:b w:val="false"/>
                <w:bCs w:val="false"/>
                <w:sz w:val="20"/>
                <w:szCs w:val="20"/>
              </w:rPr>
              <w:t xml:space="preserve">5</w:t>
            </w:r>
          </w:p>
        </w:tc>
        <w:tc>
          <w:tcPr>
            <w:tcW w:type="dxa" w:w="2340"/>
          </w:tcPr>
          <w:p>
            <w:pPr>
              <w:spacing w:after="40" w:line="300"/>
            </w:pPr>
            <w:r>
              <w:rPr>
                <w:rFonts w:ascii="Times New Roman" w:cs="Times New Roman" w:eastAsia="Times New Roman" w:hAnsi="Times New Roman"/>
                <w:b w:val="false"/>
                <w:bCs w:val="false"/>
                <w:sz w:val="20"/>
                <w:szCs w:val="20"/>
              </w:rPr>
              <w:t xml:space="preserve">32</w:t>
            </w:r>
          </w:p>
        </w:tc>
        <w:tc>
          <w:tcPr>
            <w:tcW w:type="dxa" w:w="2340"/>
          </w:tcPr>
          <w:p>
            <w:pPr>
              <w:spacing w:after="40" w:line="300"/>
            </w:pPr>
            <w:r>
              <w:rPr>
                <w:rFonts w:ascii="Times New Roman" w:cs="Times New Roman" w:eastAsia="Times New Roman" w:hAnsi="Times New Roman"/>
                <w:b w:val="false"/>
                <w:bCs w:val="false"/>
                <w:sz w:val="20"/>
                <w:szCs w:val="20"/>
              </w:rPr>
              <w:t xml:space="preserve">High-weight operational dependency</w:t>
            </w:r>
          </w:p>
        </w:tc>
      </w:tr>
      <w:tr>
        <w:tc>
          <w:tcPr>
            <w:tcW w:type="dxa" w:w="2340"/>
          </w:tcPr>
          <w:p>
            <w:pPr>
              <w:spacing w:after="40" w:line="300"/>
            </w:pPr>
            <w:r>
              <w:rPr>
                <w:rFonts w:ascii="Times New Roman" w:cs="Times New Roman" w:eastAsia="Times New Roman" w:hAnsi="Times New Roman"/>
                <w:b w:val="false"/>
                <w:bCs w:val="false"/>
                <w:sz w:val="20"/>
                <w:szCs w:val="20"/>
              </w:rPr>
              <w:t xml:space="preserve">BIA CMB</w:t>
            </w:r>
          </w:p>
        </w:tc>
        <w:tc>
          <w:tcPr>
            <w:tcW w:type="dxa" w:w="2340"/>
          </w:tcPr>
          <w:p>
            <w:pPr>
              <w:spacing w:after="40" w:line="300"/>
            </w:pPr>
            <w:r>
              <w:rPr>
                <w:rFonts w:ascii="Times New Roman" w:cs="Times New Roman" w:eastAsia="Times New Roman" w:hAnsi="Times New Roman"/>
                <w:b w:val="false"/>
                <w:bCs w:val="false"/>
                <w:sz w:val="20"/>
                <w:szCs w:val="20"/>
              </w:rPr>
              <w:t xml:space="preserve">5</w:t>
            </w:r>
          </w:p>
        </w:tc>
        <w:tc>
          <w:tcPr>
            <w:tcW w:type="dxa" w:w="2340"/>
          </w:tcPr>
          <w:p>
            <w:pPr>
              <w:spacing w:after="40" w:line="300"/>
            </w:pPr>
            <w:r>
              <w:rPr>
                <w:rFonts w:ascii="Times New Roman" w:cs="Times New Roman" w:eastAsia="Times New Roman" w:hAnsi="Times New Roman"/>
                <w:b w:val="false"/>
                <w:bCs w:val="false"/>
                <w:sz w:val="20"/>
                <w:szCs w:val="20"/>
              </w:rPr>
              <w:t xml:space="preserve">26</w:t>
            </w:r>
          </w:p>
        </w:tc>
        <w:tc>
          <w:tcPr>
            <w:tcW w:type="dxa" w:w="2340"/>
          </w:tcPr>
          <w:p>
            <w:pPr>
              <w:spacing w:after="40" w:line="300"/>
            </w:pPr>
            <w:r>
              <w:rPr>
                <w:rFonts w:ascii="Times New Roman" w:cs="Times New Roman" w:eastAsia="Times New Roman" w:hAnsi="Times New Roman"/>
                <w:b w:val="false"/>
                <w:bCs w:val="false"/>
                <w:sz w:val="20"/>
                <w:szCs w:val="20"/>
              </w:rPr>
              <w:t xml:space="preserve">Principal origin and airport-operation source</w:t>
            </w:r>
          </w:p>
        </w:tc>
      </w:tr>
      <w:tr>
        <w:tc>
          <w:tcPr>
            <w:tcW w:type="dxa" w:w="2340"/>
          </w:tcPr>
          <w:p>
            <w:pPr>
              <w:spacing w:after="40" w:line="300"/>
            </w:pPr>
            <w:r>
              <w:rPr>
                <w:rFonts w:ascii="Times New Roman" w:cs="Times New Roman" w:eastAsia="Times New Roman" w:hAnsi="Times New Roman"/>
                <w:b w:val="false"/>
                <w:bCs w:val="false"/>
                <w:sz w:val="20"/>
                <w:szCs w:val="20"/>
              </w:rPr>
              <w:t xml:space="preserve">Sri Lanka Air Force</w:t>
            </w:r>
          </w:p>
        </w:tc>
        <w:tc>
          <w:tcPr>
            <w:tcW w:type="dxa" w:w="2340"/>
          </w:tcPr>
          <w:p>
            <w:pPr>
              <w:spacing w:after="40" w:line="300"/>
            </w:pPr>
            <w:r>
              <w:rPr>
                <w:rFonts w:ascii="Times New Roman" w:cs="Times New Roman" w:eastAsia="Times New Roman" w:hAnsi="Times New Roman"/>
                <w:b w:val="false"/>
                <w:bCs w:val="false"/>
                <w:sz w:val="20"/>
                <w:szCs w:val="20"/>
              </w:rPr>
              <w:t xml:space="preserve">5</w:t>
            </w:r>
          </w:p>
        </w:tc>
        <w:tc>
          <w:tcPr>
            <w:tcW w:type="dxa" w:w="2340"/>
          </w:tcPr>
          <w:p>
            <w:pPr>
              <w:spacing w:after="40" w:line="300"/>
            </w:pPr>
            <w:r>
              <w:rPr>
                <w:rFonts w:ascii="Times New Roman" w:cs="Times New Roman" w:eastAsia="Times New Roman" w:hAnsi="Times New Roman"/>
                <w:b w:val="false"/>
                <w:bCs w:val="false"/>
                <w:sz w:val="20"/>
                <w:szCs w:val="20"/>
              </w:rPr>
              <w:t xml:space="preserve">18</w:t>
            </w:r>
          </w:p>
        </w:tc>
        <w:tc>
          <w:tcPr>
            <w:tcW w:type="dxa" w:w="2340"/>
          </w:tcPr>
          <w:p>
            <w:pPr>
              <w:spacing w:after="40" w:line="300"/>
            </w:pPr>
            <w:r>
              <w:rPr>
                <w:rFonts w:ascii="Times New Roman" w:cs="Times New Roman" w:eastAsia="Times New Roman" w:hAnsi="Times New Roman"/>
                <w:b w:val="false"/>
                <w:bCs w:val="false"/>
                <w:sz w:val="20"/>
                <w:szCs w:val="20"/>
              </w:rPr>
              <w:t xml:space="preserve">Security and emergency support connector</w:t>
            </w:r>
          </w:p>
        </w:tc>
      </w:tr>
    </w:tbl>
    <w:p>
      <w:pPr>
        <w:spacing w:after="140"/>
      </w:pPr>
    </w:p>
    <w:p>
      <w:pPr>
        <w:spacing w:after="150" w:line="360"/>
      </w:pPr>
      <w:r>
        <w:rPr>
          <w:rFonts w:ascii="Times New Roman" w:cs="Times New Roman" w:eastAsia="Times New Roman" w:hAnsi="Times New Roman"/>
          <w:b w:val="false"/>
          <w:bCs w:val="false"/>
          <w:sz w:val="24"/>
          <w:szCs w:val="24"/>
        </w:rPr>
        <w:t xml:space="preserve">Betweenness measures how often a node lies on weighted shortest paths [Freeman, 1979; Brandes, 2001]. Fuel Supply Companies is the leading bridge with raw betweenness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 followed by Customs and Immigration with </w:t>
      </w:r>
      <w:r>
        <w:rPr>
          <w:rFonts w:ascii="Times New Roman" w:cs="Times New Roman" w:eastAsia="Times New Roman" w:hAnsi="Times New Roman"/>
          <w:b/>
          <w:bCs/>
          <w:sz w:val="24"/>
          <w:szCs w:val="24"/>
        </w:rPr>
        <w:t xml:space="preserve">11</w:t>
      </w:r>
      <w:r>
        <w:rPr>
          <w:rFonts w:ascii="Times New Roman" w:cs="Times New Roman" w:eastAsia="Times New Roman" w:hAnsi="Times New Roman"/>
          <w:b w:val="false"/>
          <w:bCs w:val="false"/>
          <w:sz w:val="24"/>
          <w:szCs w:val="24"/>
        </w:rPr>
        <w:t xml:space="preserve">. Air Traffic Control and International Airlines each score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Fuel therefore matters not merely because it has five direct ties, but because it links otherwise separated operational pathways. Customs is both a high-degree hub and a bridge, making it an especially important clearance and coordination dependency.</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2. Directed weighted network with node size and colour representing betweenness centrality. Fuel Supply Companies and Customs and Immigration are the principal bridge nodes.</w:t>
      </w: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3. Centrality dashboard comparing degree, betweenness, closeness, PageRank and strength across stakeholder organisations.</w:t>
      </w:r>
    </w:p>
    <w:p>
      <w:pPr>
        <w:spacing w:after="150" w:line="360"/>
      </w:pPr>
      <w:r>
        <w:rPr>
          <w:rFonts w:ascii="Times New Roman" w:cs="Times New Roman" w:eastAsia="Times New Roman" w:hAnsi="Times New Roman"/>
          <w:b w:val="false"/>
          <w:bCs w:val="false"/>
          <w:sz w:val="24"/>
          <w:szCs w:val="24"/>
        </w:rPr>
        <w:t xml:space="preserve">ATC is operationally central in the scenario narrative, but the measured network ranks it third for bridge importance rather than first, with betweenness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This distinction is useful: operational authority and structural centrality need not coincide in a small scenario network. PageRank identifies Cargo Operators as the largest terminal recipient, </w:t>
      </w:r>
      <w:r>
        <w:rPr>
          <w:rFonts w:ascii="Times New Roman" w:cs="Times New Roman" w:eastAsia="Times New Roman" w:hAnsi="Times New Roman"/>
          <w:b/>
          <w:bCs/>
          <w:sz w:val="24"/>
          <w:szCs w:val="24"/>
        </w:rPr>
        <w:t xml:space="preserve">0.2783</w:t>
      </w:r>
      <w:r>
        <w:rPr>
          <w:rFonts w:ascii="Times New Roman" w:cs="Times New Roman" w:eastAsia="Times New Roman" w:hAnsi="Times New Roman"/>
          <w:b w:val="false"/>
          <w:bCs w:val="false"/>
          <w:sz w:val="24"/>
          <w:szCs w:val="24"/>
        </w:rPr>
        <w:t xml:space="preserve">, and Maintenance and Engineering as second, </w:t>
      </w:r>
      <w:r>
        <w:rPr>
          <w:rFonts w:ascii="Times New Roman" w:cs="Times New Roman" w:eastAsia="Times New Roman" w:hAnsi="Times New Roman"/>
          <w:b/>
          <w:bCs/>
          <w:sz w:val="24"/>
          <w:szCs w:val="24"/>
        </w:rPr>
        <w:t xml:space="preserve">0.1225</w:t>
      </w:r>
      <w:r>
        <w:rPr>
          <w:rFonts w:ascii="Times New Roman" w:cs="Times New Roman" w:eastAsia="Times New Roman" w:hAnsi="Times New Roman"/>
          <w:b w:val="false"/>
          <w:bCs w:val="false"/>
          <w:sz w:val="24"/>
          <w:szCs w:val="24"/>
        </w:rPr>
        <w:t xml:space="preserve">. The directed eigenvector score is not substantively interpreted because Cargo alone receives 1.00 while the remaining nodes are zero, an artefact of the acyclic source-to-sink structure.</w:t>
      </w:r>
    </w:p>
    <w:p>
      <w:pPr>
        <w:pStyle w:val="Heading2"/>
        <w:spacing w:after="140" w:before="240"/>
      </w:pPr>
      <w:r>
        <w:rPr>
          <w:rFonts w:ascii="Times New Roman" w:cs="Times New Roman" w:eastAsia="Times New Roman" w:hAnsi="Times New Roman"/>
          <w:b/>
          <w:bCs/>
          <w:sz w:val="26"/>
          <w:szCs w:val="26"/>
        </w:rPr>
        <w:t xml:space="preserve">2.4 Clusters, Connectivity and Coordination Efficiency</w:t>
      </w:r>
    </w:p>
    <w:p>
      <w:pPr>
        <w:spacing w:after="150" w:line="360"/>
      </w:pPr>
      <w:r>
        <w:rPr>
          <w:rFonts w:ascii="Times New Roman" w:cs="Times New Roman" w:eastAsia="Times New Roman" w:hAnsi="Times New Roman"/>
          <w:b w:val="false"/>
          <w:bCs w:val="false"/>
          <w:sz w:val="24"/>
          <w:szCs w:val="24"/>
        </w:rPr>
        <w:t xml:space="preserve">The weighted undirected projection was partitioned with Louvain community detection. It produced </w:t>
      </w:r>
      <w:r>
        <w:rPr>
          <w:rFonts w:ascii="Times New Roman" w:cs="Times New Roman" w:eastAsia="Times New Roman" w:hAnsi="Times New Roman"/>
          <w:b/>
          <w:bCs/>
          <w:sz w:val="24"/>
          <w:szCs w:val="24"/>
        </w:rPr>
        <w:t xml:space="preserve">4</w:t>
      </w:r>
      <w:r>
        <w:rPr>
          <w:rFonts w:ascii="Times New Roman" w:cs="Times New Roman" w:eastAsia="Times New Roman" w:hAnsi="Times New Roman"/>
          <w:b w:val="false"/>
          <w:bCs w:val="false"/>
          <w:sz w:val="24"/>
          <w:szCs w:val="24"/>
        </w:rPr>
        <w:t xml:space="preserve"> communities with modularity </w:t>
      </w:r>
      <w:r>
        <w:rPr>
          <w:rFonts w:ascii="Times New Roman" w:cs="Times New Roman" w:eastAsia="Times New Roman" w:hAnsi="Times New Roman"/>
          <w:b/>
          <w:bCs/>
          <w:sz w:val="24"/>
          <w:szCs w:val="24"/>
        </w:rPr>
        <w:t xml:space="preserve">0.3313</w:t>
      </w:r>
      <w:r>
        <w:rPr>
          <w:rFonts w:ascii="Times New Roman" w:cs="Times New Roman" w:eastAsia="Times New Roman" w:hAnsi="Times New Roman"/>
          <w:b w:val="false"/>
          <w:bCs w:val="false"/>
          <w:sz w:val="24"/>
          <w:szCs w:val="24"/>
        </w:rPr>
        <w:t xml:space="preserve"> and sizes </w:t>
      </w:r>
      <w:r>
        <w:rPr>
          <w:rFonts w:ascii="Times New Roman" w:cs="Times New Roman" w:eastAsia="Times New Roman" w:hAnsi="Times New Roman"/>
          <w:b/>
          <w:bCs/>
          <w:sz w:val="24"/>
          <w:szCs w:val="24"/>
        </w:rPr>
        <w:t xml:space="preserve">3, 5, 5 and 2</w:t>
      </w:r>
      <w:r>
        <w:rPr>
          <w:rFonts w:ascii="Times New Roman" w:cs="Times New Roman" w:eastAsia="Times New Roman" w:hAnsi="Times New Roman"/>
          <w:b w:val="false"/>
          <w:bCs w:val="false"/>
          <w:sz w:val="24"/>
          <w:szCs w:val="24"/>
        </w:rPr>
        <w:t xml:space="preserve">. The modularity result indicates meaningful functional grouping rather than a completely homogeneous stakeholder structure. A Walktrap comparison produced three broader groups with lower modularity, </w:t>
      </w:r>
      <w:r>
        <w:rPr>
          <w:rFonts w:ascii="Times New Roman" w:cs="Times New Roman" w:eastAsia="Times New Roman" w:hAnsi="Times New Roman"/>
          <w:b/>
          <w:bCs/>
          <w:sz w:val="24"/>
          <w:szCs w:val="24"/>
        </w:rPr>
        <w:t xml:space="preserve">0.2414</w:t>
      </w:r>
      <w:r>
        <w:rPr>
          <w:rFonts w:ascii="Times New Roman" w:cs="Times New Roman" w:eastAsia="Times New Roman" w:hAnsi="Times New Roman"/>
          <w:b w:val="false"/>
          <w:bCs w:val="false"/>
          <w:sz w:val="24"/>
          <w:szCs w:val="24"/>
        </w:rPr>
        <w:t xml:space="preserve">, while Fast-Greedy also produced four groups with modularity </w:t>
      </w:r>
      <w:r>
        <w:rPr>
          <w:rFonts w:ascii="Times New Roman" w:cs="Times New Roman" w:eastAsia="Times New Roman" w:hAnsi="Times New Roman"/>
          <w:b/>
          <w:bCs/>
          <w:sz w:val="24"/>
          <w:szCs w:val="24"/>
        </w:rPr>
        <w:t xml:space="preserve">0.3313</w:t>
      </w:r>
      <w:r>
        <w:rPr>
          <w:rFonts w:ascii="Times New Roman" w:cs="Times New Roman" w:eastAsia="Times New Roman" w:hAnsi="Times New Roman"/>
          <w:b w:val="false"/>
          <w:bCs w:val="false"/>
          <w:sz w:val="24"/>
          <w:szCs w:val="24"/>
        </w:rPr>
        <w:t xml:space="preserve">. Louvain is used for the main interpretation because it is reproducible with the fixed seed and provides the highest recorded modularity [Blondel et al., 2008; Csardi et al.,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color="D9EAF7" w:val="clear"/>
          </w:tcPr>
          <w:p>
            <w:pPr>
              <w:spacing w:after="40" w:line="300"/>
            </w:pPr>
            <w:r>
              <w:rPr>
                <w:rFonts w:ascii="Times New Roman" w:cs="Times New Roman" w:eastAsia="Times New Roman" w:hAnsi="Times New Roman"/>
                <w:b/>
                <w:bCs/>
                <w:sz w:val="20"/>
                <w:szCs w:val="20"/>
              </w:rPr>
              <w:t xml:space="preserve">Louvain community</w:t>
            </w:r>
          </w:p>
        </w:tc>
        <w:tc>
          <w:tcPr>
            <w:tcW w:type="dxa" w:w="3120"/>
            <w:shd w:color="D9EAF7" w:val="clear"/>
          </w:tcPr>
          <w:p>
            <w:pPr>
              <w:spacing w:after="40" w:line="300"/>
            </w:pPr>
            <w:r>
              <w:rPr>
                <w:rFonts w:ascii="Times New Roman" w:cs="Times New Roman" w:eastAsia="Times New Roman" w:hAnsi="Times New Roman"/>
                <w:b/>
                <w:bCs/>
                <w:sz w:val="20"/>
                <w:szCs w:val="20"/>
              </w:rPr>
              <w:t xml:space="preserve">Members</w:t>
            </w:r>
          </w:p>
        </w:tc>
        <w:tc>
          <w:tcPr>
            <w:tcW w:type="dxa" w:w="3120"/>
            <w:shd w:color="D9EAF7" w:val="clear"/>
          </w:tcPr>
          <w:p>
            <w:pPr>
              <w:spacing w:after="40" w:line="300"/>
            </w:pPr>
            <w:r>
              <w:rPr>
                <w:rFonts w:ascii="Times New Roman" w:cs="Times New Roman" w:eastAsia="Times New Roman" w:hAnsi="Times New Roman"/>
                <w:b/>
                <w:bCs/>
                <w:sz w:val="20"/>
                <w:szCs w:val="20"/>
              </w:rPr>
              <w:t xml:space="preserve">Functional interpretation</w:t>
            </w:r>
          </w:p>
        </w:tc>
      </w:tr>
      <w:tr>
        <w:tc>
          <w:tcPr>
            <w:tcW w:type="dxa" w:w="3120"/>
          </w:tcPr>
          <w:p>
            <w:pPr>
              <w:spacing w:after="40" w:line="300"/>
            </w:pPr>
            <w:r>
              <w:rPr>
                <w:rFonts w:ascii="Times New Roman" w:cs="Times New Roman" w:eastAsia="Times New Roman" w:hAnsi="Times New Roman"/>
                <w:b w:val="false"/>
                <w:bCs w:val="false"/>
                <w:sz w:val="20"/>
                <w:szCs w:val="20"/>
              </w:rPr>
              <w:t xml:space="preserve">1</w:t>
            </w:r>
          </w:p>
        </w:tc>
        <w:tc>
          <w:tcPr>
            <w:tcW w:type="dxa" w:w="3120"/>
          </w:tcPr>
          <w:p>
            <w:pPr>
              <w:spacing w:after="40" w:line="300"/>
            </w:pPr>
            <w:r>
              <w:rPr>
                <w:rFonts w:ascii="Times New Roman" w:cs="Times New Roman" w:eastAsia="Times New Roman" w:hAnsi="Times New Roman"/>
                <w:b w:val="false"/>
                <w:bCs w:val="false"/>
                <w:sz w:val="20"/>
                <w:szCs w:val="20"/>
              </w:rPr>
              <w:t xml:space="preserve">ATC, CAASL, Mihin Lanka</w:t>
            </w:r>
          </w:p>
        </w:tc>
        <w:tc>
          <w:tcPr>
            <w:tcW w:type="dxa" w:w="3120"/>
          </w:tcPr>
          <w:p>
            <w:pPr>
              <w:spacing w:after="40" w:line="300"/>
            </w:pPr>
            <w:r>
              <w:rPr>
                <w:rFonts w:ascii="Times New Roman" w:cs="Times New Roman" w:eastAsia="Times New Roman" w:hAnsi="Times New Roman"/>
                <w:b w:val="false"/>
                <w:bCs w:val="false"/>
                <w:sz w:val="20"/>
                <w:szCs w:val="20"/>
              </w:rPr>
              <w:t xml:space="preserve">Regulatory and air-traffic coordination</w:t>
            </w:r>
          </w:p>
        </w:tc>
      </w:tr>
      <w:tr>
        <w:tc>
          <w:tcPr>
            <w:tcW w:type="dxa" w:w="3120"/>
          </w:tcPr>
          <w:p>
            <w:pPr>
              <w:spacing w:after="40" w:line="300"/>
            </w:pPr>
            <w:r>
              <w:rPr>
                <w:rFonts w:ascii="Times New Roman" w:cs="Times New Roman" w:eastAsia="Times New Roman" w:hAnsi="Times New Roman"/>
                <w:b w:val="false"/>
                <w:bCs w:val="false"/>
                <w:sz w:val="20"/>
                <w:szCs w:val="20"/>
              </w:rPr>
              <w:t xml:space="preserve">2</w:t>
            </w:r>
          </w:p>
        </w:tc>
        <w:tc>
          <w:tcPr>
            <w:tcW w:type="dxa" w:w="3120"/>
          </w:tcPr>
          <w:p>
            <w:pPr>
              <w:spacing w:after="40" w:line="300"/>
            </w:pPr>
            <w:r>
              <w:rPr>
                <w:rFonts w:ascii="Times New Roman" w:cs="Times New Roman" w:eastAsia="Times New Roman" w:hAnsi="Times New Roman"/>
                <w:b w:val="false"/>
                <w:bCs w:val="false"/>
                <w:sz w:val="20"/>
                <w:szCs w:val="20"/>
              </w:rPr>
              <w:t xml:space="preserve">AASL, Cargo, MRIA, SriLankan Airlines, Tourism</w:t>
            </w:r>
          </w:p>
        </w:tc>
        <w:tc>
          <w:tcPr>
            <w:tcW w:type="dxa" w:w="3120"/>
          </w:tcPr>
          <w:p>
            <w:pPr>
              <w:spacing w:after="40" w:line="300"/>
            </w:pPr>
            <w:r>
              <w:rPr>
                <w:rFonts w:ascii="Times New Roman" w:cs="Times New Roman" w:eastAsia="Times New Roman" w:hAnsi="Times New Roman"/>
                <w:b w:val="false"/>
                <w:bCs w:val="false"/>
                <w:sz w:val="20"/>
                <w:szCs w:val="20"/>
              </w:rPr>
              <w:t xml:space="preserve">Commercial, tourism and cargo corridor</w:t>
            </w:r>
          </w:p>
        </w:tc>
      </w:tr>
      <w:tr>
        <w:tc>
          <w:tcPr>
            <w:tcW w:type="dxa" w:w="3120"/>
          </w:tcPr>
          <w:p>
            <w:pPr>
              <w:spacing w:after="40" w:line="300"/>
            </w:pPr>
            <w:r>
              <w:rPr>
                <w:rFonts w:ascii="Times New Roman" w:cs="Times New Roman" w:eastAsia="Times New Roman" w:hAnsi="Times New Roman"/>
                <w:b w:val="false"/>
                <w:bCs w:val="false"/>
                <w:sz w:val="20"/>
                <w:szCs w:val="20"/>
              </w:rPr>
              <w:t xml:space="preserve">3</w:t>
            </w:r>
          </w:p>
        </w:tc>
        <w:tc>
          <w:tcPr>
            <w:tcW w:type="dxa" w:w="3120"/>
          </w:tcPr>
          <w:p>
            <w:pPr>
              <w:spacing w:after="40" w:line="300"/>
            </w:pPr>
            <w:r>
              <w:rPr>
                <w:rFonts w:ascii="Times New Roman" w:cs="Times New Roman" w:eastAsia="Times New Roman" w:hAnsi="Times New Roman"/>
                <w:b w:val="false"/>
                <w:bCs w:val="false"/>
                <w:sz w:val="20"/>
                <w:szCs w:val="20"/>
              </w:rPr>
              <w:t xml:space="preserve">BIA CMB, Customs, Fuel, Ground Handling, International Airlines</w:t>
            </w:r>
          </w:p>
        </w:tc>
        <w:tc>
          <w:tcPr>
            <w:tcW w:type="dxa" w:w="3120"/>
          </w:tcPr>
          <w:p>
            <w:pPr>
              <w:spacing w:after="40" w:line="300"/>
            </w:pPr>
            <w:r>
              <w:rPr>
                <w:rFonts w:ascii="Times New Roman" w:cs="Times New Roman" w:eastAsia="Times New Roman" w:hAnsi="Times New Roman"/>
                <w:b w:val="false"/>
                <w:bCs w:val="false"/>
                <w:sz w:val="20"/>
                <w:szCs w:val="20"/>
              </w:rPr>
              <w:t xml:space="preserve">BIA gateway, clearance and fuel cluster</w:t>
            </w:r>
          </w:p>
        </w:tc>
      </w:tr>
      <w:tr>
        <w:tc>
          <w:tcPr>
            <w:tcW w:type="dxa" w:w="3120"/>
          </w:tcPr>
          <w:p>
            <w:pPr>
              <w:spacing w:after="40" w:line="300"/>
            </w:pPr>
            <w:r>
              <w:rPr>
                <w:rFonts w:ascii="Times New Roman" w:cs="Times New Roman" w:eastAsia="Times New Roman" w:hAnsi="Times New Roman"/>
                <w:b w:val="false"/>
                <w:bCs w:val="false"/>
                <w:sz w:val="20"/>
                <w:szCs w:val="20"/>
              </w:rPr>
              <w:t xml:space="preserve">4</w:t>
            </w:r>
          </w:p>
        </w:tc>
        <w:tc>
          <w:tcPr>
            <w:tcW w:type="dxa" w:w="3120"/>
          </w:tcPr>
          <w:p>
            <w:pPr>
              <w:spacing w:after="40" w:line="300"/>
            </w:pPr>
            <w:r>
              <w:rPr>
                <w:rFonts w:ascii="Times New Roman" w:cs="Times New Roman" w:eastAsia="Times New Roman" w:hAnsi="Times New Roman"/>
                <w:b w:val="false"/>
                <w:bCs w:val="false"/>
                <w:sz w:val="20"/>
                <w:szCs w:val="20"/>
              </w:rPr>
              <w:t xml:space="preserve">Maintenance and Engineering, Sri Lanka Air Force</w:t>
            </w:r>
          </w:p>
        </w:tc>
        <w:tc>
          <w:tcPr>
            <w:tcW w:type="dxa" w:w="3120"/>
          </w:tcPr>
          <w:p>
            <w:pPr>
              <w:spacing w:after="40" w:line="300"/>
            </w:pPr>
            <w:r>
              <w:rPr>
                <w:rFonts w:ascii="Times New Roman" w:cs="Times New Roman" w:eastAsia="Times New Roman" w:hAnsi="Times New Roman"/>
                <w:b w:val="false"/>
                <w:bCs w:val="false"/>
                <w:sz w:val="20"/>
                <w:szCs w:val="20"/>
              </w:rPr>
              <w:t xml:space="preserve">Technical and security support pair</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4. Louvain community structure in the Sri Lanka civil-aviation stakeholder network.</w:t>
      </w:r>
    </w:p>
    <w:p>
      <w:pPr>
        <w:spacing w:after="150" w:line="360"/>
      </w:pPr>
      <w:r>
        <w:rPr>
          <w:rFonts w:ascii="Times New Roman" w:cs="Times New Roman" w:eastAsia="Times New Roman" w:hAnsi="Times New Roman"/>
          <w:b w:val="false"/>
          <w:bCs w:val="false"/>
          <w:sz w:val="24"/>
          <w:szCs w:val="24"/>
        </w:rPr>
        <w:t xml:space="preserve">The community structure has practical implications during a technical fault. Maintenance and Engineering and the Sri Lanka Air Force form a small specialised group, whereas the BIA gateway cluster combines airport, passenger-clearance, fuel and international-airline functions. The MRIA, cargo and tourism community is structurally distinct. A fault response must therefore communicate across communities, especially between the technical pair, ATC/CAASL, and the BIA gateway cluster. The one-way data structure prevents a claim of high directional efficiency, even though weak connectivity shows that an undirected coordination route exists.</w:t>
      </w:r>
    </w:p>
    <w:p>
      <w:pPr>
        <w:pStyle w:val="Heading2"/>
        <w:spacing w:after="140" w:before="240"/>
      </w:pPr>
      <w:r>
        <w:rPr>
          <w:rFonts w:ascii="Times New Roman" w:cs="Times New Roman" w:eastAsia="Times New Roman" w:hAnsi="Times New Roman"/>
          <w:b/>
          <w:bCs/>
          <w:sz w:val="26"/>
          <w:szCs w:val="26"/>
        </w:rPr>
        <w:t xml:space="preserve">2.5 Vulnerability During High Traffic and Emergency Conditions</w:t>
      </w:r>
    </w:p>
    <w:p>
      <w:pPr>
        <w:spacing w:after="150" w:line="360"/>
      </w:pPr>
      <w:r>
        <w:rPr>
          <w:rFonts w:ascii="Times New Roman" w:cs="Times New Roman" w:eastAsia="Times New Roman" w:hAnsi="Times New Roman"/>
          <w:b w:val="false"/>
          <w:bCs w:val="false"/>
          <w:sz w:val="24"/>
          <w:szCs w:val="24"/>
        </w:rPr>
        <w:t xml:space="preserve">Vulnerability was assessed through articulation points, critical edges and node-removal scenarios. Cargo Operators and Fuel Supply Companies are the two articulation points: removing either fragments the weakly connected network. Cargo removal is the clearest measured failure case. It removes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of </w:t>
      </w:r>
      <w:r>
        <w:rPr>
          <w:rFonts w:ascii="Times New Roman" w:cs="Times New Roman" w:eastAsia="Times New Roman" w:hAnsi="Times New Roman"/>
          <w:b/>
          <w:bCs/>
          <w:sz w:val="24"/>
          <w:szCs w:val="24"/>
        </w:rPr>
        <w:t xml:space="preserve">28</w:t>
      </w:r>
      <w:r>
        <w:rPr>
          <w:rFonts w:ascii="Times New Roman" w:cs="Times New Roman" w:eastAsia="Times New Roman" w:hAnsi="Times New Roman"/>
          <w:b w:val="false"/>
          <w:bCs w:val="false"/>
          <w:sz w:val="24"/>
          <w:szCs w:val="24"/>
        </w:rPr>
        <w:t xml:space="preserve"> edges, leaves </w:t>
      </w:r>
      <w:r>
        <w:rPr>
          <w:rFonts w:ascii="Times New Roman" w:cs="Times New Roman" w:eastAsia="Times New Roman" w:hAnsi="Times New Roman"/>
          <w:b/>
          <w:bCs/>
          <w:sz w:val="24"/>
          <w:szCs w:val="24"/>
        </w:rPr>
        <w:t xml:space="preserve">21</w:t>
      </w:r>
      <w:r>
        <w:rPr>
          <w:rFonts w:ascii="Times New Roman" w:cs="Times New Roman" w:eastAsia="Times New Roman" w:hAnsi="Times New Roman"/>
          <w:b w:val="false"/>
          <w:bCs w:val="false"/>
          <w:sz w:val="24"/>
          <w:szCs w:val="24"/>
        </w:rPr>
        <w:t xml:space="preserve"> edges, reduces density from </w:t>
      </w:r>
      <w:r>
        <w:rPr>
          <w:rFonts w:ascii="Times New Roman" w:cs="Times New Roman" w:eastAsia="Times New Roman" w:hAnsi="Times New Roman"/>
          <w:b/>
          <w:bCs/>
          <w:sz w:val="24"/>
          <w:szCs w:val="24"/>
        </w:rPr>
        <w:t xml:space="preserve">0.133</w:t>
      </w:r>
      <w:r>
        <w:rPr>
          <w:rFonts w:ascii="Times New Roman" w:cs="Times New Roman" w:eastAsia="Times New Roman" w:hAnsi="Times New Roman"/>
          <w:b w:val="false"/>
          <w:bCs w:val="false"/>
          <w:sz w:val="24"/>
          <w:szCs w:val="24"/>
        </w:rPr>
        <w:t xml:space="preserve"> to </w:t>
      </w:r>
      <w:r>
        <w:rPr>
          <w:rFonts w:ascii="Times New Roman" w:cs="Times New Roman" w:eastAsia="Times New Roman" w:hAnsi="Times New Roman"/>
          <w:b/>
          <w:bCs/>
          <w:sz w:val="24"/>
          <w:szCs w:val="24"/>
        </w:rPr>
        <w:t xml:space="preserve">0.115</w:t>
      </w:r>
      <w:r>
        <w:rPr>
          <w:rFonts w:ascii="Times New Roman" w:cs="Times New Roman" w:eastAsia="Times New Roman" w:hAnsi="Times New Roman"/>
          <w:b w:val="false"/>
          <w:bCs w:val="false"/>
          <w:sz w:val="24"/>
          <w:szCs w:val="24"/>
        </w:rPr>
        <w:t xml:space="preserve">, and splits the network into </w:t>
      </w:r>
      <w:r>
        <w:rPr>
          <w:rFonts w:ascii="Times New Roman" w:cs="Times New Roman" w:eastAsia="Times New Roman" w:hAnsi="Times New Roman"/>
          <w:b/>
          <w:bCs/>
          <w:sz w:val="24"/>
          <w:szCs w:val="24"/>
        </w:rPr>
        <w:t xml:space="preserve">2</w:t>
      </w:r>
      <w:r>
        <w:rPr>
          <w:rFonts w:ascii="Times New Roman" w:cs="Times New Roman" w:eastAsia="Times New Roman" w:hAnsi="Times New Roman"/>
          <w:b w:val="false"/>
          <w:bCs w:val="false"/>
          <w:sz w:val="24"/>
          <w:szCs w:val="24"/>
        </w:rPr>
        <w:t xml:space="preserve"> weak components. This creates a plausible cargo, commercial and service-continuity risk during peak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color="D9EAF7" w:val="clear"/>
          </w:tcPr>
          <w:p>
            <w:pPr>
              <w:spacing w:after="40" w:line="300"/>
            </w:pPr>
            <w:r>
              <w:rPr>
                <w:rFonts w:ascii="Times New Roman" w:cs="Times New Roman" w:eastAsia="Times New Roman" w:hAnsi="Times New Roman"/>
                <w:b/>
                <w:bCs/>
                <w:sz w:val="20"/>
                <w:szCs w:val="20"/>
              </w:rPr>
              <w:t xml:space="preserve">Scenario</w:t>
            </w:r>
          </w:p>
        </w:tc>
        <w:tc>
          <w:tcPr>
            <w:tcW w:type="dxa" w:w="1872"/>
            <w:shd w:color="D9EAF7" w:val="clear"/>
          </w:tcPr>
          <w:p>
            <w:pPr>
              <w:spacing w:after="40" w:line="300"/>
            </w:pPr>
            <w:r>
              <w:rPr>
                <w:rFonts w:ascii="Times New Roman" w:cs="Times New Roman" w:eastAsia="Times New Roman" w:hAnsi="Times New Roman"/>
                <w:b/>
                <w:bCs/>
                <w:sz w:val="20"/>
                <w:szCs w:val="20"/>
              </w:rPr>
              <w:t xml:space="preserve">Edges remaining</w:t>
            </w:r>
          </w:p>
        </w:tc>
        <w:tc>
          <w:tcPr>
            <w:tcW w:type="dxa" w:w="1872"/>
            <w:shd w:color="D9EAF7" w:val="clear"/>
          </w:tcPr>
          <w:p>
            <w:pPr>
              <w:spacing w:after="40" w:line="300"/>
            </w:pPr>
            <w:r>
              <w:rPr>
                <w:rFonts w:ascii="Times New Roman" w:cs="Times New Roman" w:eastAsia="Times New Roman" w:hAnsi="Times New Roman"/>
                <w:b/>
                <w:bCs/>
                <w:sz w:val="20"/>
                <w:szCs w:val="20"/>
              </w:rPr>
              <w:t xml:space="preserve">Weak components</w:t>
            </w:r>
          </w:p>
        </w:tc>
        <w:tc>
          <w:tcPr>
            <w:tcW w:type="dxa" w:w="1872"/>
            <w:shd w:color="D9EAF7" w:val="clear"/>
          </w:tcPr>
          <w:p>
            <w:pPr>
              <w:spacing w:after="40" w:line="300"/>
            </w:pPr>
            <w:r>
              <w:rPr>
                <w:rFonts w:ascii="Times New Roman" w:cs="Times New Roman" w:eastAsia="Times New Roman" w:hAnsi="Times New Roman"/>
                <w:b/>
                <w:bCs/>
                <w:sz w:val="20"/>
                <w:szCs w:val="20"/>
              </w:rPr>
              <w:t xml:space="preserve">Density</w:t>
            </w:r>
          </w:p>
        </w:tc>
        <w:tc>
          <w:tcPr>
            <w:tcW w:type="dxa" w:w="1872"/>
            <w:shd w:color="D9EAF7" w:val="clear"/>
          </w:tcPr>
          <w:p>
            <w:pPr>
              <w:spacing w:after="40" w:line="300"/>
            </w:pPr>
            <w:r>
              <w:rPr>
                <w:rFonts w:ascii="Times New Roman" w:cs="Times New Roman" w:eastAsia="Times New Roman" w:hAnsi="Times New Roman"/>
                <w:b/>
                <w:bCs/>
                <w:sz w:val="20"/>
                <w:szCs w:val="20"/>
              </w:rPr>
              <w:t xml:space="preserve">Interpretation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Baseline</w:t>
            </w:r>
          </w:p>
        </w:tc>
        <w:tc>
          <w:tcPr>
            <w:tcW w:type="dxa" w:w="1872"/>
          </w:tcPr>
          <w:p>
            <w:pPr>
              <w:spacing w:after="40" w:line="300"/>
            </w:pPr>
            <w:r>
              <w:rPr>
                <w:rFonts w:ascii="Times New Roman" w:cs="Times New Roman" w:eastAsia="Times New Roman" w:hAnsi="Times New Roman"/>
                <w:b w:val="false"/>
                <w:bCs w:val="false"/>
                <w:sz w:val="20"/>
                <w:szCs w:val="20"/>
              </w:rPr>
              <w:t xml:space="preserve">28</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0.133</w:t>
            </w:r>
          </w:p>
        </w:tc>
        <w:tc>
          <w:tcPr>
            <w:tcW w:type="dxa" w:w="1872"/>
          </w:tcPr>
          <w:p>
            <w:pPr>
              <w:spacing w:after="40" w:line="300"/>
            </w:pPr>
            <w:r>
              <w:rPr>
                <w:rFonts w:ascii="Times New Roman" w:cs="Times New Roman" w:eastAsia="Times New Roman" w:hAnsi="Times New Roman"/>
                <w:b w:val="false"/>
                <w:bCs w:val="false"/>
                <w:sz w:val="20"/>
                <w:szCs w:val="20"/>
              </w:rPr>
              <w:t xml:space="preserve">Single weakly connected stakeholder network</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BIA CMB</w:t>
            </w:r>
          </w:p>
        </w:tc>
        <w:tc>
          <w:tcPr>
            <w:tcW w:type="dxa" w:w="1872"/>
          </w:tcPr>
          <w:p>
            <w:pPr>
              <w:spacing w:after="40" w:line="300"/>
            </w:pPr>
            <w:r>
              <w:rPr>
                <w:rFonts w:ascii="Times New Roman" w:cs="Times New Roman" w:eastAsia="Times New Roman" w:hAnsi="Times New Roman"/>
                <w:b w:val="false"/>
                <w:bCs w:val="false"/>
                <w:sz w:val="20"/>
                <w:szCs w:val="20"/>
              </w:rPr>
              <w:t xml:space="preserve">23</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0.126</w:t>
            </w:r>
          </w:p>
        </w:tc>
        <w:tc>
          <w:tcPr>
            <w:tcW w:type="dxa" w:w="1872"/>
          </w:tcPr>
          <w:p>
            <w:pPr>
              <w:spacing w:after="40" w:line="300"/>
            </w:pPr>
            <w:r>
              <w:rPr>
                <w:rFonts w:ascii="Times New Roman" w:cs="Times New Roman" w:eastAsia="Times New Roman" w:hAnsi="Times New Roman"/>
                <w:b w:val="false"/>
                <w:bCs w:val="false"/>
                <w:sz w:val="20"/>
                <w:szCs w:val="20"/>
              </w:rPr>
              <w:t xml:space="preserve">Major origin relationships lost, but no weak fragmentation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CAASL</w:t>
            </w:r>
          </w:p>
        </w:tc>
        <w:tc>
          <w:tcPr>
            <w:tcW w:type="dxa" w:w="1872"/>
          </w:tcPr>
          <w:p>
            <w:pPr>
              <w:spacing w:after="40" w:line="300"/>
            </w:pPr>
            <w:r>
              <w:rPr>
                <w:rFonts w:ascii="Times New Roman" w:cs="Times New Roman" w:eastAsia="Times New Roman" w:hAnsi="Times New Roman"/>
                <w:b w:val="false"/>
                <w:bCs w:val="false"/>
                <w:sz w:val="20"/>
                <w:szCs w:val="20"/>
              </w:rPr>
              <w:t xml:space="preserve">24</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0.132</w:t>
            </w:r>
          </w:p>
        </w:tc>
        <w:tc>
          <w:tcPr>
            <w:tcW w:type="dxa" w:w="1872"/>
          </w:tcPr>
          <w:p>
            <w:pPr>
              <w:spacing w:after="40" w:line="300"/>
            </w:pPr>
            <w:r>
              <w:rPr>
                <w:rFonts w:ascii="Times New Roman" w:cs="Times New Roman" w:eastAsia="Times New Roman" w:hAnsi="Times New Roman"/>
                <w:b w:val="false"/>
                <w:bCs w:val="false"/>
                <w:sz w:val="20"/>
                <w:szCs w:val="20"/>
              </w:rPr>
              <w:t xml:space="preserve">Regulatory source relationships lost, but no weak fragmentation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Cargo Operators</w:t>
            </w:r>
          </w:p>
        </w:tc>
        <w:tc>
          <w:tcPr>
            <w:tcW w:type="dxa" w:w="1872"/>
          </w:tcPr>
          <w:p>
            <w:pPr>
              <w:spacing w:after="40" w:line="300"/>
            </w:pPr>
            <w:r>
              <w:rPr>
                <w:rFonts w:ascii="Times New Roman" w:cs="Times New Roman" w:eastAsia="Times New Roman" w:hAnsi="Times New Roman"/>
                <w:b w:val="false"/>
                <w:bCs w:val="false"/>
                <w:sz w:val="20"/>
                <w:szCs w:val="20"/>
              </w:rPr>
              <w:t xml:space="preserve">21</w:t>
            </w:r>
          </w:p>
        </w:tc>
        <w:tc>
          <w:tcPr>
            <w:tcW w:type="dxa" w:w="1872"/>
          </w:tcPr>
          <w:p>
            <w:pPr>
              <w:spacing w:after="40" w:line="300"/>
            </w:pPr>
            <w:r>
              <w:rPr>
                <w:rFonts w:ascii="Times New Roman" w:cs="Times New Roman" w:eastAsia="Times New Roman" w:hAnsi="Times New Roman"/>
                <w:b w:val="false"/>
                <w:bCs w:val="false"/>
                <w:sz w:val="20"/>
                <w:szCs w:val="20"/>
              </w:rPr>
              <w:t xml:space="preserve">2</w:t>
            </w:r>
          </w:p>
        </w:tc>
        <w:tc>
          <w:tcPr>
            <w:tcW w:type="dxa" w:w="1872"/>
          </w:tcPr>
          <w:p>
            <w:pPr>
              <w:spacing w:after="40" w:line="300"/>
            </w:pPr>
            <w:r>
              <w:rPr>
                <w:rFonts w:ascii="Times New Roman" w:cs="Times New Roman" w:eastAsia="Times New Roman" w:hAnsi="Times New Roman"/>
                <w:b w:val="false"/>
                <w:bCs w:val="false"/>
                <w:sz w:val="20"/>
                <w:szCs w:val="20"/>
              </w:rPr>
              <w:t xml:space="preserve">0.115</w:t>
            </w:r>
          </w:p>
        </w:tc>
        <w:tc>
          <w:tcPr>
            <w:tcW w:type="dxa" w:w="1872"/>
          </w:tcPr>
          <w:p>
            <w:pPr>
              <w:spacing w:after="40" w:line="300"/>
            </w:pPr>
            <w:r>
              <w:rPr>
                <w:rFonts w:ascii="Times New Roman" w:cs="Times New Roman" w:eastAsia="Times New Roman" w:hAnsi="Times New Roman"/>
                <w:b w:val="false"/>
                <w:bCs w:val="false"/>
                <w:sz w:val="20"/>
                <w:szCs w:val="20"/>
              </w:rPr>
              <w:t xml:space="preserve">Largest measured fragmentation and edge loss</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Customs and Immigration</w:t>
            </w:r>
          </w:p>
        </w:tc>
        <w:tc>
          <w:tcPr>
            <w:tcW w:type="dxa" w:w="1872"/>
          </w:tcPr>
          <w:p>
            <w:pPr>
              <w:spacing w:after="40" w:line="300"/>
            </w:pPr>
            <w:r>
              <w:rPr>
                <w:rFonts w:ascii="Times New Roman" w:cs="Times New Roman" w:eastAsia="Times New Roman" w:hAnsi="Times New Roman"/>
                <w:b w:val="false"/>
                <w:bCs w:val="false"/>
                <w:sz w:val="20"/>
                <w:szCs w:val="20"/>
              </w:rPr>
              <w:t xml:space="preserve">22</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0.121</w:t>
            </w:r>
          </w:p>
        </w:tc>
        <w:tc>
          <w:tcPr>
            <w:tcW w:type="dxa" w:w="1872"/>
          </w:tcPr>
          <w:p>
            <w:pPr>
              <w:spacing w:after="40" w:line="300"/>
            </w:pPr>
            <w:r>
              <w:rPr>
                <w:rFonts w:ascii="Times New Roman" w:cs="Times New Roman" w:eastAsia="Times New Roman" w:hAnsi="Times New Roman"/>
                <w:b w:val="false"/>
                <w:bCs w:val="false"/>
                <w:sz w:val="20"/>
                <w:szCs w:val="20"/>
              </w:rPr>
              <w:t xml:space="preserve">Gateway capacity reduced without weak fragmentation</w:t>
            </w:r>
          </w:p>
        </w:tc>
      </w:tr>
      <w:tr>
        <w:tc>
          <w:tcPr>
            <w:tcW w:type="dxa" w:w="1872"/>
          </w:tcPr>
          <w:p>
            <w:pPr>
              <w:spacing w:after="40" w:line="300"/>
            </w:pPr>
            <w:r>
              <w:rPr>
                <w:rFonts w:ascii="Times New Roman" w:cs="Times New Roman" w:eastAsia="Times New Roman" w:hAnsi="Times New Roman"/>
                <w:b w:val="false"/>
                <w:bCs w:val="false"/>
                <w:sz w:val="20"/>
                <w:szCs w:val="20"/>
              </w:rPr>
              <w:t xml:space="preserve">Remove BIA CMB and CAASL</w:t>
            </w:r>
          </w:p>
        </w:tc>
        <w:tc>
          <w:tcPr>
            <w:tcW w:type="dxa" w:w="1872"/>
          </w:tcPr>
          <w:p>
            <w:pPr>
              <w:spacing w:after="40" w:line="300"/>
            </w:pPr>
            <w:r>
              <w:rPr>
                <w:rFonts w:ascii="Times New Roman" w:cs="Times New Roman" w:eastAsia="Times New Roman" w:hAnsi="Times New Roman"/>
                <w:b w:val="false"/>
                <w:bCs w:val="false"/>
                <w:sz w:val="20"/>
                <w:szCs w:val="20"/>
              </w:rPr>
              <w:t xml:space="preserve">19</w:t>
            </w:r>
          </w:p>
        </w:tc>
        <w:tc>
          <w:tcPr>
            <w:tcW w:type="dxa" w:w="1872"/>
          </w:tcPr>
          <w:p>
            <w:pPr>
              <w:spacing w:after="40" w:line="300"/>
            </w:pPr>
            <w:r>
              <w:rPr>
                <w:rFonts w:ascii="Times New Roman" w:cs="Times New Roman" w:eastAsia="Times New Roman" w:hAnsi="Times New Roman"/>
                <w:b w:val="false"/>
                <w:bCs w:val="false"/>
                <w:sz w:val="20"/>
                <w:szCs w:val="20"/>
              </w:rPr>
              <w:t xml:space="preserve">1</w:t>
            </w:r>
          </w:p>
        </w:tc>
        <w:tc>
          <w:tcPr>
            <w:tcW w:type="dxa" w:w="1872"/>
          </w:tcPr>
          <w:p>
            <w:pPr>
              <w:spacing w:after="40" w:line="300"/>
            </w:pPr>
            <w:r>
              <w:rPr>
                <w:rFonts w:ascii="Times New Roman" w:cs="Times New Roman" w:eastAsia="Times New Roman" w:hAnsi="Times New Roman"/>
                <w:b w:val="false"/>
                <w:bCs w:val="false"/>
                <w:sz w:val="20"/>
                <w:szCs w:val="20"/>
              </w:rPr>
              <w:t xml:space="preserve">0.122</w:t>
            </w:r>
          </w:p>
        </w:tc>
        <w:tc>
          <w:tcPr>
            <w:tcW w:type="dxa" w:w="1872"/>
          </w:tcPr>
          <w:p>
            <w:pPr>
              <w:spacing w:after="40" w:line="300"/>
            </w:pPr>
            <w:r>
              <w:rPr>
                <w:rFonts w:ascii="Times New Roman" w:cs="Times New Roman" w:eastAsia="Times New Roman" w:hAnsi="Times New Roman"/>
                <w:b w:val="false"/>
                <w:bCs w:val="false"/>
                <w:sz w:val="20"/>
                <w:szCs w:val="20"/>
              </w:rPr>
              <w:t xml:space="preserve">Joint operational and regulatory source disruption</w:t>
            </w:r>
          </w:p>
        </w:tc>
      </w:tr>
    </w:tbl>
    <w:p>
      <w:pPr>
        <w:spacing w:after="140"/>
      </w:pPr>
    </w:p>
    <w:p>
      <w:pPr>
        <w:spacing w:after="6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sz w:val="20"/>
          <w:szCs w:val="20"/>
        </w:rPr>
        <w:t xml:space="preserve">Figure 5. Network vulnerability scenarios following the removal of selected stakeholder nodes.</w:t>
      </w:r>
    </w:p>
    <w:p>
      <w:pPr>
        <w:spacing w:after="150" w:line="360"/>
      </w:pPr>
      <w:r>
        <w:rPr>
          <w:rFonts w:ascii="Times New Roman" w:cs="Times New Roman" w:eastAsia="Times New Roman" w:hAnsi="Times New Roman"/>
          <w:b w:val="false"/>
          <w:bCs w:val="false"/>
          <w:sz w:val="24"/>
          <w:szCs w:val="24"/>
        </w:rPr>
        <w:t xml:space="preserve">The highest edge-betweenness ties are Customs and Immigration to International Airlines,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b w:val="false"/>
          <w:bCs w:val="false"/>
          <w:sz w:val="24"/>
          <w:szCs w:val="24"/>
        </w:rPr>
        <w:t xml:space="preserve">, and Fuel Supply Companies to Customs and Immigration,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 These links should be considered communication and service-continuity choke points. The brief specifically highlights ATC and Ground Handling failure. ATC has a non-zero bridge score of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supporting continuity planning and an alternative coordination channel. Ground Handling has degree </w:t>
      </w:r>
      <w:r>
        <w:rPr>
          <w:rFonts w:ascii="Times New Roman" w:cs="Times New Roman" w:eastAsia="Times New Roman" w:hAnsi="Times New Roman"/>
          <w:b/>
          <w:bCs/>
          <w:sz w:val="24"/>
          <w:szCs w:val="24"/>
        </w:rPr>
        <w:t xml:space="preserve">1</w:t>
      </w:r>
      <w:r>
        <w:rPr>
          <w:rFonts w:ascii="Times New Roman" w:cs="Times New Roman" w:eastAsia="Times New Roman" w:hAnsi="Times New Roman"/>
          <w:b w:val="false"/>
          <w:bCs w:val="false"/>
          <w:sz w:val="24"/>
          <w:szCs w:val="24"/>
        </w:rPr>
        <w:t xml:space="preserve"> and betweenness </w:t>
      </w:r>
      <w:r>
        <w:rPr>
          <w:rFonts w:ascii="Times New Roman" w:cs="Times New Roman" w:eastAsia="Times New Roman" w:hAnsi="Times New Roman"/>
          <w:b/>
          <w:bCs/>
          <w:sz w:val="24"/>
          <w:szCs w:val="24"/>
        </w:rPr>
        <w:t xml:space="preserve">0</w:t>
      </w:r>
      <w:r>
        <w:rPr>
          <w:rFonts w:ascii="Times New Roman" w:cs="Times New Roman" w:eastAsia="Times New Roman" w:hAnsi="Times New Roman"/>
          <w:b w:val="false"/>
          <w:bCs w:val="false"/>
          <w:sz w:val="24"/>
          <w:szCs w:val="24"/>
        </w:rPr>
        <w:t xml:space="preserve"> in this supplied dataset; its low score should be reported as a modelling limitation, not interpreted as proof that real ground handling is unimportant during a technical-fault response.</w:t>
      </w:r>
    </w:p>
    <w:p>
      <w:pPr>
        <w:pStyle w:val="Heading2"/>
        <w:spacing w:after="140" w:before="240"/>
      </w:pPr>
      <w:r>
        <w:rPr>
          <w:rFonts w:ascii="Times New Roman" w:cs="Times New Roman" w:eastAsia="Times New Roman" w:hAnsi="Times New Roman"/>
          <w:b/>
          <w:bCs/>
          <w:sz w:val="26"/>
          <w:szCs w:val="26"/>
        </w:rPr>
        <w:t xml:space="preserve">2.6 Recommendations for Resilience, Coordination and Crisis Management</w:t>
      </w:r>
    </w:p>
    <w:p>
      <w:pPr>
        <w:spacing w:after="150" w:line="360"/>
      </w:pPr>
      <w:r>
        <w:rPr>
          <w:rFonts w:ascii="Times New Roman" w:cs="Times New Roman" w:eastAsia="Times New Roman" w:hAnsi="Times New Roman"/>
          <w:b w:val="false"/>
          <w:bCs w:val="false"/>
          <w:sz w:val="24"/>
          <w:szCs w:val="24"/>
        </w:rPr>
        <w:t xml:space="preserve">The recommendations follow the measured structural risks rather than assigning generic aviation actions to every stakeholder. The proposed actions are feasible as coordination and continuity measures because they target the small set of hubs, bridges and inter-community dependencies identified in the network.</w:t>
      </w:r>
    </w:p>
    <w:p>
      <w:pPr>
        <w:pStyle w:val="ListParagraph"/>
        <w:numPr>
          <w:ilvl w:val="0"/>
          <w:numId w:val="2"/>
        </w:numPr>
        <w:spacing w:after="70" w:line="340"/>
      </w:pPr>
      <w:r>
        <w:rPr>
          <w:rFonts w:ascii="Times New Roman" w:cs="Times New Roman" w:eastAsia="Times New Roman" w:hAnsi="Times New Roman"/>
          <w:b/>
          <w:bCs/>
          <w:sz w:val="24"/>
          <w:szCs w:val="24"/>
        </w:rPr>
        <w:t xml:space="preserve">Protect Cargo continuity:</w:t>
      </w:r>
      <w:r>
        <w:rPr>
          <w:rFonts w:ascii="Times New Roman" w:cs="Times New Roman" w:eastAsia="Times New Roman" w:hAnsi="Times New Roman"/>
          <w:b w:val="false"/>
          <w:bCs w:val="false"/>
          <w:sz w:val="24"/>
          <w:szCs w:val="24"/>
        </w:rPr>
        <w:t xml:space="preserve"> Cargo has degree </w:t>
      </w:r>
      <w:r>
        <w:rPr>
          <w:rFonts w:ascii="Times New Roman" w:cs="Times New Roman" w:eastAsia="Times New Roman" w:hAnsi="Times New Roman"/>
          <w:b/>
          <w:bCs/>
          <w:sz w:val="24"/>
          <w:szCs w:val="24"/>
        </w:rPr>
        <w:t xml:space="preserve">7</w:t>
      </w:r>
      <w:r>
        <w:rPr>
          <w:rFonts w:ascii="Times New Roman" w:cs="Times New Roman" w:eastAsia="Times New Roman" w:hAnsi="Times New Roman"/>
          <w:b w:val="false"/>
          <w:bCs w:val="false"/>
          <w:sz w:val="24"/>
          <w:szCs w:val="24"/>
        </w:rPr>
        <w:t xml:space="preserve">, strength </w:t>
      </w:r>
      <w:r>
        <w:rPr>
          <w:rFonts w:ascii="Times New Roman" w:cs="Times New Roman" w:eastAsia="Times New Roman" w:hAnsi="Times New Roman"/>
          <w:b/>
          <w:bCs/>
          <w:sz w:val="24"/>
          <w:szCs w:val="24"/>
        </w:rPr>
        <w:t xml:space="preserve">35</w:t>
      </w:r>
      <w:r>
        <w:rPr>
          <w:rFonts w:ascii="Times New Roman" w:cs="Times New Roman" w:eastAsia="Times New Roman" w:hAnsi="Times New Roman"/>
          <w:b w:val="false"/>
          <w:bCs w:val="false"/>
          <w:sz w:val="24"/>
          <w:szCs w:val="24"/>
        </w:rPr>
        <w:t xml:space="preserve"> and is an articulation point. A secondary cargo-processing arrangement, including an MRIA contingency pathway, would reduce the most severe measured fragmentation risk.</w:t>
      </w:r>
    </w:p>
    <w:p>
      <w:pPr>
        <w:pStyle w:val="ListParagraph"/>
        <w:numPr>
          <w:ilvl w:val="0"/>
          <w:numId w:val="2"/>
        </w:numPr>
        <w:spacing w:after="70" w:line="340"/>
      </w:pPr>
      <w:r>
        <w:rPr>
          <w:rFonts w:ascii="Times New Roman" w:cs="Times New Roman" w:eastAsia="Times New Roman" w:hAnsi="Times New Roman"/>
          <w:b/>
          <w:bCs/>
          <w:sz w:val="24"/>
          <w:szCs w:val="24"/>
        </w:rPr>
        <w:t xml:space="preserve">Diversify fuel coordination:</w:t>
      </w:r>
      <w:r>
        <w:rPr>
          <w:rFonts w:ascii="Times New Roman" w:cs="Times New Roman" w:eastAsia="Times New Roman" w:hAnsi="Times New Roman"/>
          <w:b w:val="false"/>
          <w:bCs w:val="false"/>
          <w:sz w:val="24"/>
          <w:szCs w:val="24"/>
        </w:rPr>
        <w:t xml:space="preserve"> Fuel has the highest betweenness, </w:t>
      </w:r>
      <w:r>
        <w:rPr>
          <w:rFonts w:ascii="Times New Roman" w:cs="Times New Roman" w:eastAsia="Times New Roman" w:hAnsi="Times New Roman"/>
          <w:b/>
          <w:bCs/>
          <w:sz w:val="24"/>
          <w:szCs w:val="24"/>
        </w:rPr>
        <w:t xml:space="preserve">12</w:t>
      </w:r>
      <w:r>
        <w:rPr>
          <w:rFonts w:ascii="Times New Roman" w:cs="Times New Roman" w:eastAsia="Times New Roman" w:hAnsi="Times New Roman"/>
          <w:b w:val="false"/>
          <w:bCs w:val="false"/>
          <w:sz w:val="24"/>
          <w:szCs w:val="24"/>
        </w:rPr>
        <w:t xml:space="preserve">, and is an articulation point. Documented backup fuel contacts and direct contingency communications between Ground Handling, ATC and airport operations would reduce dependence on a single bridge.</w:t>
      </w:r>
    </w:p>
    <w:p>
      <w:pPr>
        <w:pStyle w:val="ListParagraph"/>
        <w:numPr>
          <w:ilvl w:val="0"/>
          <w:numId w:val="2"/>
        </w:numPr>
        <w:spacing w:after="70" w:line="340"/>
      </w:pPr>
      <w:r>
        <w:rPr>
          <w:rFonts w:ascii="Times New Roman" w:cs="Times New Roman" w:eastAsia="Times New Roman" w:hAnsi="Times New Roman"/>
          <w:b/>
          <w:bCs/>
          <w:sz w:val="24"/>
          <w:szCs w:val="24"/>
        </w:rPr>
        <w:t xml:space="preserve">Parallelise Customs processes:</w:t>
      </w:r>
      <w:r>
        <w:rPr>
          <w:rFonts w:ascii="Times New Roman" w:cs="Times New Roman" w:eastAsia="Times New Roman" w:hAnsi="Times New Roman"/>
          <w:b w:val="false"/>
          <w:bCs w:val="false"/>
          <w:sz w:val="24"/>
          <w:szCs w:val="24"/>
        </w:rPr>
        <w:t xml:space="preserve"> Customs has degree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strength </w:t>
      </w:r>
      <w:r>
        <w:rPr>
          <w:rFonts w:ascii="Times New Roman" w:cs="Times New Roman" w:eastAsia="Times New Roman" w:hAnsi="Times New Roman"/>
          <w:b/>
          <w:bCs/>
          <w:sz w:val="24"/>
          <w:szCs w:val="24"/>
        </w:rPr>
        <w:t xml:space="preserve">32</w:t>
      </w:r>
      <w:r>
        <w:rPr>
          <w:rFonts w:ascii="Times New Roman" w:cs="Times New Roman" w:eastAsia="Times New Roman" w:hAnsi="Times New Roman"/>
          <w:b w:val="false"/>
          <w:bCs w:val="false"/>
          <w:sz w:val="24"/>
          <w:szCs w:val="24"/>
        </w:rPr>
        <w:t xml:space="preserve">, betweenness </w:t>
      </w:r>
      <w:r>
        <w:rPr>
          <w:rFonts w:ascii="Times New Roman" w:cs="Times New Roman" w:eastAsia="Times New Roman" w:hAnsi="Times New Roman"/>
          <w:b/>
          <w:bCs/>
          <w:sz w:val="24"/>
          <w:szCs w:val="24"/>
        </w:rPr>
        <w:t xml:space="preserve">11</w:t>
      </w:r>
      <w:r>
        <w:rPr>
          <w:rFonts w:ascii="Times New Roman" w:cs="Times New Roman" w:eastAsia="Times New Roman" w:hAnsi="Times New Roman"/>
          <w:b w:val="false"/>
          <w:bCs w:val="false"/>
          <w:sz w:val="24"/>
          <w:szCs w:val="24"/>
        </w:rPr>
        <w:t xml:space="preserve">, and the highest edge-betweenness connection to International Airlines. Pre-clearance, e-gate escalation and a dedicated disruption channel would reduce this gateway bottleneck.</w:t>
      </w:r>
    </w:p>
    <w:p>
      <w:pPr>
        <w:pStyle w:val="ListParagraph"/>
        <w:numPr>
          <w:ilvl w:val="0"/>
          <w:numId w:val="2"/>
        </w:numPr>
        <w:spacing w:after="70" w:line="340"/>
      </w:pPr>
      <w:r>
        <w:rPr>
          <w:rFonts w:ascii="Times New Roman" w:cs="Times New Roman" w:eastAsia="Times New Roman" w:hAnsi="Times New Roman"/>
          <w:b/>
          <w:bCs/>
          <w:sz w:val="24"/>
          <w:szCs w:val="24"/>
        </w:rPr>
        <w:t xml:space="preserve">Formalise ATC fallback:</w:t>
      </w:r>
      <w:r>
        <w:rPr>
          <w:rFonts w:ascii="Times New Roman" w:cs="Times New Roman" w:eastAsia="Times New Roman" w:hAnsi="Times New Roman"/>
          <w:b w:val="false"/>
          <w:bCs w:val="false"/>
          <w:sz w:val="24"/>
          <w:szCs w:val="24"/>
        </w:rPr>
        <w:t xml:space="preserve"> ATC has bridge score </w:t>
      </w:r>
      <w:r>
        <w:rPr>
          <w:rFonts w:ascii="Times New Roman" w:cs="Times New Roman" w:eastAsia="Times New Roman" w:hAnsi="Times New Roman"/>
          <w:b/>
          <w:bCs/>
          <w:sz w:val="24"/>
          <w:szCs w:val="24"/>
        </w:rPr>
        <w:t xml:space="preserve">6</w:t>
      </w:r>
      <w:r>
        <w:rPr>
          <w:rFonts w:ascii="Times New Roman" w:cs="Times New Roman" w:eastAsia="Times New Roman" w:hAnsi="Times New Roman"/>
          <w:b w:val="false"/>
          <w:bCs w:val="false"/>
          <w:sz w:val="24"/>
          <w:szCs w:val="24"/>
        </w:rPr>
        <w:t xml:space="preserve"> in addition to its scenario role as safety coordinator. A crisis communication protocol should specify a backup ATC channel, maintenance escalation route and CAASL notification sequence.</w:t>
      </w:r>
    </w:p>
    <w:p>
      <w:pPr>
        <w:pStyle w:val="ListParagraph"/>
        <w:numPr>
          <w:ilvl w:val="0"/>
          <w:numId w:val="2"/>
        </w:numPr>
        <w:spacing w:after="70" w:line="340"/>
      </w:pPr>
      <w:r>
        <w:rPr>
          <w:rFonts w:ascii="Times New Roman" w:cs="Times New Roman" w:eastAsia="Times New Roman" w:hAnsi="Times New Roman"/>
          <w:b/>
          <w:bCs/>
          <w:sz w:val="24"/>
          <w:szCs w:val="24"/>
        </w:rPr>
        <w:t xml:space="preserve">Use MRIA as a planned reserve:</w:t>
      </w:r>
      <w:r>
        <w:rPr>
          <w:rFonts w:ascii="Times New Roman" w:cs="Times New Roman" w:eastAsia="Times New Roman" w:hAnsi="Times New Roman"/>
          <w:b w:val="false"/>
          <w:bCs w:val="false"/>
          <w:sz w:val="24"/>
          <w:szCs w:val="24"/>
        </w:rPr>
        <w:t xml:space="preserve"> MRIA has four outbound ties but no inbound ties in the supplied network. Reciprocal contingency links with airlines and cargo operators would make it a genuine fallback rather than a one-way source in the network model.</w:t>
      </w:r>
    </w:p>
    <w:p>
      <w:pPr>
        <w:pStyle w:val="ListParagraph"/>
        <w:numPr>
          <w:ilvl w:val="0"/>
          <w:numId w:val="2"/>
        </w:numPr>
        <w:spacing w:after="70" w:line="340"/>
      </w:pPr>
      <w:r>
        <w:rPr>
          <w:rFonts w:ascii="Times New Roman" w:cs="Times New Roman" w:eastAsia="Times New Roman" w:hAnsi="Times New Roman"/>
          <w:b/>
          <w:bCs/>
          <w:sz w:val="24"/>
          <w:szCs w:val="24"/>
        </w:rPr>
        <w:t xml:space="preserve">Improve the next dataset:</w:t>
      </w:r>
      <w:r>
        <w:rPr>
          <w:rFonts w:ascii="Times New Roman" w:cs="Times New Roman" w:eastAsia="Times New Roman" w:hAnsi="Times New Roman"/>
          <w:b w:val="false"/>
          <w:bCs w:val="false"/>
          <w:sz w:val="24"/>
          <w:szCs w:val="24"/>
        </w:rPr>
        <w:t xml:space="preserve"> capture reciprocal communications, time-stamped operational interactions, ground-handling dependencies and actual disruption outcomes. This would allow the model to assess real service flows rather than analyst-assigned scenario ties.</w:t>
      </w:r>
    </w:p>
    <w:p>
      <w:pPr>
        <w:spacing w:after="150" w:line="360"/>
      </w:pPr>
      <w:r>
        <w:rPr>
          <w:rFonts w:ascii="Times New Roman" w:cs="Times New Roman" w:eastAsia="Times New Roman" w:hAnsi="Times New Roman"/>
          <w:b w:val="false"/>
          <w:bCs w:val="false"/>
          <w:sz w:val="24"/>
          <w:szCs w:val="24"/>
        </w:rPr>
        <w:t xml:space="preserve">The analysis is a valid decision-support exercise, not a live airport control model. The network contains only </w:t>
      </w:r>
      <w:r>
        <w:rPr>
          <w:rFonts w:ascii="Times New Roman" w:cs="Times New Roman" w:eastAsia="Times New Roman" w:hAnsi="Times New Roman"/>
          <w:b/>
          <w:bCs/>
          <w:sz w:val="24"/>
          <w:szCs w:val="24"/>
        </w:rPr>
        <w:t xml:space="preserve">15</w:t>
      </w:r>
      <w:r>
        <w:rPr>
          <w:rFonts w:ascii="Times New Roman" w:cs="Times New Roman" w:eastAsia="Times New Roman" w:hAnsi="Times New Roman"/>
          <w:b w:val="false"/>
          <w:bCs w:val="false"/>
          <w:sz w:val="24"/>
          <w:szCs w:val="24"/>
        </w:rPr>
        <w:t xml:space="preserve"> organisations and </w:t>
      </w:r>
      <w:r>
        <w:rPr>
          <w:rFonts w:ascii="Times New Roman" w:cs="Times New Roman" w:eastAsia="Times New Roman" w:hAnsi="Times New Roman"/>
          <w:b/>
          <w:bCs/>
          <w:sz w:val="24"/>
          <w:szCs w:val="24"/>
        </w:rPr>
        <w:t xml:space="preserve">28</w:t>
      </w:r>
      <w:r>
        <w:rPr>
          <w:rFonts w:ascii="Times New Roman" w:cs="Times New Roman" w:eastAsia="Times New Roman" w:hAnsi="Times New Roman"/>
          <w:b w:val="false"/>
          <w:bCs w:val="false"/>
          <w:sz w:val="24"/>
          <w:szCs w:val="24"/>
        </w:rPr>
        <w:t xml:space="preserve"> directed scenario ties, and its weights are supplied relationship strengths rather than measured traffic, message or resource flows. Its main value is to make hidden concentration risks visible, to prioritise continuity planning and to identify which data should be collected for a more operationally realistic resilience model.</w:t>
      </w:r>
    </w:p>
    <w:p>
      <w:pPr>
        <w:pStyle w:val="Heading2"/>
        <w:spacing w:after="140" w:before="240"/>
      </w:pPr>
      <w:r>
        <w:rPr>
          <w:rFonts w:ascii="Times New Roman" w:cs="Times New Roman" w:eastAsia="Times New Roman" w:hAnsi="Times New Roman"/>
          <w:b/>
          <w:bCs/>
          <w:sz w:val="26"/>
          <w:szCs w:val="26"/>
        </w:rPr>
        <w:t xml:space="preserve">2.7 Conclusion</w:t>
      </w:r>
    </w:p>
    <w:p>
      <w:pPr>
        <w:spacing w:after="150" w:line="360"/>
      </w:pPr>
      <w:r>
        <w:rPr>
          <w:rFonts w:ascii="Times New Roman" w:cs="Times New Roman" w:eastAsia="Times New Roman" w:hAnsi="Times New Roman"/>
          <w:b w:val="false"/>
          <w:bCs w:val="false"/>
          <w:sz w:val="24"/>
          <w:szCs w:val="24"/>
        </w:rPr>
        <w:t xml:space="preserve">Task 2 constructed and visualised a directed weighted network of Sri Lanka civil-aviation stakeholders. Cargo Operators was the primary degree and strength hub, Fuel Supply Companies and Customs and Immigration were the principal bridge nodes, and the Louvain result revealed four functional communities. The network is weakly connected but directionally hierarchical, with no reciprocal ties and no strong component larger than one node. Cargo and Fuel are articulation points, making them the highest measured continuity risks. The findings support focused cargo redundancy, fuel-route diversification, Customs parallelisation, ATC fallback procedures and better collection of reciprocal operational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fb0454cb4dfb961f2fce1c3b0cda613ac40483.png"/><Relationship Id="rId8" Type="http://schemas.openxmlformats.org/officeDocument/2006/relationships/image" Target="media/cf2444bafbbe9c778026e8f044b92c44f7b2f7a6.png"/><Relationship Id="rId9" Type="http://schemas.openxmlformats.org/officeDocument/2006/relationships/image" Target="media/ff6765c0580fd56ccaf1d7aa604fc8080f53acfb.png"/><Relationship Id="rId10" Type="http://schemas.openxmlformats.org/officeDocument/2006/relationships/image" Target="media/6e770334d7faf05a30a2111369c567ee261b1f6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2026-08-12T08:34:19.142Z</dcterms:created>
  <dcterms:modified xsi:type="dcterms:W3CDTF">2026-08-12T08:34:19.147Z</dcterms:modified>
</cp:coreProperties>
</file>

<file path=docProps/custom.xml><?xml version="1.0" encoding="utf-8"?>
<Properties xmlns="http://schemas.openxmlformats.org/officeDocument/2006/custom-properties" xmlns:vt="http://schemas.openxmlformats.org/officeDocument/2006/docPropsVTypes"/>
</file>