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942689" w14:textId="78CC2AF4" w:rsidR="003A67E7" w:rsidRDefault="00EB330C">
      <w:pPr>
        <w:rPr>
          <w:sz w:val="48"/>
          <w:szCs w:val="48"/>
          <w:lang w:val="en-US"/>
        </w:rPr>
      </w:pPr>
      <w:r>
        <w:rPr>
          <w:sz w:val="48"/>
          <w:szCs w:val="48"/>
          <w:lang w:val="en-US"/>
        </w:rPr>
        <w:t>RESEARCH GAAP:</w:t>
      </w:r>
    </w:p>
    <w:p w14:paraId="5B64E8E9" w14:textId="26449A36" w:rsidR="00EB330C" w:rsidRPr="00494ACA" w:rsidRDefault="00EB330C">
      <w:pPr>
        <w:rPr>
          <w:sz w:val="44"/>
          <w:szCs w:val="44"/>
          <w:lang w:val="en-US"/>
        </w:rPr>
      </w:pPr>
      <w:r>
        <w:rPr>
          <w:sz w:val="48"/>
          <w:szCs w:val="48"/>
          <w:lang w:val="en-US"/>
        </w:rPr>
        <w:t xml:space="preserve">             </w:t>
      </w:r>
      <w:r w:rsidRPr="00494ACA">
        <w:rPr>
          <w:sz w:val="44"/>
          <w:szCs w:val="44"/>
          <w:lang w:val="en-US"/>
        </w:rPr>
        <w:t>Performance and expected future cash flows are likely positively related to each other there is also widespread recognition that the stewardship and valuation roles may create competing demands in terms of desirable attributes of external reporting (</w:t>
      </w:r>
      <w:r w:rsidR="00494ACA" w:rsidRPr="00494ACA">
        <w:rPr>
          <w:sz w:val="44"/>
          <w:szCs w:val="44"/>
          <w:lang w:val="en-US"/>
        </w:rPr>
        <w:t xml:space="preserve">Kothari </w:t>
      </w:r>
      <w:r w:rsidRPr="00494ACA">
        <w:rPr>
          <w:sz w:val="44"/>
          <w:szCs w:val="44"/>
          <w:lang w:val="en-US"/>
        </w:rPr>
        <w:t>et</w:t>
      </w:r>
      <w:r w:rsidR="00494ACA" w:rsidRPr="00494ACA">
        <w:rPr>
          <w:sz w:val="44"/>
          <w:szCs w:val="44"/>
          <w:lang w:val="en-US"/>
        </w:rPr>
        <w:t xml:space="preserve"> </w:t>
      </w:r>
      <w:r w:rsidRPr="00494ACA">
        <w:rPr>
          <w:sz w:val="44"/>
          <w:szCs w:val="44"/>
          <w:lang w:val="en-US"/>
        </w:rPr>
        <w:t>al 2010). For example, it has been argued that conditional</w:t>
      </w:r>
      <w:r w:rsidR="001916E4" w:rsidRPr="00494ACA">
        <w:rPr>
          <w:sz w:val="44"/>
          <w:szCs w:val="44"/>
          <w:lang w:val="en-US"/>
        </w:rPr>
        <w:t>ly conservative income measures facilitate the role of income as an effective measure of managerial performance and serve as an important mechanism for minimizing agency costs arising between owners and managers (watts 2003; ball and shiv</w:t>
      </w:r>
      <w:r w:rsidR="001125CA" w:rsidRPr="00494ACA">
        <w:rPr>
          <w:sz w:val="44"/>
          <w:szCs w:val="44"/>
          <w:lang w:val="en-US"/>
        </w:rPr>
        <w:t>akumar,</w:t>
      </w:r>
      <w:r w:rsidR="001916E4" w:rsidRPr="00494ACA">
        <w:rPr>
          <w:sz w:val="44"/>
          <w:szCs w:val="44"/>
          <w:lang w:val="en-US"/>
        </w:rPr>
        <w:t>200</w:t>
      </w:r>
      <w:r w:rsidR="001125CA" w:rsidRPr="00494ACA">
        <w:rPr>
          <w:sz w:val="44"/>
          <w:szCs w:val="44"/>
          <w:lang w:val="en-US"/>
        </w:rPr>
        <w:t>5)</w:t>
      </w:r>
    </w:p>
    <w:p w14:paraId="4ADA25AB" w14:textId="296EE430" w:rsidR="001125CA" w:rsidRPr="00494ACA" w:rsidRDefault="001125CA">
      <w:pPr>
        <w:rPr>
          <w:sz w:val="44"/>
          <w:szCs w:val="44"/>
          <w:lang w:val="en-US"/>
        </w:rPr>
      </w:pPr>
      <w:r w:rsidRPr="00494ACA">
        <w:rPr>
          <w:sz w:val="44"/>
          <w:szCs w:val="44"/>
          <w:lang w:val="en-US"/>
        </w:rPr>
        <w:t xml:space="preserve">              </w:t>
      </w:r>
    </w:p>
    <w:p w14:paraId="5458D259" w14:textId="418DCB21" w:rsidR="00EB330C" w:rsidRPr="00494ACA" w:rsidRDefault="00EB330C">
      <w:pPr>
        <w:rPr>
          <w:sz w:val="44"/>
          <w:szCs w:val="44"/>
          <w:lang w:val="en-US"/>
        </w:rPr>
      </w:pPr>
      <w:r w:rsidRPr="00494ACA">
        <w:rPr>
          <w:sz w:val="44"/>
          <w:szCs w:val="44"/>
          <w:lang w:val="en-US"/>
        </w:rPr>
        <w:t xml:space="preserve">   </w:t>
      </w:r>
      <w:r w:rsidR="001125CA" w:rsidRPr="00494ACA">
        <w:rPr>
          <w:sz w:val="44"/>
          <w:szCs w:val="44"/>
          <w:lang w:val="en-US"/>
        </w:rPr>
        <w:t xml:space="preserve">     Following </w:t>
      </w:r>
      <w:r w:rsidR="00494ACA" w:rsidRPr="00494ACA">
        <w:rPr>
          <w:sz w:val="44"/>
          <w:szCs w:val="44"/>
          <w:lang w:val="en-US"/>
        </w:rPr>
        <w:t>Kothari</w:t>
      </w:r>
      <w:bookmarkStart w:id="0" w:name="_GoBack"/>
      <w:bookmarkEnd w:id="0"/>
      <w:r w:rsidR="001125CA" w:rsidRPr="00494ACA">
        <w:rPr>
          <w:sz w:val="44"/>
          <w:szCs w:val="44"/>
          <w:lang w:val="en-US"/>
        </w:rPr>
        <w:t xml:space="preserve"> et al (2010), we argue that performance measures complying with generally accepted accounting principles (GAAP) primarily reflect the stewardship, or control, role of financial reporting. Although most research focuse</w:t>
      </w:r>
      <w:r w:rsidR="00494ACA" w:rsidRPr="00494ACA">
        <w:rPr>
          <w:sz w:val="44"/>
          <w:szCs w:val="44"/>
          <w:lang w:val="en-US"/>
        </w:rPr>
        <w:t xml:space="preserve">s on the private (i.e., contracting) demand for conditionally conservative accounting, the calculation of earnings measures complying with </w:t>
      </w:r>
      <w:r w:rsidR="00494ACA" w:rsidRPr="00494ACA">
        <w:rPr>
          <w:sz w:val="44"/>
          <w:szCs w:val="44"/>
          <w:lang w:val="en-US"/>
        </w:rPr>
        <w:lastRenderedPageBreak/>
        <w:t>GAAP is a highly regulated process, subject to the application of accounting standards and the influence of auditors.</w:t>
      </w:r>
    </w:p>
    <w:sectPr w:rsidR="00EB330C" w:rsidRPr="00494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0C"/>
    <w:rsid w:val="001125CA"/>
    <w:rsid w:val="001916E4"/>
    <w:rsid w:val="003A67E7"/>
    <w:rsid w:val="00494ACA"/>
    <w:rsid w:val="00EB3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D773"/>
  <w15:chartTrackingRefBased/>
  <w15:docId w15:val="{875C95C9-F510-403D-978C-76158E165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166</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sai</dc:creator>
  <cp:keywords/>
  <dc:description/>
  <cp:lastModifiedBy>prudhvi sai</cp:lastModifiedBy>
  <cp:revision>1</cp:revision>
  <dcterms:created xsi:type="dcterms:W3CDTF">2020-03-09T13:32:00Z</dcterms:created>
  <dcterms:modified xsi:type="dcterms:W3CDTF">2020-03-09T14:09:00Z</dcterms:modified>
</cp:coreProperties>
</file>