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63E62" w14:textId="3CFC8183" w:rsidR="00382380" w:rsidRDefault="00327848" w:rsidP="00A27C6F">
      <w:pPr>
        <w:spacing w:line="360" w:lineRule="auto"/>
        <w:jc w:val="both"/>
      </w:pPr>
      <w:r>
        <w:t xml:space="preserve">As a precursor to connecting our Oracle Data Warehouse and analyzing the </w:t>
      </w:r>
      <w:r w:rsidR="000734EA">
        <w:t xml:space="preserve">business data, we </w:t>
      </w:r>
      <w:r w:rsidR="001725D3">
        <w:t>performed</w:t>
      </w:r>
      <w:r w:rsidR="000734EA">
        <w:t xml:space="preserve"> a hand</w:t>
      </w:r>
      <w:r w:rsidR="004B01B9">
        <w:t>s</w:t>
      </w:r>
      <w:r w:rsidR="000734EA">
        <w:t xml:space="preserve">-on exercise to better grasp the concepts of </w:t>
      </w:r>
      <w:r w:rsidR="00CE2657">
        <w:t>calculated fields</w:t>
      </w:r>
      <w:r w:rsidR="005F091B">
        <w:t xml:space="preserve">, </w:t>
      </w:r>
      <w:r w:rsidR="00CE2657">
        <w:t>forecasts</w:t>
      </w:r>
      <w:r w:rsidR="005F091B">
        <w:t xml:space="preserve">, and </w:t>
      </w:r>
      <w:r w:rsidR="00383CD1">
        <w:t>gleaning insights from the data using data visualizations</w:t>
      </w:r>
      <w:r w:rsidR="00CE2657">
        <w:t xml:space="preserve"> on the business intelligence layer. We are using Tableau Software for this </w:t>
      </w:r>
      <w:r w:rsidR="00383CD1">
        <w:t>last leg</w:t>
      </w:r>
      <w:r w:rsidR="00CE2657">
        <w:t xml:space="preserve"> of the Data Warehouse Lifecycle.</w:t>
      </w:r>
    </w:p>
    <w:p w14:paraId="4B4CEB5E" w14:textId="60EE47B8" w:rsidR="00383CD1" w:rsidRDefault="00383CD1" w:rsidP="00A27C6F">
      <w:pPr>
        <w:spacing w:line="360" w:lineRule="auto"/>
        <w:jc w:val="both"/>
      </w:pPr>
    </w:p>
    <w:p w14:paraId="528F4042" w14:textId="72109B77" w:rsidR="008965B0" w:rsidRDefault="0014403E" w:rsidP="00A27C6F">
      <w:pPr>
        <w:spacing w:line="360" w:lineRule="auto"/>
        <w:jc w:val="both"/>
      </w:pPr>
      <w:r>
        <w:t xml:space="preserve">The first part of the assignment was to connect to </w:t>
      </w:r>
      <w:r w:rsidR="00CA36F3">
        <w:t xml:space="preserve">and analyze </w:t>
      </w:r>
      <w:r>
        <w:t xml:space="preserve">an Excel workbook that contained </w:t>
      </w:r>
      <w:r w:rsidR="001B07C6">
        <w:t>New York State Employment Statistics</w:t>
      </w:r>
      <w:r w:rsidR="00AF2371">
        <w:t xml:space="preserve"> data </w:t>
      </w:r>
      <w:r w:rsidR="001725D3">
        <w:t xml:space="preserve">for the time period </w:t>
      </w:r>
      <w:r w:rsidR="00AF2371">
        <w:t xml:space="preserve">spanning January 2014 to </w:t>
      </w:r>
      <w:r w:rsidR="00CA36F3">
        <w:t xml:space="preserve">May 2021. </w:t>
      </w:r>
      <w:r w:rsidR="005F7894">
        <w:t>Prior to the analysis we had to hammer out certain details to ensure the accuracy of the analysis</w:t>
      </w:r>
      <w:r w:rsidR="00E47F35">
        <w:t xml:space="preserve">. These involved creating calculated fields to </w:t>
      </w:r>
      <w:r w:rsidR="00C03B8C">
        <w:t xml:space="preserve">convert the truncated </w:t>
      </w:r>
      <w:r w:rsidR="00583CB2" w:rsidRPr="00583CB2">
        <w:rPr>
          <w:i/>
          <w:iCs/>
        </w:rPr>
        <w:t>Employed</w:t>
      </w:r>
      <w:r w:rsidR="00583CB2">
        <w:t xml:space="preserve"> </w:t>
      </w:r>
      <w:r w:rsidR="00C03B8C">
        <w:t xml:space="preserve">numbers back to 1000s and another calculated field to </w:t>
      </w:r>
      <w:r w:rsidR="003B33CA">
        <w:t xml:space="preserve">correctly </w:t>
      </w:r>
      <w:r w:rsidR="00583CB2">
        <w:t>read</w:t>
      </w:r>
      <w:r w:rsidR="003B33CA">
        <w:t xml:space="preserve"> the </w:t>
      </w:r>
      <w:r w:rsidR="003B33CA" w:rsidRPr="00583CB2">
        <w:rPr>
          <w:i/>
          <w:iCs/>
        </w:rPr>
        <w:t>Insured Unemployment Rate</w:t>
      </w:r>
      <w:r w:rsidR="00E65B91">
        <w:rPr>
          <w:i/>
          <w:iCs/>
        </w:rPr>
        <w:t xml:space="preserve">. </w:t>
      </w:r>
      <w:r w:rsidR="00E65B91">
        <w:t>We then proceed</w:t>
      </w:r>
      <w:r w:rsidR="00656AD3">
        <w:t>ed</w:t>
      </w:r>
      <w:r w:rsidR="00E65B91">
        <w:t xml:space="preserve"> to creat</w:t>
      </w:r>
      <w:r w:rsidR="00656AD3">
        <w:t>e</w:t>
      </w:r>
      <w:r w:rsidR="00E65B91">
        <w:t xml:space="preserve"> the line graph for analysis of the data</w:t>
      </w:r>
      <w:r w:rsidR="00656AD3">
        <w:t xml:space="preserve">. </w:t>
      </w:r>
      <w:r w:rsidR="00B1281B">
        <w:t xml:space="preserve">While we have this all this data for describing what happened during the past seven years, the real benefit of historical data of this kind is when we can draw meaningful forecasts from there to </w:t>
      </w:r>
      <w:r w:rsidR="00FF5455">
        <w:t xml:space="preserve">base certain business decisions </w:t>
      </w:r>
      <w:proofErr w:type="gramStart"/>
      <w:r w:rsidR="00FF5455">
        <w:t>off of</w:t>
      </w:r>
      <w:proofErr w:type="gramEnd"/>
      <w:r w:rsidR="00FF5455">
        <w:t>. We achieved this by creating a forecast using Tableau’s in-built capabilities.</w:t>
      </w:r>
      <w:r w:rsidR="006C6B87">
        <w:t xml:space="preserve"> </w:t>
      </w:r>
    </w:p>
    <w:p w14:paraId="0229135A" w14:textId="7CD8258E" w:rsidR="00E20DC2" w:rsidRDefault="00E20DC2" w:rsidP="00A27C6F">
      <w:pPr>
        <w:spacing w:line="360" w:lineRule="auto"/>
        <w:jc w:val="both"/>
      </w:pPr>
    </w:p>
    <w:p w14:paraId="0B25ABD5" w14:textId="78FD96A9" w:rsidR="00E20DC2" w:rsidRDefault="00E20DC2" w:rsidP="00A27C6F">
      <w:pPr>
        <w:spacing w:line="360" w:lineRule="auto"/>
        <w:jc w:val="both"/>
      </w:pPr>
      <w:r>
        <w:t>After connecting both data sources Employment numbers and Unemployment stats, Tableau automatically formed the relation between them using the ‘state’ field.</w:t>
      </w:r>
    </w:p>
    <w:p w14:paraId="27640A88" w14:textId="77777777" w:rsidR="008965B0" w:rsidRDefault="008965B0" w:rsidP="00A27C6F">
      <w:pPr>
        <w:spacing w:line="360" w:lineRule="auto"/>
        <w:jc w:val="both"/>
      </w:pPr>
    </w:p>
    <w:p w14:paraId="30423E21" w14:textId="60D89427" w:rsidR="00383CD1" w:rsidRDefault="006C6B87" w:rsidP="00A27C6F">
      <w:pPr>
        <w:spacing w:line="360" w:lineRule="auto"/>
        <w:jc w:val="both"/>
      </w:pPr>
      <w:r>
        <w:t>At first</w:t>
      </w:r>
      <w:r w:rsidR="008965B0">
        <w:t>,</w:t>
      </w:r>
      <w:r>
        <w:t xml:space="preserve"> the forecast was a straight line</w:t>
      </w:r>
      <w:r w:rsidR="00A27C6F">
        <w:t xml:space="preserve"> (flat)</w:t>
      </w:r>
      <w:r w:rsidR="00C835C4">
        <w:t xml:space="preserve"> </w:t>
      </w:r>
      <w:r w:rsidR="00A27C6F">
        <w:t>that does not provide</w:t>
      </w:r>
      <w:r w:rsidR="00C835C4">
        <w:t xml:space="preserve"> meaningful insights</w:t>
      </w:r>
      <w:r w:rsidR="008965B0">
        <w:t xml:space="preserve">. The reason this happened was </w:t>
      </w:r>
      <w:r w:rsidR="008B6C1F">
        <w:t xml:space="preserve">due to a massive anomaly in the dataset – </w:t>
      </w:r>
      <w:r w:rsidR="003462FB">
        <w:t xml:space="preserve">the New York State economy lost more than </w:t>
      </w:r>
      <w:r w:rsidR="00370956">
        <w:t xml:space="preserve">1.7 Million private sector jobs in April 2020 due </w:t>
      </w:r>
      <w:r w:rsidR="00D46D9A">
        <w:t>to the direct effects of the COVID-19 pandemic</w:t>
      </w:r>
      <w:r w:rsidR="00CA6D7E">
        <w:t xml:space="preserve"> (</w:t>
      </w:r>
      <w:hyperlink r:id="rId6" w:history="1">
        <w:r w:rsidR="001F59D9" w:rsidRPr="001F59D9">
          <w:rPr>
            <w:rStyle w:val="Hyperlink"/>
          </w:rPr>
          <w:t xml:space="preserve">NYS </w:t>
        </w:r>
        <w:r w:rsidR="00CA6D7E" w:rsidRPr="001F59D9">
          <w:rPr>
            <w:rStyle w:val="Hyperlink"/>
          </w:rPr>
          <w:t>Department of Labor</w:t>
        </w:r>
      </w:hyperlink>
      <w:r w:rsidR="00CA6D7E">
        <w:t>)</w:t>
      </w:r>
      <w:r w:rsidR="00370956">
        <w:t>.</w:t>
      </w:r>
      <w:r w:rsidR="00D46D9A">
        <w:t xml:space="preserve"> </w:t>
      </w:r>
      <w:r w:rsidR="001F59D9">
        <w:t xml:space="preserve">The forecast was impacted by this as Tableau </w:t>
      </w:r>
      <w:r w:rsidR="00962C2E">
        <w:t>assesses a seasonal cycle</w:t>
      </w:r>
      <w:r w:rsidR="008179F0">
        <w:t xml:space="preserve"> for the data based on the time series indicated in the dataset. Since the graph was using </w:t>
      </w:r>
      <w:r w:rsidR="008179F0" w:rsidRPr="008179F0">
        <w:rPr>
          <w:i/>
          <w:iCs/>
        </w:rPr>
        <w:t>Month</w:t>
      </w:r>
      <w:r w:rsidR="008179F0">
        <w:t xml:space="preserve"> as the basis for drawing the trendline, the sudden</w:t>
      </w:r>
      <w:r w:rsidR="008625CD">
        <w:t xml:space="preserve"> </w:t>
      </w:r>
      <w:r w:rsidR="006C1B84">
        <w:t xml:space="preserve">plunge in the employment stats </w:t>
      </w:r>
      <w:r w:rsidR="00AC7811">
        <w:t>disrupted</w:t>
      </w:r>
      <w:r w:rsidR="006C1B84">
        <w:t xml:space="preserve"> </w:t>
      </w:r>
      <w:r w:rsidR="00AC7811">
        <w:t>the automatic detection of a seasonal cycle</w:t>
      </w:r>
      <w:r w:rsidR="00D45A71">
        <w:t xml:space="preserve"> (</w:t>
      </w:r>
      <w:hyperlink r:id="rId7" w:anchor="seasonality" w:history="1">
        <w:r w:rsidR="00D45A71" w:rsidRPr="00D45A71">
          <w:rPr>
            <w:rStyle w:val="Hyperlink"/>
          </w:rPr>
          <w:t>Tableau Software – Seasonality</w:t>
        </w:r>
      </w:hyperlink>
      <w:r w:rsidR="00D45A71">
        <w:t>)</w:t>
      </w:r>
      <w:r w:rsidR="00AC7811">
        <w:t xml:space="preserve">. </w:t>
      </w:r>
      <w:r w:rsidR="00D10556">
        <w:t xml:space="preserve">Post this, there was a rectification reflected in the graph after we manually </w:t>
      </w:r>
      <w:r w:rsidR="00914002">
        <w:t xml:space="preserve">changed the </w:t>
      </w:r>
      <w:r w:rsidR="00914002" w:rsidRPr="00914002">
        <w:rPr>
          <w:i/>
          <w:iCs/>
        </w:rPr>
        <w:t>Automatic Forecast</w:t>
      </w:r>
      <w:r w:rsidR="00914002">
        <w:t xml:space="preserve"> to </w:t>
      </w:r>
      <w:r w:rsidR="00914002" w:rsidRPr="00914002">
        <w:rPr>
          <w:i/>
          <w:iCs/>
        </w:rPr>
        <w:t>Custom</w:t>
      </w:r>
      <w:r w:rsidR="00914002">
        <w:t xml:space="preserve"> and set</w:t>
      </w:r>
      <w:r w:rsidR="00D10556">
        <w:t xml:space="preserve"> the </w:t>
      </w:r>
      <w:r w:rsidR="00914002">
        <w:rPr>
          <w:i/>
          <w:iCs/>
        </w:rPr>
        <w:t>S</w:t>
      </w:r>
      <w:r w:rsidR="00D10556" w:rsidRPr="00914002">
        <w:rPr>
          <w:i/>
          <w:iCs/>
        </w:rPr>
        <w:t>easonality</w:t>
      </w:r>
      <w:r w:rsidR="00D10556">
        <w:t xml:space="preserve"> </w:t>
      </w:r>
      <w:r w:rsidR="00914002">
        <w:t>to</w:t>
      </w:r>
      <w:r w:rsidR="00B82629">
        <w:t xml:space="preserve"> </w:t>
      </w:r>
      <w:r w:rsidR="00B82629" w:rsidRPr="00B82629">
        <w:rPr>
          <w:i/>
          <w:iCs/>
        </w:rPr>
        <w:t>Additive</w:t>
      </w:r>
      <w:r w:rsidR="00914002">
        <w:t>.</w:t>
      </w:r>
      <w:r w:rsidR="00785507">
        <w:t xml:space="preserve"> This final change produced a meaningful data visualization that can be used for further discussions and decisions based on the data.</w:t>
      </w:r>
    </w:p>
    <w:p w14:paraId="2529DAF5" w14:textId="3D7BB7A4" w:rsidR="00892C72" w:rsidRDefault="00892C72" w:rsidP="00A27C6F">
      <w:pPr>
        <w:spacing w:line="360" w:lineRule="auto"/>
        <w:jc w:val="both"/>
      </w:pPr>
      <w:r>
        <w:lastRenderedPageBreak/>
        <w:t>The second and more prominent part of this assignment was to connect our Data Warehouse to Tableau</w:t>
      </w:r>
      <w:r w:rsidR="00067D01">
        <w:t xml:space="preserve"> and then analyzing the data</w:t>
      </w:r>
      <w:r w:rsidR="00ED17E9">
        <w:t xml:space="preserve"> to generate business insights. </w:t>
      </w:r>
      <w:r w:rsidR="00995A06">
        <w:t>To begin with</w:t>
      </w:r>
      <w:r w:rsidR="00262FCD">
        <w:t xml:space="preserve">, we </w:t>
      </w:r>
      <w:r w:rsidR="00EB6C92">
        <w:t>had to install Oracle Instant Client</w:t>
      </w:r>
      <w:r w:rsidR="002A5958">
        <w:t xml:space="preserve"> and</w:t>
      </w:r>
      <w:r w:rsidR="00EB6C92">
        <w:t xml:space="preserve"> </w:t>
      </w:r>
      <w:r w:rsidR="00C05A11">
        <w:t>s</w:t>
      </w:r>
      <w:r w:rsidR="00EB6C92">
        <w:t xml:space="preserve">etup our </w:t>
      </w:r>
      <w:r w:rsidR="0000251A">
        <w:t xml:space="preserve">Oracle Home </w:t>
      </w:r>
      <w:r w:rsidR="006467A4">
        <w:t xml:space="preserve">environment variable to set up our device for the appropriate settings. </w:t>
      </w:r>
      <w:r w:rsidR="00D97D58">
        <w:t xml:space="preserve">Furthermore, to successfully authenticate, we downloaded the Oracle Wallet files from the Data Warehouse </w:t>
      </w:r>
      <w:r w:rsidR="009F4F83">
        <w:t>and placed them in the requisite location on the local machine.</w:t>
      </w:r>
    </w:p>
    <w:p w14:paraId="4E40ED1A" w14:textId="2BD4CA6D" w:rsidR="00791C86" w:rsidRDefault="00791C86" w:rsidP="00A27C6F">
      <w:pPr>
        <w:spacing w:line="360" w:lineRule="auto"/>
        <w:jc w:val="both"/>
      </w:pPr>
    </w:p>
    <w:p w14:paraId="1D66721E" w14:textId="4CB680DB" w:rsidR="00791C86" w:rsidRDefault="00791C86" w:rsidP="00A27C6F">
      <w:pPr>
        <w:spacing w:line="360" w:lineRule="auto"/>
        <w:jc w:val="both"/>
      </w:pPr>
      <w:r>
        <w:t xml:space="preserve">After performing the initial setup, next phase is to connect the Data Warehouse to Tableau using a connection string available on the Oracle Data Warehouse environment </w:t>
      </w:r>
      <w:r w:rsidR="00646373">
        <w:t xml:space="preserve">in addition to the user access credentials for the Oracle Data Warehouse. </w:t>
      </w:r>
      <w:r w:rsidR="004A3D25">
        <w:t xml:space="preserve">Once the data connection is successfully established, </w:t>
      </w:r>
      <w:r w:rsidR="00E91A46">
        <w:t>the penultimate step is to add</w:t>
      </w:r>
      <w:r w:rsidR="004A3D25">
        <w:t xml:space="preserve"> the facts and dimensions to Tableau</w:t>
      </w:r>
      <w:r w:rsidR="00396C1E">
        <w:t xml:space="preserve">’s </w:t>
      </w:r>
      <w:r w:rsidR="00E91A46">
        <w:t>w</w:t>
      </w:r>
      <w:r w:rsidR="00396C1E">
        <w:t xml:space="preserve">orkspace where Tableau automatically finds the connecting fields between the tables and sets up those connections for us. </w:t>
      </w:r>
      <w:r w:rsidR="00B76E3C">
        <w:t xml:space="preserve">The final and most valuable </w:t>
      </w:r>
      <w:r w:rsidR="000F47D2">
        <w:t xml:space="preserve">part of this exercise </w:t>
      </w:r>
      <w:r w:rsidR="00A27C6F">
        <w:t>was creating</w:t>
      </w:r>
      <w:r w:rsidR="00B76E3C">
        <w:t xml:space="preserve"> meaningful data visualizations </w:t>
      </w:r>
      <w:r w:rsidR="003460CC">
        <w:t>that support an inference of</w:t>
      </w:r>
      <w:r w:rsidR="000F47D2">
        <w:t xml:space="preserve"> </w:t>
      </w:r>
      <w:r w:rsidR="00B76E3C">
        <w:t xml:space="preserve">business insights. </w:t>
      </w:r>
    </w:p>
    <w:p w14:paraId="5FEA882B" w14:textId="24CAB9D5" w:rsidR="007F7762" w:rsidRDefault="007F7762" w:rsidP="00A27C6F">
      <w:pPr>
        <w:spacing w:line="360" w:lineRule="auto"/>
        <w:jc w:val="both"/>
      </w:pPr>
    </w:p>
    <w:p w14:paraId="20E2238E" w14:textId="77777777" w:rsidR="00A27C6F" w:rsidRDefault="00A27C6F" w:rsidP="00A27C6F">
      <w:pPr>
        <w:spacing w:line="360" w:lineRule="auto"/>
        <w:jc w:val="both"/>
        <w:rPr>
          <w:b/>
          <w:bCs/>
        </w:rPr>
      </w:pPr>
    </w:p>
    <w:p w14:paraId="656B21C5" w14:textId="77777777" w:rsidR="00A27C6F" w:rsidRDefault="00A27C6F" w:rsidP="00A27C6F">
      <w:pPr>
        <w:spacing w:line="360" w:lineRule="auto"/>
        <w:jc w:val="both"/>
        <w:rPr>
          <w:b/>
          <w:bCs/>
        </w:rPr>
      </w:pPr>
    </w:p>
    <w:p w14:paraId="1D974697" w14:textId="77777777" w:rsidR="00A27C6F" w:rsidRDefault="00A27C6F" w:rsidP="00A27C6F">
      <w:pPr>
        <w:spacing w:line="360" w:lineRule="auto"/>
        <w:jc w:val="both"/>
        <w:rPr>
          <w:b/>
          <w:bCs/>
        </w:rPr>
      </w:pPr>
    </w:p>
    <w:p w14:paraId="5A4283E5" w14:textId="77777777" w:rsidR="00A27C6F" w:rsidRDefault="00A27C6F" w:rsidP="00A27C6F">
      <w:pPr>
        <w:spacing w:line="360" w:lineRule="auto"/>
        <w:jc w:val="both"/>
        <w:rPr>
          <w:b/>
          <w:bCs/>
        </w:rPr>
      </w:pPr>
    </w:p>
    <w:p w14:paraId="3234B690" w14:textId="77777777" w:rsidR="00A27C6F" w:rsidRDefault="00A27C6F" w:rsidP="00A27C6F">
      <w:pPr>
        <w:spacing w:line="360" w:lineRule="auto"/>
        <w:jc w:val="both"/>
        <w:rPr>
          <w:b/>
          <w:bCs/>
        </w:rPr>
      </w:pPr>
    </w:p>
    <w:p w14:paraId="2ECCB254" w14:textId="77777777" w:rsidR="00A27C6F" w:rsidRDefault="00A27C6F" w:rsidP="00A27C6F">
      <w:pPr>
        <w:spacing w:line="360" w:lineRule="auto"/>
        <w:jc w:val="both"/>
        <w:rPr>
          <w:b/>
          <w:bCs/>
        </w:rPr>
      </w:pPr>
    </w:p>
    <w:p w14:paraId="65C3AA9C" w14:textId="77777777" w:rsidR="00A27C6F" w:rsidRDefault="00A27C6F" w:rsidP="00A27C6F">
      <w:pPr>
        <w:spacing w:line="360" w:lineRule="auto"/>
        <w:jc w:val="both"/>
        <w:rPr>
          <w:b/>
          <w:bCs/>
        </w:rPr>
      </w:pPr>
    </w:p>
    <w:p w14:paraId="0A3E714C" w14:textId="77777777" w:rsidR="00A27C6F" w:rsidRDefault="00A27C6F" w:rsidP="00A27C6F">
      <w:pPr>
        <w:spacing w:line="360" w:lineRule="auto"/>
        <w:jc w:val="both"/>
        <w:rPr>
          <w:b/>
          <w:bCs/>
        </w:rPr>
      </w:pPr>
    </w:p>
    <w:p w14:paraId="7BE7580E" w14:textId="77777777" w:rsidR="00A27C6F" w:rsidRDefault="00A27C6F" w:rsidP="00A27C6F">
      <w:pPr>
        <w:spacing w:line="360" w:lineRule="auto"/>
        <w:jc w:val="both"/>
        <w:rPr>
          <w:b/>
          <w:bCs/>
        </w:rPr>
      </w:pPr>
    </w:p>
    <w:p w14:paraId="68482840" w14:textId="77777777" w:rsidR="00A27C6F" w:rsidRDefault="00A27C6F" w:rsidP="00A27C6F">
      <w:pPr>
        <w:spacing w:line="360" w:lineRule="auto"/>
        <w:jc w:val="both"/>
        <w:rPr>
          <w:b/>
          <w:bCs/>
        </w:rPr>
      </w:pPr>
    </w:p>
    <w:p w14:paraId="48DB8E9C" w14:textId="77777777" w:rsidR="00A27C6F" w:rsidRDefault="00A27C6F" w:rsidP="00A27C6F">
      <w:pPr>
        <w:spacing w:line="360" w:lineRule="auto"/>
        <w:jc w:val="both"/>
        <w:rPr>
          <w:b/>
          <w:bCs/>
        </w:rPr>
      </w:pPr>
    </w:p>
    <w:p w14:paraId="14B3D38F" w14:textId="77777777" w:rsidR="00A27C6F" w:rsidRDefault="00A27C6F" w:rsidP="00A27C6F">
      <w:pPr>
        <w:spacing w:line="360" w:lineRule="auto"/>
        <w:jc w:val="both"/>
        <w:rPr>
          <w:b/>
          <w:bCs/>
        </w:rPr>
      </w:pPr>
    </w:p>
    <w:p w14:paraId="5FD863D0" w14:textId="77777777" w:rsidR="000D5D46" w:rsidRDefault="000D5D46" w:rsidP="00A27C6F">
      <w:pPr>
        <w:spacing w:line="360" w:lineRule="auto"/>
        <w:jc w:val="both"/>
        <w:rPr>
          <w:b/>
          <w:bCs/>
        </w:rPr>
      </w:pPr>
    </w:p>
    <w:p w14:paraId="632DCBF5" w14:textId="77777777" w:rsidR="000D5D46" w:rsidRDefault="000D5D46" w:rsidP="00A27C6F">
      <w:pPr>
        <w:spacing w:line="360" w:lineRule="auto"/>
        <w:jc w:val="both"/>
        <w:rPr>
          <w:b/>
          <w:bCs/>
        </w:rPr>
      </w:pPr>
    </w:p>
    <w:p w14:paraId="4A90BD03" w14:textId="0B7A0566" w:rsidR="00E20DC2" w:rsidRPr="00E20DC2" w:rsidRDefault="00E20DC2" w:rsidP="00A27C6F">
      <w:pPr>
        <w:spacing w:line="360" w:lineRule="auto"/>
        <w:jc w:val="both"/>
        <w:rPr>
          <w:b/>
          <w:bCs/>
          <w:noProof/>
        </w:rPr>
      </w:pPr>
      <w:r>
        <w:rPr>
          <w:b/>
          <w:bCs/>
        </w:rPr>
        <w:lastRenderedPageBreak/>
        <w:t>S</w:t>
      </w:r>
      <w:r w:rsidRPr="00E20DC2">
        <w:rPr>
          <w:b/>
          <w:bCs/>
        </w:rPr>
        <w:t>creenshot of the formula used for Unemployment Stats:</w:t>
      </w:r>
    </w:p>
    <w:p w14:paraId="28C21ACD" w14:textId="077E5136" w:rsidR="00A27C6F" w:rsidRDefault="00A27C6F" w:rsidP="00A27C6F">
      <w:pPr>
        <w:spacing w:line="360" w:lineRule="auto"/>
        <w:jc w:val="both"/>
      </w:pPr>
      <w:r>
        <w:rPr>
          <w:noProof/>
        </w:rPr>
        <w:drawing>
          <wp:inline distT="0" distB="0" distL="0" distR="0" wp14:anchorId="153A1125" wp14:editId="2D3B4123">
            <wp:extent cx="5852160" cy="3291840"/>
            <wp:effectExtent l="19050" t="19050" r="15240" b="2286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2160" cy="3291840"/>
                    </a:xfrm>
                    <a:prstGeom prst="rect">
                      <a:avLst/>
                    </a:prstGeom>
                    <a:noFill/>
                    <a:ln>
                      <a:solidFill>
                        <a:schemeClr val="tx1"/>
                      </a:solidFill>
                    </a:ln>
                  </pic:spPr>
                </pic:pic>
              </a:graphicData>
            </a:graphic>
          </wp:inline>
        </w:drawing>
      </w:r>
    </w:p>
    <w:p w14:paraId="13FE3B78" w14:textId="4C54F78A" w:rsidR="00E20DC2" w:rsidRPr="00403D41" w:rsidRDefault="00403D41" w:rsidP="00A27C6F">
      <w:pPr>
        <w:spacing w:line="360" w:lineRule="auto"/>
        <w:jc w:val="both"/>
        <w:rPr>
          <w:b/>
          <w:bCs/>
        </w:rPr>
      </w:pPr>
      <w:r w:rsidRPr="00403D41">
        <w:rPr>
          <w:b/>
          <w:bCs/>
        </w:rPr>
        <w:t>Line Chart of Unemployment Stats:</w:t>
      </w:r>
    </w:p>
    <w:p w14:paraId="50AB79BA" w14:textId="2573D3C1" w:rsidR="00A27C6F" w:rsidRDefault="00A27C6F" w:rsidP="00A27C6F">
      <w:pPr>
        <w:spacing w:line="360" w:lineRule="auto"/>
        <w:jc w:val="both"/>
      </w:pPr>
      <w:r>
        <w:rPr>
          <w:noProof/>
        </w:rPr>
        <w:drawing>
          <wp:inline distT="0" distB="0" distL="0" distR="0" wp14:anchorId="0986AD50" wp14:editId="749E9861">
            <wp:extent cx="5943600" cy="4077335"/>
            <wp:effectExtent l="19050" t="19050" r="19050" b="1841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77335"/>
                    </a:xfrm>
                    <a:prstGeom prst="rect">
                      <a:avLst/>
                    </a:prstGeom>
                    <a:noFill/>
                    <a:ln>
                      <a:solidFill>
                        <a:schemeClr val="tx1"/>
                      </a:solidFill>
                    </a:ln>
                  </pic:spPr>
                </pic:pic>
              </a:graphicData>
            </a:graphic>
          </wp:inline>
        </w:drawing>
      </w:r>
    </w:p>
    <w:p w14:paraId="64BDDF70" w14:textId="6331A53A" w:rsidR="00403D41" w:rsidRPr="00403D41" w:rsidRDefault="00403D41" w:rsidP="00A27C6F">
      <w:pPr>
        <w:spacing w:line="360" w:lineRule="auto"/>
        <w:jc w:val="both"/>
        <w:rPr>
          <w:b/>
          <w:bCs/>
        </w:rPr>
      </w:pPr>
      <w:r w:rsidRPr="00403D41">
        <w:rPr>
          <w:b/>
          <w:bCs/>
        </w:rPr>
        <w:lastRenderedPageBreak/>
        <w:t>Line Chart of Unemployment Stats</w:t>
      </w:r>
      <w:r>
        <w:rPr>
          <w:b/>
          <w:bCs/>
        </w:rPr>
        <w:t xml:space="preserve"> after changing </w:t>
      </w:r>
      <w:proofErr w:type="spellStart"/>
      <w:r>
        <w:rPr>
          <w:b/>
          <w:bCs/>
        </w:rPr>
        <w:t>colour</w:t>
      </w:r>
      <w:proofErr w:type="spellEnd"/>
      <w:r w:rsidRPr="00403D41">
        <w:rPr>
          <w:b/>
          <w:bCs/>
        </w:rPr>
        <w:t>:</w:t>
      </w:r>
    </w:p>
    <w:p w14:paraId="678F65FB" w14:textId="7C7662EC" w:rsidR="00A27C6F" w:rsidRDefault="00A27C6F" w:rsidP="00A27C6F">
      <w:pPr>
        <w:spacing w:line="360" w:lineRule="auto"/>
        <w:jc w:val="both"/>
      </w:pPr>
      <w:r>
        <w:rPr>
          <w:noProof/>
        </w:rPr>
        <w:drawing>
          <wp:inline distT="0" distB="0" distL="0" distR="0" wp14:anchorId="71544793" wp14:editId="2008CAEB">
            <wp:extent cx="5943600" cy="3569335"/>
            <wp:effectExtent l="19050" t="19050" r="19050" b="1206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9335"/>
                    </a:xfrm>
                    <a:prstGeom prst="rect">
                      <a:avLst/>
                    </a:prstGeom>
                    <a:noFill/>
                    <a:ln>
                      <a:solidFill>
                        <a:schemeClr val="tx1"/>
                      </a:solidFill>
                    </a:ln>
                  </pic:spPr>
                </pic:pic>
              </a:graphicData>
            </a:graphic>
          </wp:inline>
        </w:drawing>
      </w:r>
    </w:p>
    <w:p w14:paraId="48A3874F" w14:textId="315C0603" w:rsidR="00403D41" w:rsidRDefault="00403D41" w:rsidP="00A27C6F">
      <w:pPr>
        <w:spacing w:line="360" w:lineRule="auto"/>
        <w:jc w:val="both"/>
        <w:rPr>
          <w:noProof/>
        </w:rPr>
      </w:pPr>
      <w:r w:rsidRPr="00403D41">
        <w:rPr>
          <w:b/>
          <w:bCs/>
        </w:rPr>
        <w:t>Line Chart of Unemployment Stats</w:t>
      </w:r>
      <w:r>
        <w:rPr>
          <w:b/>
          <w:bCs/>
        </w:rPr>
        <w:t xml:space="preserve"> with Forecast:</w:t>
      </w:r>
    </w:p>
    <w:p w14:paraId="266EEEF1" w14:textId="11698BC0" w:rsidR="00A27C6F" w:rsidRDefault="00A27C6F" w:rsidP="00A27C6F">
      <w:pPr>
        <w:spacing w:line="360" w:lineRule="auto"/>
        <w:jc w:val="both"/>
      </w:pPr>
      <w:r>
        <w:rPr>
          <w:noProof/>
        </w:rPr>
        <w:drawing>
          <wp:inline distT="0" distB="0" distL="0" distR="0" wp14:anchorId="605ADE12" wp14:editId="51BAD09C">
            <wp:extent cx="5943600" cy="3756660"/>
            <wp:effectExtent l="19050" t="19050" r="19050" b="1524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solidFill>
                        <a:schemeClr val="tx1"/>
                      </a:solidFill>
                    </a:ln>
                  </pic:spPr>
                </pic:pic>
              </a:graphicData>
            </a:graphic>
          </wp:inline>
        </w:drawing>
      </w:r>
    </w:p>
    <w:p w14:paraId="17B3223B" w14:textId="30328E84" w:rsidR="00403D41" w:rsidRPr="00403D41" w:rsidRDefault="00403D41" w:rsidP="00A27C6F">
      <w:pPr>
        <w:spacing w:line="360" w:lineRule="auto"/>
        <w:jc w:val="both"/>
        <w:rPr>
          <w:b/>
          <w:bCs/>
          <w:noProof/>
        </w:rPr>
      </w:pPr>
      <w:r w:rsidRPr="00403D41">
        <w:rPr>
          <w:b/>
          <w:bCs/>
          <w:noProof/>
        </w:rPr>
        <w:lastRenderedPageBreak/>
        <w:t>Dashboard of Employment numbers and Unemployment Stats:</w:t>
      </w:r>
    </w:p>
    <w:p w14:paraId="02E64652" w14:textId="3102A46A" w:rsidR="00F35C94" w:rsidRDefault="00403D41" w:rsidP="00A27C6F">
      <w:pPr>
        <w:spacing w:line="360" w:lineRule="auto"/>
        <w:jc w:val="both"/>
      </w:pPr>
      <w:r>
        <w:rPr>
          <w:noProof/>
        </w:rPr>
        <w:drawing>
          <wp:inline distT="0" distB="0" distL="0" distR="0" wp14:anchorId="5651B1EA" wp14:editId="0DFB147A">
            <wp:extent cx="5943600" cy="4754880"/>
            <wp:effectExtent l="19050" t="19050" r="19050" b="26670"/>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solidFill>
                        <a:schemeClr val="tx1"/>
                      </a:solidFill>
                    </a:ln>
                  </pic:spPr>
                </pic:pic>
              </a:graphicData>
            </a:graphic>
          </wp:inline>
        </w:drawing>
      </w:r>
    </w:p>
    <w:p w14:paraId="4D6A312D" w14:textId="7B9F0E96" w:rsidR="00F35C94" w:rsidRDefault="00B17C8C" w:rsidP="00A27C6F">
      <w:pPr>
        <w:spacing w:line="360" w:lineRule="auto"/>
        <w:jc w:val="both"/>
      </w:pPr>
      <w:r>
        <w:t>Unemployment rate and employment numbers show strong correlation in this chart. The post covid-19 pandemic recovery shows promising growth with unemployment numbers going down at a</w:t>
      </w:r>
      <w:r w:rsidR="00184B9E">
        <w:t xml:space="preserve"> meager but</w:t>
      </w:r>
      <w:r>
        <w:t xml:space="preserve"> steady </w:t>
      </w:r>
      <w:r w:rsidR="00184B9E">
        <w:t>rate with the employment numbers showing some peaks and troughs throughout the recovery period (2021-2023).</w:t>
      </w:r>
    </w:p>
    <w:p w14:paraId="296DB5D0" w14:textId="70E4B58A" w:rsidR="00F35C94" w:rsidRDefault="00F35C94" w:rsidP="00A27C6F">
      <w:pPr>
        <w:spacing w:line="360" w:lineRule="auto"/>
        <w:jc w:val="both"/>
      </w:pPr>
    </w:p>
    <w:p w14:paraId="11156C31" w14:textId="7DE44D6B" w:rsidR="00F35C94" w:rsidRDefault="00F35C94" w:rsidP="00A27C6F">
      <w:pPr>
        <w:spacing w:line="360" w:lineRule="auto"/>
        <w:jc w:val="both"/>
      </w:pPr>
    </w:p>
    <w:p w14:paraId="3A7AF5DC" w14:textId="1A36D9A8" w:rsidR="00F35C94" w:rsidRDefault="00F35C94" w:rsidP="00A27C6F">
      <w:pPr>
        <w:spacing w:line="360" w:lineRule="auto"/>
        <w:jc w:val="both"/>
      </w:pPr>
    </w:p>
    <w:p w14:paraId="4548C89D" w14:textId="14450CEC" w:rsidR="00F35C94" w:rsidRDefault="00F35C94" w:rsidP="00A27C6F">
      <w:pPr>
        <w:spacing w:line="360" w:lineRule="auto"/>
        <w:jc w:val="both"/>
      </w:pPr>
    </w:p>
    <w:p w14:paraId="380D8410" w14:textId="79903AD7" w:rsidR="00F35C94" w:rsidRDefault="00F35C94" w:rsidP="00A27C6F">
      <w:pPr>
        <w:spacing w:line="360" w:lineRule="auto"/>
        <w:jc w:val="both"/>
      </w:pPr>
    </w:p>
    <w:p w14:paraId="2D2E52ED" w14:textId="65301BA6" w:rsidR="00F35C94" w:rsidRDefault="00F35C94" w:rsidP="00A27C6F">
      <w:pPr>
        <w:spacing w:line="360" w:lineRule="auto"/>
        <w:jc w:val="both"/>
      </w:pPr>
    </w:p>
    <w:p w14:paraId="441E97F5" w14:textId="74A2722B" w:rsidR="00F35C94" w:rsidRPr="00F35C94" w:rsidRDefault="00F35C94" w:rsidP="00A27C6F">
      <w:pPr>
        <w:spacing w:line="360" w:lineRule="auto"/>
        <w:jc w:val="both"/>
        <w:rPr>
          <w:b/>
          <w:bCs/>
        </w:rPr>
      </w:pPr>
      <w:r>
        <w:rPr>
          <w:b/>
          <w:bCs/>
        </w:rPr>
        <w:lastRenderedPageBreak/>
        <w:t>S</w:t>
      </w:r>
      <w:r w:rsidRPr="00F35C94">
        <w:rPr>
          <w:b/>
          <w:bCs/>
        </w:rPr>
        <w:t>creenshot relationship diagram:</w:t>
      </w:r>
    </w:p>
    <w:p w14:paraId="2C23E178" w14:textId="68C519E4" w:rsidR="00F35C94" w:rsidRDefault="00F35C94" w:rsidP="00A27C6F">
      <w:pPr>
        <w:spacing w:line="360" w:lineRule="auto"/>
        <w:jc w:val="both"/>
      </w:pPr>
      <w:r>
        <w:rPr>
          <w:noProof/>
        </w:rPr>
        <w:drawing>
          <wp:inline distT="0" distB="0" distL="0" distR="0" wp14:anchorId="28B9CBC9" wp14:editId="17C7111B">
            <wp:extent cx="5852160" cy="3291840"/>
            <wp:effectExtent l="19050" t="19050" r="15240" b="2286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52160" cy="3291840"/>
                    </a:xfrm>
                    <a:prstGeom prst="rect">
                      <a:avLst/>
                    </a:prstGeom>
                    <a:noFill/>
                    <a:ln>
                      <a:solidFill>
                        <a:schemeClr val="tx1"/>
                      </a:solidFill>
                    </a:ln>
                  </pic:spPr>
                </pic:pic>
              </a:graphicData>
            </a:graphic>
          </wp:inline>
        </w:drawing>
      </w:r>
    </w:p>
    <w:p w14:paraId="031A8DAD" w14:textId="77777777" w:rsidR="004B01B9" w:rsidRDefault="004B01B9" w:rsidP="004B01B9">
      <w:pPr>
        <w:spacing w:line="360" w:lineRule="auto"/>
        <w:jc w:val="both"/>
        <w:rPr>
          <w:b/>
          <w:bCs/>
          <w:u w:val="single"/>
        </w:rPr>
      </w:pPr>
    </w:p>
    <w:p w14:paraId="6FED382A" w14:textId="77777777" w:rsidR="004B01B9" w:rsidRDefault="004B01B9" w:rsidP="004B01B9">
      <w:pPr>
        <w:spacing w:line="360" w:lineRule="auto"/>
        <w:jc w:val="both"/>
        <w:rPr>
          <w:b/>
          <w:bCs/>
          <w:u w:val="single"/>
        </w:rPr>
      </w:pPr>
    </w:p>
    <w:p w14:paraId="1AB34DFE" w14:textId="77777777" w:rsidR="004B01B9" w:rsidRDefault="004B01B9" w:rsidP="004B01B9">
      <w:pPr>
        <w:spacing w:line="360" w:lineRule="auto"/>
        <w:jc w:val="both"/>
        <w:rPr>
          <w:b/>
          <w:bCs/>
          <w:u w:val="single"/>
        </w:rPr>
      </w:pPr>
    </w:p>
    <w:p w14:paraId="50E1CFC3" w14:textId="77777777" w:rsidR="004B01B9" w:rsidRDefault="004B01B9" w:rsidP="004B01B9">
      <w:pPr>
        <w:spacing w:line="360" w:lineRule="auto"/>
        <w:jc w:val="both"/>
        <w:rPr>
          <w:b/>
          <w:bCs/>
          <w:u w:val="single"/>
        </w:rPr>
      </w:pPr>
    </w:p>
    <w:p w14:paraId="640B49E9" w14:textId="77777777" w:rsidR="004B01B9" w:rsidRDefault="004B01B9" w:rsidP="004B01B9">
      <w:pPr>
        <w:spacing w:line="360" w:lineRule="auto"/>
        <w:jc w:val="both"/>
        <w:rPr>
          <w:b/>
          <w:bCs/>
          <w:u w:val="single"/>
        </w:rPr>
      </w:pPr>
    </w:p>
    <w:p w14:paraId="6DFF23F1" w14:textId="77777777" w:rsidR="004B01B9" w:rsidRDefault="004B01B9" w:rsidP="004B01B9">
      <w:pPr>
        <w:spacing w:line="360" w:lineRule="auto"/>
        <w:jc w:val="both"/>
        <w:rPr>
          <w:b/>
          <w:bCs/>
          <w:u w:val="single"/>
        </w:rPr>
      </w:pPr>
    </w:p>
    <w:p w14:paraId="18CA17DE" w14:textId="77777777" w:rsidR="004B01B9" w:rsidRDefault="004B01B9" w:rsidP="004B01B9">
      <w:pPr>
        <w:spacing w:line="360" w:lineRule="auto"/>
        <w:jc w:val="both"/>
        <w:rPr>
          <w:b/>
          <w:bCs/>
          <w:u w:val="single"/>
        </w:rPr>
      </w:pPr>
    </w:p>
    <w:p w14:paraId="21163A78" w14:textId="77777777" w:rsidR="004B01B9" w:rsidRDefault="004B01B9" w:rsidP="004B01B9">
      <w:pPr>
        <w:spacing w:line="360" w:lineRule="auto"/>
        <w:jc w:val="both"/>
        <w:rPr>
          <w:b/>
          <w:bCs/>
          <w:u w:val="single"/>
        </w:rPr>
      </w:pPr>
    </w:p>
    <w:p w14:paraId="3131AAA3" w14:textId="77777777" w:rsidR="004B01B9" w:rsidRDefault="004B01B9" w:rsidP="004B01B9">
      <w:pPr>
        <w:spacing w:line="360" w:lineRule="auto"/>
        <w:jc w:val="both"/>
        <w:rPr>
          <w:b/>
          <w:bCs/>
          <w:u w:val="single"/>
        </w:rPr>
      </w:pPr>
    </w:p>
    <w:p w14:paraId="1EAA4686" w14:textId="77777777" w:rsidR="004B01B9" w:rsidRDefault="004B01B9" w:rsidP="004B01B9">
      <w:pPr>
        <w:spacing w:line="360" w:lineRule="auto"/>
        <w:jc w:val="both"/>
        <w:rPr>
          <w:b/>
          <w:bCs/>
          <w:u w:val="single"/>
        </w:rPr>
      </w:pPr>
    </w:p>
    <w:p w14:paraId="566F3530" w14:textId="77777777" w:rsidR="004B01B9" w:rsidRDefault="004B01B9" w:rsidP="004B01B9">
      <w:pPr>
        <w:spacing w:line="360" w:lineRule="auto"/>
        <w:jc w:val="both"/>
        <w:rPr>
          <w:b/>
          <w:bCs/>
          <w:u w:val="single"/>
        </w:rPr>
      </w:pPr>
    </w:p>
    <w:p w14:paraId="6C3C9F6E" w14:textId="77777777" w:rsidR="004B01B9" w:rsidRDefault="004B01B9" w:rsidP="004B01B9">
      <w:pPr>
        <w:spacing w:line="360" w:lineRule="auto"/>
        <w:jc w:val="both"/>
        <w:rPr>
          <w:b/>
          <w:bCs/>
          <w:u w:val="single"/>
        </w:rPr>
      </w:pPr>
    </w:p>
    <w:p w14:paraId="30D15B2A" w14:textId="77777777" w:rsidR="004B01B9" w:rsidRDefault="004B01B9" w:rsidP="004B01B9">
      <w:pPr>
        <w:spacing w:line="360" w:lineRule="auto"/>
        <w:jc w:val="both"/>
        <w:rPr>
          <w:b/>
          <w:bCs/>
          <w:u w:val="single"/>
        </w:rPr>
      </w:pPr>
    </w:p>
    <w:p w14:paraId="1085C69B" w14:textId="77777777" w:rsidR="004B01B9" w:rsidRDefault="004B01B9" w:rsidP="004B01B9">
      <w:pPr>
        <w:spacing w:line="360" w:lineRule="auto"/>
        <w:jc w:val="both"/>
        <w:rPr>
          <w:b/>
          <w:bCs/>
          <w:u w:val="single"/>
        </w:rPr>
      </w:pPr>
    </w:p>
    <w:p w14:paraId="41888C1B" w14:textId="77777777" w:rsidR="004B01B9" w:rsidRDefault="004B01B9" w:rsidP="004B01B9">
      <w:pPr>
        <w:spacing w:line="360" w:lineRule="auto"/>
        <w:jc w:val="both"/>
        <w:rPr>
          <w:b/>
          <w:bCs/>
          <w:u w:val="single"/>
        </w:rPr>
      </w:pPr>
    </w:p>
    <w:p w14:paraId="5A4E561F" w14:textId="77777777" w:rsidR="003135B0" w:rsidRDefault="003135B0" w:rsidP="004B01B9">
      <w:pPr>
        <w:spacing w:line="360" w:lineRule="auto"/>
        <w:jc w:val="both"/>
        <w:rPr>
          <w:b/>
          <w:bCs/>
          <w:u w:val="single"/>
        </w:rPr>
      </w:pPr>
    </w:p>
    <w:p w14:paraId="3CB4E210" w14:textId="3E30342C" w:rsidR="004B01B9" w:rsidRPr="004B01B9" w:rsidRDefault="004B01B9" w:rsidP="004B01B9">
      <w:pPr>
        <w:spacing w:line="360" w:lineRule="auto"/>
        <w:jc w:val="both"/>
        <w:rPr>
          <w:b/>
          <w:bCs/>
          <w:u w:val="single"/>
        </w:rPr>
      </w:pPr>
      <w:r w:rsidRPr="004B01B9">
        <w:rPr>
          <w:b/>
          <w:bCs/>
          <w:u w:val="single"/>
        </w:rPr>
        <w:lastRenderedPageBreak/>
        <w:t>Business Insights for the Oracle DW Dataset:</w:t>
      </w:r>
    </w:p>
    <w:p w14:paraId="63011EAE" w14:textId="77777777" w:rsidR="00F35C94" w:rsidRDefault="00F35C94" w:rsidP="00F35C94">
      <w:pPr>
        <w:spacing w:line="360" w:lineRule="auto"/>
        <w:jc w:val="both"/>
        <w:rPr>
          <w:b/>
          <w:bCs/>
        </w:rPr>
      </w:pPr>
      <w:r>
        <w:rPr>
          <w:noProof/>
        </w:rPr>
        <w:drawing>
          <wp:inline distT="0" distB="0" distL="0" distR="0" wp14:anchorId="0B14900D" wp14:editId="2B480BDE">
            <wp:extent cx="5593959" cy="4475167"/>
            <wp:effectExtent l="19050" t="19050" r="26035" b="20955"/>
            <wp:docPr id="12" name="Picture 12"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553" cy="4480442"/>
                    </a:xfrm>
                    <a:prstGeom prst="rect">
                      <a:avLst/>
                    </a:prstGeom>
                    <a:noFill/>
                    <a:ln>
                      <a:solidFill>
                        <a:schemeClr val="tx1"/>
                      </a:solidFill>
                    </a:ln>
                  </pic:spPr>
                </pic:pic>
              </a:graphicData>
            </a:graphic>
          </wp:inline>
        </w:drawing>
      </w:r>
    </w:p>
    <w:p w14:paraId="64A18941" w14:textId="7A2FC4D7" w:rsidR="00F35C94" w:rsidRPr="00A27C6F" w:rsidRDefault="00F35C94" w:rsidP="00F35C94">
      <w:pPr>
        <w:spacing w:line="360" w:lineRule="auto"/>
        <w:jc w:val="both"/>
        <w:rPr>
          <w:b/>
          <w:bCs/>
        </w:rPr>
      </w:pPr>
      <w:r w:rsidRPr="00A27C6F">
        <w:rPr>
          <w:b/>
          <w:bCs/>
        </w:rPr>
        <w:t>Pie chart for Total Sales per Customer:</w:t>
      </w:r>
    </w:p>
    <w:p w14:paraId="241B7661" w14:textId="77777777" w:rsidR="00F35C94" w:rsidRDefault="00F35C94" w:rsidP="00F35C94">
      <w:pPr>
        <w:spacing w:line="360" w:lineRule="auto"/>
        <w:jc w:val="both"/>
      </w:pPr>
      <w:r>
        <w:t xml:space="preserve">At a glance, the </w:t>
      </w:r>
      <w:proofErr w:type="gramStart"/>
      <w:r>
        <w:t>amount</w:t>
      </w:r>
      <w:proofErr w:type="gramEnd"/>
      <w:r>
        <w:t xml:space="preserve"> of sales for male customers (Dominic Sellitto, James Bond, and Jeep </w:t>
      </w:r>
      <w:proofErr w:type="spellStart"/>
      <w:r>
        <w:t>Jeeperson</w:t>
      </w:r>
      <w:proofErr w:type="spellEnd"/>
      <w:r>
        <w:t xml:space="preserve">) is higher than those for female customers (Sally </w:t>
      </w:r>
      <w:proofErr w:type="spellStart"/>
      <w:r>
        <w:t>Sallerson</w:t>
      </w:r>
      <w:proofErr w:type="spellEnd"/>
      <w:r>
        <w:t xml:space="preserve"> &amp; Jennifer Lopez). From this, we can infer that we must try to market more to the female customer base.</w:t>
      </w:r>
    </w:p>
    <w:p w14:paraId="4C993311" w14:textId="77777777" w:rsidR="00F35C94" w:rsidRDefault="00F35C94" w:rsidP="00F35C94">
      <w:pPr>
        <w:spacing w:line="360" w:lineRule="auto"/>
        <w:jc w:val="both"/>
      </w:pPr>
    </w:p>
    <w:p w14:paraId="2C48E61F" w14:textId="77777777" w:rsidR="00F35C94" w:rsidRPr="00A27C6F" w:rsidRDefault="00F35C94" w:rsidP="00F35C94">
      <w:pPr>
        <w:spacing w:line="360" w:lineRule="auto"/>
        <w:jc w:val="both"/>
        <w:rPr>
          <w:b/>
          <w:bCs/>
        </w:rPr>
      </w:pPr>
      <w:r w:rsidRPr="00A27C6F">
        <w:rPr>
          <w:b/>
          <w:bCs/>
        </w:rPr>
        <w:t>Line graph for Sales in Buffalo &amp; Rochester:</w:t>
      </w:r>
    </w:p>
    <w:p w14:paraId="03B11007" w14:textId="77777777" w:rsidR="00F35C94" w:rsidRDefault="00F35C94" w:rsidP="00F35C94">
      <w:pPr>
        <w:spacing w:line="360" w:lineRule="auto"/>
        <w:jc w:val="both"/>
      </w:pPr>
      <w:r>
        <w:t xml:space="preserve">The sales in Rochester are higher than in Buffalo. </w:t>
      </w:r>
      <w:proofErr w:type="gramStart"/>
      <w:r>
        <w:t>However</w:t>
      </w:r>
      <w:proofErr w:type="gramEnd"/>
      <w:r>
        <w:t xml:space="preserve"> Buffalo appears to have a steady forecast of sales with lesser troughs in the graph. From this, we could arrive at a decision of increasing the sales in Buffalo and solidifying the customer base in Rochester </w:t>
      </w:r>
      <w:proofErr w:type="gramStart"/>
      <w:r>
        <w:t>so as to</w:t>
      </w:r>
      <w:proofErr w:type="gramEnd"/>
      <w:r>
        <w:t xml:space="preserve"> have a steady flow of orders throughout the year.</w:t>
      </w:r>
    </w:p>
    <w:p w14:paraId="08B5A2FE" w14:textId="77777777" w:rsidR="00F35C94" w:rsidRPr="00E65B91" w:rsidRDefault="00F35C94" w:rsidP="00A27C6F">
      <w:pPr>
        <w:spacing w:line="360" w:lineRule="auto"/>
        <w:jc w:val="both"/>
      </w:pPr>
    </w:p>
    <w:sectPr w:rsidR="00F35C94" w:rsidRPr="00E65B9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A7413" w14:textId="77777777" w:rsidR="00F9220B" w:rsidRDefault="00F9220B" w:rsidP="002D30A8">
      <w:r>
        <w:separator/>
      </w:r>
    </w:p>
  </w:endnote>
  <w:endnote w:type="continuationSeparator" w:id="0">
    <w:p w14:paraId="18534E13" w14:textId="77777777" w:rsidR="00F9220B" w:rsidRDefault="00F9220B" w:rsidP="002D3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BDAE2" w14:textId="77777777" w:rsidR="00F9220B" w:rsidRDefault="00F9220B" w:rsidP="002D30A8">
      <w:r>
        <w:separator/>
      </w:r>
    </w:p>
  </w:footnote>
  <w:footnote w:type="continuationSeparator" w:id="0">
    <w:p w14:paraId="211F3F38" w14:textId="77777777" w:rsidR="00F9220B" w:rsidRDefault="00F9220B" w:rsidP="002D30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88AE8" w14:textId="611DE15A" w:rsidR="002D30A8" w:rsidRPr="005F222A" w:rsidRDefault="00FC2CFB" w:rsidP="00F64EB3">
    <w:pPr>
      <w:pStyle w:val="Header"/>
      <w:spacing w:line="360" w:lineRule="auto"/>
      <w:jc w:val="center"/>
      <w:rPr>
        <w:b/>
        <w:bCs/>
        <w:u w:val="single"/>
      </w:rPr>
    </w:pPr>
    <w:r w:rsidRPr="00FC2CFB">
      <w:rPr>
        <w:b/>
        <w:bCs/>
        <w:u w:val="single"/>
      </w:rPr>
      <w:t>Integrating Warehouses with BI Tools</w:t>
    </w:r>
  </w:p>
  <w:p w14:paraId="466D3748" w14:textId="63160E5D" w:rsidR="002D30A8" w:rsidRPr="00F64EB3" w:rsidRDefault="002D30A8" w:rsidP="00F64EB3">
    <w:pPr>
      <w:pStyle w:val="Header"/>
      <w:spacing w:line="360" w:lineRule="auto"/>
      <w:jc w:val="center"/>
      <w:rPr>
        <w:b/>
        <w:bCs/>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B7"/>
    <w:rsid w:val="0000251A"/>
    <w:rsid w:val="00023F83"/>
    <w:rsid w:val="00052F48"/>
    <w:rsid w:val="000535BB"/>
    <w:rsid w:val="00055DDE"/>
    <w:rsid w:val="00067D01"/>
    <w:rsid w:val="000734EA"/>
    <w:rsid w:val="000D2E3B"/>
    <w:rsid w:val="000D5D46"/>
    <w:rsid w:val="000F47D2"/>
    <w:rsid w:val="00110FA3"/>
    <w:rsid w:val="00130468"/>
    <w:rsid w:val="00131F83"/>
    <w:rsid w:val="0014403E"/>
    <w:rsid w:val="001725D3"/>
    <w:rsid w:val="00175E65"/>
    <w:rsid w:val="00184B9E"/>
    <w:rsid w:val="001B07C6"/>
    <w:rsid w:val="001C1377"/>
    <w:rsid w:val="001C68A6"/>
    <w:rsid w:val="001D1705"/>
    <w:rsid w:val="001F2C27"/>
    <w:rsid w:val="001F59D9"/>
    <w:rsid w:val="0021692C"/>
    <w:rsid w:val="00227FC4"/>
    <w:rsid w:val="00244C0D"/>
    <w:rsid w:val="00260156"/>
    <w:rsid w:val="00262FCD"/>
    <w:rsid w:val="00272EE2"/>
    <w:rsid w:val="00277130"/>
    <w:rsid w:val="002912DF"/>
    <w:rsid w:val="00297A2C"/>
    <w:rsid w:val="002A5958"/>
    <w:rsid w:val="002D30A8"/>
    <w:rsid w:val="003135B0"/>
    <w:rsid w:val="00327848"/>
    <w:rsid w:val="00343442"/>
    <w:rsid w:val="003460CC"/>
    <w:rsid w:val="003462FB"/>
    <w:rsid w:val="003473E9"/>
    <w:rsid w:val="00351312"/>
    <w:rsid w:val="00370956"/>
    <w:rsid w:val="00377F86"/>
    <w:rsid w:val="00382380"/>
    <w:rsid w:val="00383CD1"/>
    <w:rsid w:val="00396C1E"/>
    <w:rsid w:val="003B1A7D"/>
    <w:rsid w:val="003B33CA"/>
    <w:rsid w:val="003B5F16"/>
    <w:rsid w:val="003C4319"/>
    <w:rsid w:val="003D317D"/>
    <w:rsid w:val="003F685B"/>
    <w:rsid w:val="00403D41"/>
    <w:rsid w:val="0043139E"/>
    <w:rsid w:val="00434FEC"/>
    <w:rsid w:val="004672DB"/>
    <w:rsid w:val="004A3D25"/>
    <w:rsid w:val="004B01B9"/>
    <w:rsid w:val="004C5397"/>
    <w:rsid w:val="004C5C2D"/>
    <w:rsid w:val="0051554E"/>
    <w:rsid w:val="00535CA3"/>
    <w:rsid w:val="00583CB2"/>
    <w:rsid w:val="005B54BC"/>
    <w:rsid w:val="005F091B"/>
    <w:rsid w:val="005F7894"/>
    <w:rsid w:val="00614BB0"/>
    <w:rsid w:val="00646373"/>
    <w:rsid w:val="006467A4"/>
    <w:rsid w:val="00656AD3"/>
    <w:rsid w:val="00663B69"/>
    <w:rsid w:val="00685A4E"/>
    <w:rsid w:val="00686C7E"/>
    <w:rsid w:val="0069081D"/>
    <w:rsid w:val="006A3D88"/>
    <w:rsid w:val="006C1B84"/>
    <w:rsid w:val="006C26CE"/>
    <w:rsid w:val="006C4E17"/>
    <w:rsid w:val="006C6B87"/>
    <w:rsid w:val="006D12F2"/>
    <w:rsid w:val="006E247A"/>
    <w:rsid w:val="00735577"/>
    <w:rsid w:val="0073580A"/>
    <w:rsid w:val="00735C41"/>
    <w:rsid w:val="00761A31"/>
    <w:rsid w:val="00765E6C"/>
    <w:rsid w:val="00780716"/>
    <w:rsid w:val="00785507"/>
    <w:rsid w:val="00791C86"/>
    <w:rsid w:val="00795DC1"/>
    <w:rsid w:val="007D1E72"/>
    <w:rsid w:val="007D41DA"/>
    <w:rsid w:val="007E5BBF"/>
    <w:rsid w:val="007F7762"/>
    <w:rsid w:val="008153EB"/>
    <w:rsid w:val="008179F0"/>
    <w:rsid w:val="008413CD"/>
    <w:rsid w:val="008625CD"/>
    <w:rsid w:val="00876FE5"/>
    <w:rsid w:val="00891B32"/>
    <w:rsid w:val="00892C72"/>
    <w:rsid w:val="008965B0"/>
    <w:rsid w:val="008B6C1F"/>
    <w:rsid w:val="008F1398"/>
    <w:rsid w:val="00911000"/>
    <w:rsid w:val="00914002"/>
    <w:rsid w:val="009152F3"/>
    <w:rsid w:val="0092591E"/>
    <w:rsid w:val="009260B7"/>
    <w:rsid w:val="00927530"/>
    <w:rsid w:val="00940C9F"/>
    <w:rsid w:val="00944026"/>
    <w:rsid w:val="00962C2E"/>
    <w:rsid w:val="00995A06"/>
    <w:rsid w:val="009F48D1"/>
    <w:rsid w:val="009F4F83"/>
    <w:rsid w:val="00A149F3"/>
    <w:rsid w:val="00A1565D"/>
    <w:rsid w:val="00A27C6F"/>
    <w:rsid w:val="00A548DE"/>
    <w:rsid w:val="00A940E9"/>
    <w:rsid w:val="00AB1870"/>
    <w:rsid w:val="00AC2EAF"/>
    <w:rsid w:val="00AC6AD1"/>
    <w:rsid w:val="00AC7811"/>
    <w:rsid w:val="00AF2371"/>
    <w:rsid w:val="00B120EB"/>
    <w:rsid w:val="00B1281B"/>
    <w:rsid w:val="00B17C8C"/>
    <w:rsid w:val="00B50AC3"/>
    <w:rsid w:val="00B76E3C"/>
    <w:rsid w:val="00B82629"/>
    <w:rsid w:val="00BB4B2A"/>
    <w:rsid w:val="00BB6419"/>
    <w:rsid w:val="00C03B8C"/>
    <w:rsid w:val="00C05A11"/>
    <w:rsid w:val="00C20F85"/>
    <w:rsid w:val="00C835C4"/>
    <w:rsid w:val="00C87A75"/>
    <w:rsid w:val="00C90C1B"/>
    <w:rsid w:val="00CA36F3"/>
    <w:rsid w:val="00CA6D7E"/>
    <w:rsid w:val="00CC26DD"/>
    <w:rsid w:val="00CE2657"/>
    <w:rsid w:val="00CE6C22"/>
    <w:rsid w:val="00D10556"/>
    <w:rsid w:val="00D22F62"/>
    <w:rsid w:val="00D33B3F"/>
    <w:rsid w:val="00D43747"/>
    <w:rsid w:val="00D45A71"/>
    <w:rsid w:val="00D46D9A"/>
    <w:rsid w:val="00D62A65"/>
    <w:rsid w:val="00D924B1"/>
    <w:rsid w:val="00D97D58"/>
    <w:rsid w:val="00DA5ED8"/>
    <w:rsid w:val="00DE3806"/>
    <w:rsid w:val="00DF1253"/>
    <w:rsid w:val="00DF1BD9"/>
    <w:rsid w:val="00E055BF"/>
    <w:rsid w:val="00E20DC2"/>
    <w:rsid w:val="00E44839"/>
    <w:rsid w:val="00E47F35"/>
    <w:rsid w:val="00E52E4F"/>
    <w:rsid w:val="00E65B91"/>
    <w:rsid w:val="00E91A46"/>
    <w:rsid w:val="00EA7E2C"/>
    <w:rsid w:val="00EB4A29"/>
    <w:rsid w:val="00EB6C92"/>
    <w:rsid w:val="00ED17E9"/>
    <w:rsid w:val="00EE7948"/>
    <w:rsid w:val="00F34052"/>
    <w:rsid w:val="00F3501A"/>
    <w:rsid w:val="00F35C94"/>
    <w:rsid w:val="00F638EB"/>
    <w:rsid w:val="00F640DC"/>
    <w:rsid w:val="00F64EB3"/>
    <w:rsid w:val="00F70F00"/>
    <w:rsid w:val="00F9220B"/>
    <w:rsid w:val="00FB2575"/>
    <w:rsid w:val="00FC2CFB"/>
    <w:rsid w:val="00FD6C2E"/>
    <w:rsid w:val="00FE677B"/>
    <w:rsid w:val="00FE6E08"/>
    <w:rsid w:val="00FF5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4CAC54"/>
  <w15:chartTrackingRefBased/>
  <w15:docId w15:val="{97999EB6-487A-954A-AF4D-A65ED545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0A8"/>
    <w:pPr>
      <w:tabs>
        <w:tab w:val="center" w:pos="4680"/>
        <w:tab w:val="right" w:pos="9360"/>
      </w:tabs>
    </w:pPr>
  </w:style>
  <w:style w:type="character" w:customStyle="1" w:styleId="HeaderChar">
    <w:name w:val="Header Char"/>
    <w:basedOn w:val="DefaultParagraphFont"/>
    <w:link w:val="Header"/>
    <w:uiPriority w:val="99"/>
    <w:rsid w:val="002D30A8"/>
  </w:style>
  <w:style w:type="paragraph" w:styleId="Footer">
    <w:name w:val="footer"/>
    <w:basedOn w:val="Normal"/>
    <w:link w:val="FooterChar"/>
    <w:uiPriority w:val="99"/>
    <w:unhideWhenUsed/>
    <w:rsid w:val="002D30A8"/>
    <w:pPr>
      <w:tabs>
        <w:tab w:val="center" w:pos="4680"/>
        <w:tab w:val="right" w:pos="9360"/>
      </w:tabs>
    </w:pPr>
  </w:style>
  <w:style w:type="character" w:customStyle="1" w:styleId="FooterChar">
    <w:name w:val="Footer Char"/>
    <w:basedOn w:val="DefaultParagraphFont"/>
    <w:link w:val="Footer"/>
    <w:uiPriority w:val="99"/>
    <w:rsid w:val="002D30A8"/>
  </w:style>
  <w:style w:type="character" w:styleId="Hyperlink">
    <w:name w:val="Hyperlink"/>
    <w:basedOn w:val="DefaultParagraphFont"/>
    <w:uiPriority w:val="99"/>
    <w:unhideWhenUsed/>
    <w:rsid w:val="00DF1253"/>
    <w:rPr>
      <w:color w:val="0563C1" w:themeColor="hyperlink"/>
      <w:u w:val="single"/>
    </w:rPr>
  </w:style>
  <w:style w:type="character" w:styleId="UnresolvedMention">
    <w:name w:val="Unresolved Mention"/>
    <w:basedOn w:val="DefaultParagraphFont"/>
    <w:uiPriority w:val="99"/>
    <w:semiHidden/>
    <w:unhideWhenUsed/>
    <w:rsid w:val="00DF1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help.tableau.com/current/pro/desktop/en-us/forecast_how_it_works.ht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l.ny.gov/system/files/documents/2021/03/press-release-1-april-2020-final_2.pdf"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757</Words>
  <Characters>3989</Characters>
  <Application>Microsoft Office Word</Application>
  <DocSecurity>0</DocSecurity>
  <Lines>107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Shaikh Umar</dc:creator>
  <cp:keywords/>
  <dc:description/>
  <cp:lastModifiedBy>HAREES BASHA SHAIK MOHAMMED</cp:lastModifiedBy>
  <cp:revision>12</cp:revision>
  <dcterms:created xsi:type="dcterms:W3CDTF">2022-12-01T06:53:00Z</dcterms:created>
  <dcterms:modified xsi:type="dcterms:W3CDTF">2024-01-23T19:44:00Z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c47ac5861c9fe599650fd132404db545f90dd44dd5fd974d47deae1ec0d930d3</vt:lpwstr>
  </property>
</Properties>
</file>