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A7B01" w14:textId="75360EF0" w:rsidR="00192D58" w:rsidRDefault="009F1957" w:rsidP="009F1957">
      <w:pPr>
        <w:pStyle w:val="title10825"/>
      </w:pPr>
      <w:r>
        <w:t>Study inclusion and data attainment</w:t>
      </w:r>
    </w:p>
    <w:p w14:paraId="25C75722" w14:textId="4FBD1091" w:rsidR="009F1957" w:rsidRPr="009F1957" w:rsidRDefault="009F1957" w:rsidP="009F1957">
      <w:r>
        <w:t>We used PubMed and Google scholar to search for CRC-related research containing at least CRC patients and healthy controls with faecal shotgun metagenomic data. And seven published studies and one of our previous research were included. We downloaded six public faecal shotgun CRC datasets from</w:t>
      </w:r>
      <w:r w:rsidRPr="009F1957">
        <w:t xml:space="preserve"> </w:t>
      </w:r>
      <w:r>
        <w:t>European Nucleotide Archive (ENA) using the following ENA identifiers:</w:t>
      </w:r>
      <w:r w:rsidRPr="009F1957">
        <w:t xml:space="preserve"> ERP005534 for Zeller et al.</w:t>
      </w:r>
      <w:r>
        <w:fldChar w:fldCharType="begin"/>
      </w:r>
      <w:r>
        <w:instrText xml:space="preserve"> ADDIN ZOTERO_ITEM CSL_CITATION {"citationID":"b5K4NDmG","properties":{"formattedCitation":"\\super 1\\nosupersub{}","plainCitation":"1","noteIndex":0},"citationItems":[{"id":84,"uris":["http://zotero.org/users/7908919/items/FS69KVDN"],"uri":["http://zotero.org/users/7908919/items/FS69KVDN"],"itemData":{"id":84,"type":"article-journal","abstract":"Several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Doeberitz","given":"Magnus","non-dropping-particle":"von"},{"family":"Sobhani","given":"Iradj"},{"family":"Bork","given":"Peer"}],"issued":{"date-parts":[["2014",11,28]]}}}],"schema":"https://github.com/citation-style-language/schema/raw/master/csl-citation.json"} </w:instrText>
      </w:r>
      <w:r>
        <w:fldChar w:fldCharType="separate"/>
      </w:r>
      <w:r w:rsidRPr="009F1957">
        <w:rPr>
          <w:rFonts w:ascii="DengXian" w:eastAsia="DengXian" w:hAnsi="DengXian" w:cs="Times New Roman"/>
          <w:kern w:val="0"/>
          <w:szCs w:val="24"/>
          <w:vertAlign w:val="superscript"/>
        </w:rPr>
        <w:t>1</w:t>
      </w:r>
      <w:r>
        <w:fldChar w:fldCharType="end"/>
      </w:r>
      <w:r>
        <w:t xml:space="preserve">, </w:t>
      </w:r>
      <w:r w:rsidRPr="009F1957">
        <w:t>ERP008729 for Feng et al.</w:t>
      </w:r>
      <w:r>
        <w:fldChar w:fldCharType="begin"/>
      </w:r>
      <w:r>
        <w:instrText xml:space="preserve"> ADDIN ZOTERO_ITEM CSL_CITATION {"citationID":"W5tCztQo","properties":{"formattedCitation":"\\super 2\\nosupersub{}","plainCitation":"2","noteIndex":0},"citationItems":[{"id":89,"uris":["http://zotero.org/users/7908919/items/82A6J5UG"],"uri":["http://zotero.org/users/7908919/items/82A6J5UG"],"itemData":{"id":89,"type":"article-journal","abstract":"Colorectal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schema":"https://github.com/citation-style-language/schema/raw/master/csl-citation.json"} </w:instrText>
      </w:r>
      <w:r>
        <w:fldChar w:fldCharType="separate"/>
      </w:r>
      <w:r w:rsidRPr="009F1957">
        <w:rPr>
          <w:rFonts w:ascii="DengXian" w:eastAsia="DengXian" w:hAnsi="DengXian" w:cs="Times New Roman"/>
          <w:kern w:val="0"/>
          <w:szCs w:val="24"/>
          <w:vertAlign w:val="superscript"/>
        </w:rPr>
        <w:t>2</w:t>
      </w:r>
      <w:r>
        <w:fldChar w:fldCharType="end"/>
      </w:r>
      <w:r>
        <w:t xml:space="preserve">, </w:t>
      </w:r>
      <w:r w:rsidRPr="009F1957">
        <w:t xml:space="preserve">PRJEB12449 for </w:t>
      </w:r>
      <w:proofErr w:type="spellStart"/>
      <w:r w:rsidRPr="009F1957">
        <w:t>Vogtmann</w:t>
      </w:r>
      <w:proofErr w:type="spellEnd"/>
      <w:r w:rsidRPr="009F1957">
        <w:t xml:space="preserve"> et al.</w:t>
      </w:r>
      <w:r>
        <w:fldChar w:fldCharType="begin"/>
      </w:r>
      <w:r>
        <w:instrText xml:space="preserve"> ADDIN ZOTERO_ITEM CSL_CITATION {"citationID":"L5OB2yLR","properties":{"formattedCitation":"\\super 3\\nosupersub{}","plainCitation":"3","noteIndex":0},"citationItems":[{"id":88,"uris":["http://zotero.org/users/7908919/items/QEBGUTA3"],"uri":["http://zotero.org/users/7908919/items/QEBGUTA3"],"itemData":{"id":88,"type":"article-journal","container-title":"PLOS ONE","DOI":"10.1371/journal.pone.0155362","ISSN":"1932-6203","issue":"5","journalAbbreviation":"PLoS ONE","language":"en","page":"e0155362","source":"DOI.org (Crossref)","title":"Colorectal Cancer and the Human Gut Microbiome: Reproducibility with Whole-Genome Shotgun Sequencing","title-short":"Colorectal Cancer and the Human Gut Microbiome","volume":"11","author":[{"family":"Vogtmann","given":"Emily"},{"family":"Hua","given":"Xing"},{"family":"Zeller","given":"Georg"},{"family":"Sunagawa","given":"Shinichi"},{"family":"Voigt","given":"Anita Y."},{"family":"Hercog","given":"Rajna"},{"family":"Goedert","given":"James J."},{"family":"Shi","given":"Jianxin"},{"family":"Bork","given":"Peer"},{"family":"Sinha","given":"Rashmi"}],"editor":[{"family":"Parkinson","given":"John"}],"issued":{"date-parts":[["2016",5,12]]}}}],"schema":"https://github.com/citation-style-language/schema/raw/master/csl-citation.json"} </w:instrText>
      </w:r>
      <w:r>
        <w:fldChar w:fldCharType="separate"/>
      </w:r>
      <w:r w:rsidRPr="009F1957">
        <w:rPr>
          <w:rFonts w:ascii="DengXian" w:eastAsia="DengXian" w:hAnsi="DengXian" w:cs="Times New Roman"/>
          <w:kern w:val="0"/>
          <w:szCs w:val="24"/>
          <w:vertAlign w:val="superscript"/>
        </w:rPr>
        <w:t>3</w:t>
      </w:r>
      <w:r>
        <w:fldChar w:fldCharType="end"/>
      </w:r>
      <w:r>
        <w:t xml:space="preserve">, </w:t>
      </w:r>
      <w:r w:rsidRPr="009F1957">
        <w:rPr>
          <w:rFonts w:hint="eastAsia"/>
        </w:rPr>
        <w:t>PRJNA389927</w:t>
      </w:r>
      <w:r>
        <w:t xml:space="preserve"> for </w:t>
      </w:r>
      <w:proofErr w:type="spellStart"/>
      <w:r>
        <w:t>Hanningan</w:t>
      </w:r>
      <w:proofErr w:type="spellEnd"/>
      <w:r>
        <w:t xml:space="preserve"> et al.</w:t>
      </w:r>
      <w:r>
        <w:fldChar w:fldCharType="begin"/>
      </w:r>
      <w:r>
        <w:instrText xml:space="preserve"> ADDIN ZOTERO_ITEM CSL_CITATION {"citationID":"UZGLWVZp","properties":{"formattedCitation":"\\super 4\\nosupersub{}","plainCitation":"4","noteIndex":0},"citationItems":[{"id":86,"uris":["http://zotero.org/users/7908919/items/KK3R6U9F"],"uri":["http://zotero.org/users/7908919/items/KK3R6U9F"],"itemData":{"id":86,"type":"article-journal","abstract":"Colorectal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D."}],"accessed":{"date-parts":[["2021",4,28]]},"issued":{"date-parts":[["2018",11,20]]}}}],"schema":"https://github.com/citation-style-language/schema/raw/master/csl-citation.json"} </w:instrText>
      </w:r>
      <w:r>
        <w:fldChar w:fldCharType="separate"/>
      </w:r>
      <w:r w:rsidRPr="009F1957">
        <w:rPr>
          <w:rFonts w:ascii="DengXian" w:eastAsia="DengXian" w:hAnsi="DengXian" w:cs="Times New Roman"/>
          <w:kern w:val="0"/>
          <w:szCs w:val="24"/>
          <w:vertAlign w:val="superscript"/>
        </w:rPr>
        <w:t>4</w:t>
      </w:r>
      <w:r>
        <w:fldChar w:fldCharType="end"/>
      </w:r>
      <w:r>
        <w:t xml:space="preserve">, </w:t>
      </w:r>
      <w:r w:rsidRPr="009F1957">
        <w:rPr>
          <w:rFonts w:hint="eastAsia"/>
        </w:rPr>
        <w:t>PRJEB27928</w:t>
      </w:r>
      <w:r>
        <w:t xml:space="preserve"> for </w:t>
      </w:r>
      <w:proofErr w:type="spellStart"/>
      <w:r>
        <w:t>Wirbel</w:t>
      </w:r>
      <w:proofErr w:type="spellEnd"/>
      <w:r>
        <w:t xml:space="preserve"> et al.</w:t>
      </w:r>
      <w:r>
        <w:fldChar w:fldCharType="begin"/>
      </w:r>
      <w:r>
        <w:instrText xml:space="preserve"> ADDIN ZOTERO_ITEM CSL_CITATION {"citationID":"h5rgOoF4","properties":{"formattedCitation":"\\super 5\\nosupersub{}","plainCitation":"5","noteIndex":0},"citationItems":[{"id":93,"uris":["http://zotero.org/users/7908919/items/ZDKZ4WLF"],"uri":["http://zotero.org/users/7908919/items/ZDKZ4WLF"],"itemData":{"id":93,"type":"article-journal","container-title":"Nature Medicine","language":"en","page":"27","source":"Zotero","title":"Meta-analysis of fecal metagenomes reveals global microbial signatures that are specific for colorectal cancer","volume":"25","author":[{"family":"Wirbel","given":"Jakob"}],"issued":{"date-parts":[["2019"]]}}}],"schema":"https://github.com/citation-style-language/schema/raw/master/csl-citation.json"} </w:instrText>
      </w:r>
      <w:r>
        <w:fldChar w:fldCharType="separate"/>
      </w:r>
      <w:r w:rsidRPr="009F1957">
        <w:rPr>
          <w:rFonts w:ascii="DengXian" w:eastAsia="DengXian" w:hAnsi="DengXian" w:cs="Times New Roman"/>
          <w:kern w:val="0"/>
          <w:szCs w:val="24"/>
          <w:vertAlign w:val="superscript"/>
        </w:rPr>
        <w:t>5</w:t>
      </w:r>
      <w:r>
        <w:fldChar w:fldCharType="end"/>
      </w:r>
      <w:r>
        <w:t xml:space="preserve">, and </w:t>
      </w:r>
      <w:r w:rsidRPr="009F1957">
        <w:rPr>
          <w:rFonts w:hint="eastAsia"/>
        </w:rPr>
        <w:t>SRP136711</w:t>
      </w:r>
      <w:r>
        <w:rPr>
          <w:rFonts w:hint="eastAsia"/>
        </w:rPr>
        <w:t xml:space="preserve"> </w:t>
      </w:r>
      <w:r>
        <w:t xml:space="preserve">for </w:t>
      </w:r>
      <w:r>
        <w:rPr>
          <w:rFonts w:hint="eastAsia"/>
        </w:rPr>
        <w:t>Thomas</w:t>
      </w:r>
      <w:r>
        <w:t xml:space="preserve"> et al.</w:t>
      </w:r>
      <w:r>
        <w:fldChar w:fldCharType="begin"/>
      </w:r>
      <w:r>
        <w:instrText xml:space="preserve"> ADDIN ZOTERO_ITEM CSL_CITATION {"citationID":"Noy6OAVA","properties":{"formattedCitation":"\\super 6\\nosupersub{}","plainCitation":"6","noteIndex":0},"citationItems":[{"id":94,"uris":["http://zotero.org/users/7908919/items/Y4MICPWK"],"uri":["http://zotero.org/users/7908919/items/Y4MICPWK"],"itemData":{"id":94,"type":"article-journal","container-title":"Nature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Maltez"}],"issued":{"date-parts":[["2019"]]}}}],"schema":"https://github.com/citation-style-language/schema/raw/master/csl-citation.json"} </w:instrText>
      </w:r>
      <w:r>
        <w:fldChar w:fldCharType="separate"/>
      </w:r>
      <w:r w:rsidRPr="009F1957">
        <w:rPr>
          <w:rFonts w:ascii="DengXian" w:eastAsia="DengXian" w:hAnsi="DengXian" w:cs="Times New Roman"/>
          <w:kern w:val="0"/>
          <w:szCs w:val="24"/>
          <w:vertAlign w:val="superscript"/>
        </w:rPr>
        <w:t>6</w:t>
      </w:r>
      <w:r>
        <w:fldChar w:fldCharType="end"/>
      </w:r>
      <w:r>
        <w:t xml:space="preserve">. And the eighth cohort was downloaded from the </w:t>
      </w:r>
      <w:r w:rsidRPr="009F1957">
        <w:t xml:space="preserve">DNA Data Bank of Japan </w:t>
      </w:r>
      <w:r>
        <w:t xml:space="preserve">(DDBJ) with the Accession numbers: </w:t>
      </w:r>
      <w:r w:rsidRPr="009F1957">
        <w:rPr>
          <w:rFonts w:hint="eastAsia"/>
        </w:rPr>
        <w:t>DRA006684,</w:t>
      </w:r>
      <w:r>
        <w:t xml:space="preserve"> </w:t>
      </w:r>
      <w:r w:rsidRPr="009F1957">
        <w:rPr>
          <w:rFonts w:hint="eastAsia"/>
        </w:rPr>
        <w:t>DRA008156</w:t>
      </w:r>
      <w:r>
        <w:t xml:space="preserve"> for </w:t>
      </w:r>
      <w:proofErr w:type="spellStart"/>
      <w:r>
        <w:t>Yachida</w:t>
      </w:r>
      <w:proofErr w:type="spellEnd"/>
      <w:r>
        <w:t xml:space="preserve"> et al.</w:t>
      </w:r>
      <w:r>
        <w:fldChar w:fldCharType="begin"/>
      </w:r>
      <w:r>
        <w:instrText xml:space="preserve"> ADDIN ZOTERO_ITEM CSL_CITATION {"citationID":"orTzZ6OI","properties":{"formattedCitation":"\\super 7\\nosupersub{}","plainCitation":"7","noteIndex":0},"citationItems":[{"id":61,"uris":["http://zotero.org/users/7908919/items/JQZ4XP9E"],"uri":["http://zotero.org/users/7908919/items/JQZ4XP9E"],"itemData":{"id":61,"type":"article-journal","container-title":"Nature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instrText>
      </w:r>
      <w:r>
        <w:fldChar w:fldCharType="separate"/>
      </w:r>
      <w:r w:rsidRPr="009F1957">
        <w:rPr>
          <w:rFonts w:ascii="DengXian" w:eastAsia="DengXian" w:hAnsi="DengXian" w:cs="Times New Roman"/>
          <w:kern w:val="0"/>
          <w:szCs w:val="24"/>
          <w:vertAlign w:val="superscript"/>
        </w:rPr>
        <w:t>7</w:t>
      </w:r>
      <w:r>
        <w:fldChar w:fldCharType="end"/>
      </w:r>
      <w:r>
        <w:t>.</w:t>
      </w:r>
    </w:p>
    <w:p w14:paraId="192A60C3" w14:textId="6B6669D2" w:rsidR="009F1957" w:rsidRDefault="009F1957" w:rsidP="009F1957">
      <w:r w:rsidRPr="009F1957">
        <w:rPr>
          <w:rFonts w:hint="eastAsia"/>
        </w:rPr>
        <w:t>,</w:t>
      </w:r>
    </w:p>
    <w:p w14:paraId="2C3E1441" w14:textId="4F7B2BAA" w:rsidR="009F1957" w:rsidRDefault="009F1957" w:rsidP="009F1957">
      <w:pPr>
        <w:pStyle w:val="title10825"/>
      </w:pPr>
      <w:r>
        <w:t>Hong Kong study recruitment and sequencing</w:t>
      </w:r>
    </w:p>
    <w:p w14:paraId="06A7F3B0" w14:textId="54F09F1A" w:rsidR="00806EEB" w:rsidRDefault="009F1957" w:rsidP="009F1957">
      <w:pPr>
        <w:rPr>
          <w:rFonts w:hint="eastAsia"/>
        </w:rPr>
      </w:pPr>
      <w:r>
        <w:t xml:space="preserve">This clinical study performed here was approved by the relevant ethics committees (Ethics Committee of Prince of Wales Hospital, Hong Kong, China, protocol NO. </w:t>
      </w:r>
      <w:r w:rsidRPr="009F1957">
        <w:rPr>
          <w:highlight w:val="yellow"/>
        </w:rPr>
        <w:t>***</w:t>
      </w:r>
      <w:r>
        <w:t>). Inform consent was obtained from all participants.</w:t>
      </w:r>
    </w:p>
    <w:p w14:paraId="25946AAD" w14:textId="5534087E" w:rsidR="009F1957" w:rsidRDefault="009F1957" w:rsidP="009F1957">
      <w:r>
        <w:t>Recruitment criteria included presentations of digestive symptoms to the outpatient gastroenterology clinics and asymptomatic individuals 50 years or older receiving colonoscopy screening from the Chinese University of Hong Kong Jockey Club Bowel Cancer Education Centre. Stool samples were collected by participants and stored at –20</w:t>
      </w:r>
      <w:r>
        <w:rPr>
          <w:rFonts w:hint="eastAsia"/>
        </w:rPr>
        <w:t>°</w:t>
      </w:r>
      <w:r>
        <w:t>C within 4 hours. Deep freezing at –80</w:t>
      </w:r>
      <w:r>
        <w:rPr>
          <w:rFonts w:hint="eastAsia"/>
        </w:rPr>
        <w:t>°</w:t>
      </w:r>
      <w:r>
        <w:t xml:space="preserve">C within 24 hours of stool collection was done for long-term storage. According to the manufacturer's instructions, DNA was extracted using Qiagen (Hilden, Germany) </w:t>
      </w:r>
      <w:proofErr w:type="spellStart"/>
      <w:r>
        <w:t>QIAamp</w:t>
      </w:r>
      <w:proofErr w:type="spellEnd"/>
      <w:r>
        <w:t xml:space="preserve"> DNA Stool Mini Kit. All subjects had intact colonic lesions at the time of stool collection.</w:t>
      </w:r>
      <w:r w:rsidRPr="009F1957">
        <w:t xml:space="preserve"> </w:t>
      </w:r>
      <w:r>
        <w:t>An independent Chinese cohort of 112 control subjects, 111 patients with CRC, and 197 patients with colorectal adenomas were recruited.</w:t>
      </w:r>
      <w:r w:rsidR="00806EEB">
        <w:t xml:space="preserve"> Part of the samples had been published in the previous research</w:t>
      </w:r>
      <w:r w:rsidR="00806EEB">
        <w:fldChar w:fldCharType="begin"/>
      </w:r>
      <w:r w:rsidR="00806EEB">
        <w:instrText xml:space="preserve"> ADDIN ZOTERO_ITEM CSL_CITATION {"citationID":"lnRowlKv","properties":{"formattedCitation":"\\super 8\\nosupersub{}","plainCitation":"8","noteIndex":0},"citationItems":[{"id":81,"uris":["http://zotero.org/users/7908919/items/LXWXECIP"],"uri":["http://zotero.org/users/7908919/items/LXWXECIP"],"itemData":{"id":81,"type":"article-journal","abstract":"BACKGROUND &amp; AIMS: Patients with colorectal cancer (CRC) have a different gut microbiome signature than individuals without CRC. Little is known about the viral component of CRC-associated microbiome. We aimed to identify and validate viral taxonomic markers of CRC that might be used in detection of the disease or predicting outcome.\nMETHODS: We performed shotgun metagenomic analyses of viromes of fecal samples from 74 patients with CRC (cases) and 92 individuals without CRC (controls) in Hong Kong (discovery cohort). Viral sequences were classified by taxonomic alignment against an integrated microbial reference genome database. Viral markers associated with CRC were validated using fecal samples from 3 separate cohorts: 111 patients with CRC and 112 controls in Hong Kong, 46 patients with CRC and 63 controls in Austria, and 91 patients with CRC and 66 controls in France and Germany. Using abundance profiles of CRC-associated virome genera, we constructed random survival forest models to identify those associated with patient survival times.\nRESULTS: The diversity of the gut bacteriophage community was significantly increased in patients with CRC compared with controls. Twenty-two viral taxa discriminated cases from controls with an area under the receiver operating characteristic curve of 0.802 in the discovery cohort. The viral markers were validated in 3 cohorts, with area under the receiver operating characteristic curves of 0.763, 0.736, and 0.715, respectively. Clinical subgroup analysis showed that dysbiosis of the gut virome was associated with early- and late-stage CRC. A combination of 4 taxonomic markers associated with reduced survival of patients with CRC (log-rank test, P = 8.1 × 10-6) independently of tumor stage, lymph node metastases, or clinical parameters. We found altered interactions between bacteriophages and oral bacterial commensals in fecal samples from patients with CRC compared with controls.\nCONCLUSIONS: In a metagenomic analysis of fecal samples from patients and controls, we identified virome signatures associated with CRC. These data might be used to develop tools to identify individuals with CRC or predict outcomes.","container-title":"Gastroenterology","DOI":"10.1053/j.gastro.2018.04.018","ISSN":"1528-0012","issue":"2","journalAbbreviation":"Gastroenterology","language":"eng","note":"PMID: 29689266","page":"529-541.e5","source":"PubMed","title":"Alterations in Enteric Virome Are Associated With Colorectal Cancer and Survival Outcomes","volume":"155","author":[{"family":"Nakatsu","given":"Geicho"},{"family":"Zhou","given":"Haokui"},{"family":"Wu","given":"William Ka Kei"},{"family":"Wong","given":"Sunny Hei"},{"family":"Coker","given":"Olabisi Oluwabukola"},{"family":"Dai","given":"Zhenwei"},{"family":"Li","given":"Xiangchun"},{"family":"Szeto","given":"Chun-Ho"},{"family":"Sugimura","given":"Naoki"},{"family":"Lam","given":"Thomas Yuen-Tung"},{"family":"Yu","given":"Allen Chi-Shing"},{"family":"Wang","given":"Xiansong"},{"family":"Chen","given":"Zigui"},{"family":"Wong","given":"Martin Chi-Sang"},{"family":"Ng","given":"Siew Chien"},{"family":"Chan","given":"Matthew Tak Vai"},{"family":"Chan","given":"Paul Kay Sheung"},{"family":"Chan","given":"Francis Ka Leung"},{"family":"Sung","given":"Joseph Jao-Yiu"},{"family":"Yu","given":"Jun"}],"issued":{"date-parts":[["2018",8]]}}}],"schema":"https://github.com/citation-style-language/schema/raw/master/csl-citation.json"} </w:instrText>
      </w:r>
      <w:r w:rsidR="00806EEB">
        <w:fldChar w:fldCharType="separate"/>
      </w:r>
      <w:r w:rsidR="00806EEB" w:rsidRPr="00806EEB">
        <w:rPr>
          <w:rFonts w:ascii="DengXian" w:eastAsia="DengXian" w:hAnsi="DengXian" w:cs="Times New Roman"/>
          <w:kern w:val="0"/>
          <w:szCs w:val="24"/>
          <w:vertAlign w:val="superscript"/>
        </w:rPr>
        <w:t>8</w:t>
      </w:r>
      <w:r w:rsidR="00806EEB">
        <w:fldChar w:fldCharType="end"/>
      </w:r>
      <w:r w:rsidR="00806EEB">
        <w:t>.</w:t>
      </w:r>
    </w:p>
    <w:p w14:paraId="152E380B" w14:textId="77777777" w:rsidR="009F1957" w:rsidRDefault="009F1957" w:rsidP="009F1957"/>
    <w:p w14:paraId="411EE27D" w14:textId="06650304" w:rsidR="009F1957" w:rsidRDefault="009F1957" w:rsidP="009F1957">
      <w:pPr>
        <w:pStyle w:val="title10825"/>
      </w:pPr>
      <w:r>
        <w:t>Sample filter criteria</w:t>
      </w:r>
    </w:p>
    <w:p w14:paraId="2DD0F418" w14:textId="68E579E7" w:rsidR="00806EEB" w:rsidRDefault="00806EEB" w:rsidP="009F1957">
      <w:r>
        <w:rPr>
          <w:rFonts w:hint="eastAsia"/>
        </w:rPr>
        <w:t>I</w:t>
      </w:r>
      <w:r>
        <w:t xml:space="preserve">n the beginning, we included 2,052 individuals from eight countries and four continents among nine cohorts. We have three primary filtering </w:t>
      </w:r>
      <w:r w:rsidRPr="00806EEB">
        <w:t>section</w:t>
      </w:r>
      <w:r>
        <w:t>s (figure 1c). According to previously published meta-information, some outlier characters, such as history surgery patients, IBD patients, or other disease patients, would be filtered, and 1,986 samples were left after the first step. And then, 77 individuals would be disused because of the ambiguous stage. Free PCR is usual in the general whole-metagenomic-library preparation, but Hannigan’s research</w:t>
      </w:r>
      <w:r>
        <w:fldChar w:fldCharType="begin"/>
      </w:r>
      <w:r>
        <w:instrText xml:space="preserve"> ADDIN ZOTERO_ITEM CSL_CITATION {"citationID":"KXH54b37","properties":{"formattedCitation":"\\super 4\\nosupersub{}","plainCitation":"4","noteIndex":0},"citationItems":[{"id":86,"uris":["http://zotero.org/users/7908919/items/KK3R6U9F"],"uri":["http://zotero.org/users/7908919/items/KK3R6U9F"],"itemData":{"id":86,"type":"article-journal","abstract":"Colorectal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D."}],"accessed":{"date-parts":[["2021",4,28]]},"issued":{"date-parts":[["2018",11,20]]}}}],"schema":"https://github.com/citation-style-language/schema/raw/master/csl-citation.json"} </w:instrText>
      </w:r>
      <w:r>
        <w:fldChar w:fldCharType="separate"/>
      </w:r>
      <w:r w:rsidRPr="00806EEB">
        <w:rPr>
          <w:rFonts w:ascii="DengXian" w:eastAsia="DengXian" w:hAnsi="DengXian" w:cs="Times New Roman"/>
          <w:kern w:val="0"/>
          <w:szCs w:val="24"/>
          <w:vertAlign w:val="superscript"/>
        </w:rPr>
        <w:t>4</w:t>
      </w:r>
      <w:r>
        <w:fldChar w:fldCharType="end"/>
      </w:r>
      <w:r>
        <w:t xml:space="preserve"> applied the 12 cycles of limited-cycle PCR in whole-metagenomic-library. The samples in this cohort would be filtered, and 1,837 cases would leave. One sample was filtered because of the low </w:t>
      </w:r>
      <w:r w:rsidR="00AC25BE">
        <w:t>reads’</w:t>
      </w:r>
      <w:r>
        <w:t xml:space="preserve"> alignment (alignment reads number &lt; 1,000,000). In the second filtering section, we intended to exclude the suspected contamination </w:t>
      </w:r>
      <w:r>
        <w:rPr>
          <w:rFonts w:hint="eastAsia"/>
        </w:rPr>
        <w:t>and</w:t>
      </w:r>
      <w:r>
        <w:t xml:space="preserve"> outlier samples. Following the previous research</w:t>
      </w:r>
      <w:r>
        <w:fldChar w:fldCharType="begin"/>
      </w:r>
      <w:r>
        <w:instrText xml:space="preserve"> ADDIN ZOTERO_ITEM CSL_CITATION {"citationID":"5QnK21NO","properties":{"formattedCitation":"\\super 9\\nosupersub{}","plainCitation":"9","noteIndex":0},"citationItems":[{"id":320,"uris":["http://zotero.org/users/7908919/items/PCN6SICC"],"uri":["http://zotero.org/users/7908919/items/PCN6SICC"],"itemData":{"id":320,"type":"article-journal","abstract":"Human gut is home to a diverse and complex microbial ecosystem encompassing bacteria, viruses, parasites, fungi, and other microorganisms that have an undisputable role in maintaining good health for the host. Studies on the interplay between microbiota in the gut and various human diseases remain the key focus among many researchers. Nevertheless, advances in sequencing technologies and computational biology have helped us to identify a diversity of fungal community that reside in the gut known as the mycobiome. Although studies on gut mycobiome are still in its infancy, numerous sources have reported its potential role in host homeostasis and disease development. Nonetheless, the actual mechanism of its involvement remains largely unknown and underexplored. Thus, in this review, we attempt to discuss the recent advances in gut mycobiome research from multiple perspectives. This includes understanding the composition of fungal communities in the gut and the involvement of gut mycobiome in host immunity and gut-brain axis. Further, we also discuss on multibiome interactions in the gut with emphasis on fungi-bacteria interaction and the influence of diet in shaping gut mycobiome composition. This review also highlights the relation between fungal metabolites and gut mycobiota in human homeostasis and the role of gut mycobiome in various human diseases. This multiperspective review on gut mycobiome could perhaps shed new light for future studies in the mycobiome research area.","container-title":"Mediators of Inflammation","DOI":"10.1155/2020/9560684","ISSN":"0962-9351","language":"en","note":"publisher: Hindawi","page":"e9560684","source":"www.hindawi.com","title":"Mycobiome in the Gut: A Multiperspective Review","title-short":"Mycobiome in the Gut","volume":"2020","author":[{"family":"Chin","given":"Voon Kin"},{"family":"Yong","given":"Voon Chen"},{"family":"Chong","given":"Pei Pei"},{"family":"Amin Nordin","given":"Syafinaz"},{"family":"Basir","given":"Rusliza"},{"family":"Abdullah","given":"Maha"}],"issued":{"date-parts":[["2020",4,4]]}}}],"schema":"https://github.com/citation-style-language/schema/raw/master/csl-citation.json"} </w:instrText>
      </w:r>
      <w:r>
        <w:fldChar w:fldCharType="separate"/>
      </w:r>
      <w:r w:rsidRPr="00806EEB">
        <w:rPr>
          <w:rFonts w:ascii="DengXian" w:eastAsia="DengXian" w:hAnsi="DengXian" w:cs="Times New Roman"/>
          <w:kern w:val="0"/>
          <w:szCs w:val="24"/>
          <w:vertAlign w:val="superscript"/>
        </w:rPr>
        <w:t>9</w:t>
      </w:r>
      <w:r>
        <w:fldChar w:fldCharType="end"/>
      </w:r>
      <w:r>
        <w:t xml:space="preserve">, microeukaryotes account for around 0.1% of the total intestinal flora. </w:t>
      </w:r>
      <w:r w:rsidR="00AC25BE" w:rsidRPr="00806EEB">
        <w:t>So,</w:t>
      </w:r>
      <w:r w:rsidRPr="00806EEB">
        <w:t xml:space="preserve"> we discarded 19 high</w:t>
      </w:r>
      <w:r>
        <w:t>-microeukaryotes</w:t>
      </w:r>
      <w:r w:rsidRPr="00806EEB">
        <w:t>-abundance</w:t>
      </w:r>
      <w:r>
        <w:t xml:space="preserve"> (</w:t>
      </w:r>
      <w:proofErr w:type="spellStart"/>
      <w:r>
        <w:t>RelAbun</w:t>
      </w:r>
      <w:r>
        <w:rPr>
          <w:vertAlign w:val="subscript"/>
        </w:rPr>
        <w:t>euk</w:t>
      </w:r>
      <w:proofErr w:type="spellEnd"/>
      <w:r>
        <w:t xml:space="preserve"> &gt; 1%)</w:t>
      </w:r>
      <w:r w:rsidRPr="00806EEB">
        <w:t xml:space="preserve"> and 78 low</w:t>
      </w:r>
      <w:r>
        <w:t>-microeukaryotes</w:t>
      </w:r>
      <w:r w:rsidRPr="00806EEB">
        <w:t>-abundance</w:t>
      </w:r>
      <w:r>
        <w:t xml:space="preserve"> (</w:t>
      </w:r>
      <w:proofErr w:type="spellStart"/>
      <w:r>
        <w:t>RelAbun</w:t>
      </w:r>
      <w:r>
        <w:rPr>
          <w:vertAlign w:val="subscript"/>
        </w:rPr>
        <w:t>euk</w:t>
      </w:r>
      <w:proofErr w:type="spellEnd"/>
      <w:r>
        <w:t xml:space="preserve"> &lt; 0.01%)</w:t>
      </w:r>
      <w:r w:rsidRPr="00806EEB">
        <w:t xml:space="preserve"> samples, respectively</w:t>
      </w:r>
      <w:r>
        <w:t xml:space="preserve">. We recognized the samples whose one species accounted for more than 50% were contaminated. Therefore, </w:t>
      </w:r>
      <w:r w:rsidRPr="00806EEB">
        <w:t xml:space="preserve">we reduced the </w:t>
      </w:r>
      <w:r>
        <w:t>69</w:t>
      </w:r>
      <w:r w:rsidRPr="00806EEB">
        <w:t xml:space="preserve"> large proportion of microeukaryotes and </w:t>
      </w:r>
      <w:r>
        <w:t xml:space="preserve">45 </w:t>
      </w:r>
      <w:r w:rsidRPr="00806EEB">
        <w:t>large proportion of bacterial cases</w:t>
      </w:r>
      <w:r>
        <w:t>. C</w:t>
      </w:r>
      <w:r>
        <w:rPr>
          <w:rFonts w:hint="eastAsia"/>
        </w:rPr>
        <w:t>ollectivel</w:t>
      </w:r>
      <w:r>
        <w:t xml:space="preserve">y, </w:t>
      </w:r>
      <w:r>
        <w:lastRenderedPageBreak/>
        <w:t xml:space="preserve">221 samples were filtered in this section. </w:t>
      </w:r>
      <w:r w:rsidRPr="0083599A">
        <w:rPr>
          <w:szCs w:val="21"/>
        </w:rPr>
        <w:t>Through the rarefaction curve (figure 1b), we could know that all cohort samples have reached or exceeded the plateau at 10</w:t>
      </w:r>
      <w:r w:rsidRPr="0083599A">
        <w:rPr>
          <w:rFonts w:hint="eastAsia"/>
          <w:szCs w:val="21"/>
        </w:rPr>
        <w:t>,</w:t>
      </w:r>
      <w:r w:rsidRPr="0083599A">
        <w:rPr>
          <w:szCs w:val="21"/>
        </w:rPr>
        <w:t>000.</w:t>
      </w:r>
      <w:r>
        <w:rPr>
          <w:szCs w:val="21"/>
        </w:rPr>
        <w:t xml:space="preserve"> </w:t>
      </w:r>
      <w:r w:rsidR="00AC25BE">
        <w:t>We abandoned the low microeukaryotes sequencing depth sample (</w:t>
      </w:r>
      <w:proofErr w:type="spellStart"/>
      <w:r w:rsidR="00AC25BE">
        <w:t>RawReadseuk</w:t>
      </w:r>
      <w:proofErr w:type="spellEnd"/>
      <w:r w:rsidR="00AC25BE">
        <w:t xml:space="preserve"> &lt; 10,000) in the last part</w:t>
      </w:r>
      <w:r>
        <w:t>, and 296 cases were filtered. In summary, we move 216 cases for the sample sequence quality in the first section, 211 cases for reducing the outlier and contamination samples effect, and 296 cases for removing the low-microeukaryotes sequencing depth samples.</w:t>
      </w:r>
    </w:p>
    <w:p w14:paraId="6B34DB1E" w14:textId="77777777" w:rsidR="009F1957" w:rsidRPr="00183ECD" w:rsidRDefault="009F1957" w:rsidP="009F1957"/>
    <w:p w14:paraId="3DD37322" w14:textId="50F610E4" w:rsidR="009F1957" w:rsidRDefault="009F1957" w:rsidP="009F1957">
      <w:pPr>
        <w:pStyle w:val="title10825"/>
      </w:pPr>
      <w:r>
        <w:rPr>
          <w:rFonts w:hint="eastAsia"/>
        </w:rPr>
        <w:t>S</w:t>
      </w:r>
      <w:r>
        <w:t>equence preprocessing and taxonomic and functional profiling</w:t>
      </w:r>
    </w:p>
    <w:p w14:paraId="5768FC79" w14:textId="468275F9" w:rsidR="00AC25BE" w:rsidRDefault="00AC25BE" w:rsidP="00183ECD">
      <w:r>
        <w:t xml:space="preserve">We applied the </w:t>
      </w:r>
      <w:proofErr w:type="spellStart"/>
      <w:r>
        <w:t>KneadData’s</w:t>
      </w:r>
      <w:proofErr w:type="spellEnd"/>
      <w:r>
        <w:t xml:space="preserve"> default parameters to quality control all the metagenomic samples, which </w:t>
      </w:r>
      <w:r w:rsidRPr="00AC25BE">
        <w:t>aims to perform principled in silico separation of bacterial reads from these “contaminant” reads, be they from the host or other user-defined sources.</w:t>
      </w:r>
      <w:r>
        <w:t xml:space="preserve"> In the second step, taxonomic profiles were generated with the Kraken2 v</w:t>
      </w:r>
      <w:r w:rsidRPr="00AC25BE">
        <w:t>2.0.9-beta</w:t>
      </w:r>
      <w:r>
        <w:t xml:space="preserve"> across the custom database. Our custom library contained 9,543 bacterial and 909 microeukaryotes references from NCBI (</w:t>
      </w:r>
      <w:r w:rsidRPr="00AC25BE">
        <w:t>https://www.ncbi.nlm.nih.gov/</w:t>
      </w:r>
      <w:r>
        <w:t xml:space="preserve">), </w:t>
      </w:r>
      <w:proofErr w:type="spellStart"/>
      <w:r>
        <w:t>FungiDB</w:t>
      </w:r>
      <w:proofErr w:type="spellEnd"/>
      <w:r>
        <w:t xml:space="preserve"> (</w:t>
      </w:r>
      <w:r w:rsidRPr="00AC25BE">
        <w:t>https://fungidb.org/fungidb/</w:t>
      </w:r>
      <w:r>
        <w:t>), Ensemble (</w:t>
      </w:r>
      <w:r w:rsidRPr="00AC25BE">
        <w:t>http://fungi.ensembl.org/index.html</w:t>
      </w:r>
      <w:r>
        <w:t>), and Broad Institute (</w:t>
      </w:r>
      <w:r w:rsidRPr="00AC25BE">
        <w:t>https://www.broadinstitute.org/</w:t>
      </w:r>
      <w:r>
        <w:t xml:space="preserve">); and was established with the Jellyfish program by counting distinct 31-mer. </w:t>
      </w:r>
      <w:r>
        <w:t xml:space="preserve">Each query was classified to a </w:t>
      </w:r>
      <w:proofErr w:type="spellStart"/>
      <w:r>
        <w:t>taxon</w:t>
      </w:r>
      <w:proofErr w:type="spellEnd"/>
      <w:r>
        <w:t xml:space="preserve"> with the highest total hits of k-mer matched by pruning the general taxonomic trees affiliated with mapped genomes</w:t>
      </w:r>
      <w:r>
        <w:t>. The final metagenomic read counts were normalized by multiple methods, rarefied abundance, relative abundance, and dividing the median of the control group of each feature in various cohorts with the script (</w:t>
      </w:r>
      <w:r w:rsidRPr="00AC25BE">
        <w:t>https://github.com/ifanlyn95/multi-CRC-fungi</w:t>
      </w:r>
      <w:r>
        <w:t>).</w:t>
      </w:r>
    </w:p>
    <w:p w14:paraId="14D377D8" w14:textId="3FD29B87" w:rsidR="00AC25BE" w:rsidRPr="00AC25BE" w:rsidRDefault="00AC25BE" w:rsidP="00183ECD"/>
    <w:p w14:paraId="71722B89" w14:textId="52CF7EA1" w:rsidR="009F1957" w:rsidRDefault="009F1957" w:rsidP="009F1957">
      <w:pPr>
        <w:pStyle w:val="title10825"/>
      </w:pPr>
      <w:r>
        <w:t>Feature selections criteria</w:t>
      </w:r>
    </w:p>
    <w:p w14:paraId="4D31DF5C" w14:textId="49321A65" w:rsidR="00AC25BE" w:rsidRDefault="00AC25BE" w:rsidP="009F1957">
      <w:r>
        <w:t>We had three criteria to select the potential candidates, whether it is bacteria or microeukaryotes. In the most beginning, we excluded the rarefied candidates with an average abundance of less than 0.1% in all microeukaryotes. We selected the same trend features (SSTF), required more than 3/4 cohorts (not less than six cohorts) to perform the same trends. And the log2 of Multiple Median Fold Change (</w:t>
      </w:r>
      <w:r>
        <w:t>log</w:t>
      </w:r>
      <w:r>
        <w:rPr>
          <w:vertAlign w:val="subscript"/>
        </w:rPr>
        <w:t>2</w:t>
      </w:r>
      <w:r>
        <w:t>MultMedFC</w:t>
      </w:r>
      <w:r>
        <w:t xml:space="preserve">) was the evaluation index of SSTF. We define the </w:t>
      </w:r>
      <w:r>
        <w:t>log</w:t>
      </w:r>
      <w:r>
        <w:rPr>
          <w:vertAlign w:val="subscript"/>
        </w:rPr>
        <w:t>2</w:t>
      </w:r>
      <w:r>
        <w:t>MultMedFC</w:t>
      </w:r>
      <w:r>
        <w:t xml:space="preserve"> as:</w:t>
      </w:r>
    </w:p>
    <w:p w14:paraId="0FBE167A" w14:textId="3EA5961F" w:rsidR="00AC25BE" w:rsidRPr="00AC25BE" w:rsidRDefault="00AC25BE" w:rsidP="009F1957">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r>
                    <w:rPr>
                      <w:rFonts w:ascii="Cambria Math" w:hAnsi="Cambria Math"/>
                    </w:rPr>
                    <m:t>MultMedFC</m:t>
                  </m:r>
                </m:e>
              </m:d>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(median(</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crc</m:t>
                  </m:r>
                </m:sub>
              </m:sSub>
            </m:sup>
            <m:e>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ctrl</m:t>
                      </m:r>
                    </m:sub>
                  </m:sSub>
                </m:sup>
                <m:e>
                  <m:f>
                    <m:fPr>
                      <m:ctrlPr>
                        <w:rPr>
                          <w:rFonts w:ascii="Cambria Math" w:hAnsi="Cambria Math"/>
                          <w:i/>
                        </w:rPr>
                      </m:ctrlPr>
                    </m:fPr>
                    <m:num>
                      <m:sSub>
                        <m:sSubPr>
                          <m:ctrlPr>
                            <w:rPr>
                              <w:rFonts w:ascii="Cambria Math" w:hAnsi="Cambria Math"/>
                              <w:i/>
                            </w:rPr>
                          </m:ctrlPr>
                        </m:sSubPr>
                        <m:e>
                          <m:r>
                            <w:rPr>
                              <w:rFonts w:ascii="Cambria Math" w:hAnsi="Cambria Math"/>
                            </w:rPr>
                            <m:t>ReAbund</m:t>
                          </m:r>
                        </m:e>
                        <m:sub>
                          <m:r>
                            <w:rPr>
                              <w:rFonts w:ascii="Cambria Math" w:hAnsi="Cambria Math"/>
                            </w:rPr>
                            <m:t>j,  i</m:t>
                          </m:r>
                        </m:sub>
                      </m:sSub>
                    </m:num>
                    <m:den>
                      <m:sSub>
                        <m:sSubPr>
                          <m:ctrlPr>
                            <w:rPr>
                              <w:rFonts w:ascii="Cambria Math" w:hAnsi="Cambria Math"/>
                              <w:i/>
                            </w:rPr>
                          </m:ctrlPr>
                        </m:sSubPr>
                        <m:e>
                          <m:r>
                            <w:rPr>
                              <w:rFonts w:ascii="Cambria Math" w:hAnsi="Cambria Math"/>
                            </w:rPr>
                            <m:t>ReAbund</m:t>
                          </m:r>
                        </m:e>
                        <m:sub>
                          <m:r>
                            <w:rPr>
                              <w:rFonts w:ascii="Cambria Math" w:hAnsi="Cambria Math"/>
                            </w:rPr>
                            <m:t>k</m:t>
                          </m:r>
                          <m:r>
                            <w:rPr>
                              <w:rFonts w:ascii="Cambria Math" w:hAnsi="Cambria Math"/>
                            </w:rPr>
                            <m:t>,  i</m:t>
                          </m:r>
                        </m:sub>
                      </m:sSub>
                    </m:den>
                  </m:f>
                </m:e>
              </m:nary>
            </m:e>
          </m:nary>
          <m:r>
            <w:rPr>
              <w:rFonts w:ascii="Cambria Math" w:hAnsi="Cambria Math"/>
            </w:rPr>
            <m:t>))</m:t>
          </m:r>
        </m:oMath>
      </m:oMathPara>
    </w:p>
    <w:p w14:paraId="141B527A" w14:textId="2A983DCE" w:rsidR="00AC25BE" w:rsidRDefault="00AC25BE" w:rsidP="00AC25BE">
      <w:pPr>
        <w:ind w:leftChars="100" w:left="210"/>
        <w:jc w:val="left"/>
      </w:pPr>
      <m:oMath>
        <m:sSub>
          <m:sSubPr>
            <m:ctrlPr>
              <w:rPr>
                <w:rFonts w:ascii="Cambria Math" w:hAnsi="Cambria Math"/>
                <w:i/>
              </w:rPr>
            </m:ctrlPr>
          </m:sSubPr>
          <m:e>
            <m:r>
              <w:rPr>
                <w:rFonts w:ascii="Cambria Math" w:hAnsi="Cambria Math"/>
              </w:rPr>
              <m:t>n</m:t>
            </m:r>
          </m:e>
          <m:sub>
            <m:r>
              <w:rPr>
                <w:rFonts w:ascii="Cambria Math" w:hAnsi="Cambria Math"/>
              </w:rPr>
              <m:t>crc</m:t>
            </m:r>
          </m:sub>
        </m:sSub>
        <m:r>
          <w:rPr>
            <w:rFonts w:ascii="Cambria Math" w:hAnsi="Cambria Math"/>
          </w:rPr>
          <m:t xml:space="preserve"> / </m:t>
        </m:r>
        <m:sSub>
          <m:sSubPr>
            <m:ctrlPr>
              <w:rPr>
                <w:rFonts w:ascii="Cambria Math" w:hAnsi="Cambria Math"/>
                <w:i/>
              </w:rPr>
            </m:ctrlPr>
          </m:sSubPr>
          <m:e>
            <m:r>
              <w:rPr>
                <w:rFonts w:ascii="Cambria Math" w:hAnsi="Cambria Math"/>
              </w:rPr>
              <m:t>n</m:t>
            </m:r>
          </m:e>
          <m:sub>
            <m:r>
              <w:rPr>
                <w:rFonts w:ascii="Cambria Math" w:hAnsi="Cambria Math"/>
              </w:rPr>
              <m:t>ctrl</m:t>
            </m:r>
          </m:sub>
        </m:sSub>
        <m:r>
          <w:rPr>
            <w:rFonts w:ascii="Cambria Math" w:hAnsi="Cambria Math"/>
          </w:rPr>
          <m:t xml:space="preserve"> :</m:t>
        </m:r>
      </m:oMath>
      <w:r>
        <w:rPr>
          <w:rFonts w:hint="eastAsia"/>
        </w:rPr>
        <w:t xml:space="preserve"> </w:t>
      </w:r>
      <w:r>
        <w:t>means the counts of CRC/CTRL samples</w:t>
      </w:r>
      <w:r>
        <w:t xml:space="preserve"> in an individual cohort.</w:t>
      </w:r>
    </w:p>
    <w:p w14:paraId="66F2A939" w14:textId="643223ED" w:rsidR="00AC25BE" w:rsidRDefault="00AC25BE" w:rsidP="00AC25BE">
      <w:pPr>
        <w:ind w:leftChars="100" w:left="210"/>
        <w:jc w:val="left"/>
      </w:pPr>
      <m:oMath>
        <m:r>
          <w:rPr>
            <w:rFonts w:ascii="Cambria Math" w:hAnsi="Cambria Math"/>
          </w:rPr>
          <m:t>i</m:t>
        </m:r>
        <m:r>
          <w:rPr>
            <w:rFonts w:ascii="Cambria Math" w:hAnsi="Cambria Math"/>
          </w:rPr>
          <m:t xml:space="preserve"> :</m:t>
        </m:r>
      </m:oMath>
      <w:r>
        <w:rPr>
          <w:rFonts w:hint="eastAsia"/>
        </w:rPr>
        <w:t xml:space="preserve"> </w:t>
      </w:r>
      <w:r>
        <w:t>means the</w:t>
      </w:r>
      <w:r>
        <w:t xml:space="preserve"> microeukaryotes names.</w:t>
      </w:r>
    </w:p>
    <w:p w14:paraId="5C30A23F" w14:textId="55C43BAC" w:rsidR="00AC25BE" w:rsidRDefault="00AC25BE" w:rsidP="00AC25BE">
      <w:pPr>
        <w:ind w:leftChars="100" w:left="210"/>
        <w:jc w:val="left"/>
        <w:rPr>
          <w:rFonts w:hint="eastAsia"/>
        </w:rPr>
      </w:pPr>
      <m:oMath>
        <m:sSub>
          <m:sSubPr>
            <m:ctrlPr>
              <w:rPr>
                <w:rFonts w:ascii="Cambria Math" w:hAnsi="Cambria Math"/>
                <w:i/>
              </w:rPr>
            </m:ctrlPr>
          </m:sSubPr>
          <m:e>
            <m:r>
              <w:rPr>
                <w:rFonts w:ascii="Cambria Math" w:hAnsi="Cambria Math"/>
              </w:rPr>
              <m:t>ReAbund</m:t>
            </m:r>
          </m:e>
          <m:sub>
            <m:r>
              <w:rPr>
                <w:rFonts w:ascii="Cambria Math" w:hAnsi="Cambria Math"/>
              </w:rPr>
              <m:t>j, i</m:t>
            </m:r>
          </m:sub>
        </m:sSub>
        <m:r>
          <w:rPr>
            <w:rFonts w:ascii="Cambria Math" w:hAnsi="Cambria Math"/>
          </w:rPr>
          <m:t xml:space="preserve"> :</m:t>
        </m:r>
      </m:oMath>
      <w:r>
        <w:rPr>
          <w:rFonts w:hint="eastAsia"/>
        </w:rPr>
        <w:t xml:space="preserve"> </w:t>
      </w:r>
      <w:r>
        <w:t xml:space="preserve">means the </w:t>
      </w:r>
      <w:r>
        <w:t>relative abundance of species</w:t>
      </w:r>
      <w:r>
        <w:t xml:space="preserve"> </w:t>
      </w:r>
      <m:oMath>
        <m:r>
          <w:rPr>
            <w:rFonts w:ascii="Cambria Math" w:hAnsi="Cambria Math"/>
          </w:rPr>
          <m:t>i</m:t>
        </m:r>
      </m:oMath>
      <w:r>
        <w:t xml:space="preserve"> in sample </w:t>
      </w:r>
      <m:oMath>
        <m:r>
          <w:rPr>
            <w:rFonts w:ascii="Cambria Math" w:hAnsi="Cambria Math"/>
          </w:rPr>
          <m:t>j</m:t>
        </m:r>
      </m:oMath>
      <w:r>
        <w:rPr>
          <w:rFonts w:hint="eastAsia"/>
        </w:rPr>
        <w:t>.</w:t>
      </w:r>
    </w:p>
    <w:p w14:paraId="7D39BAC7" w14:textId="7A188291" w:rsidR="009F1957" w:rsidRDefault="00AC25BE" w:rsidP="009F1957">
      <w:r>
        <w:t xml:space="preserve">The second measure was based on the Wilcoxon test. The significance of differential abundance was tested on a per species basis using a Wilcoxon test and adjust the p-value with the </w:t>
      </w:r>
      <w:r w:rsidRPr="00AC25BE">
        <w:t>conservative Bonferroni correction</w:t>
      </w:r>
      <w:r>
        <w:t>. And the last strict criterion was Fold Change. We only focused on the absolute value of log2 of features’ Fold Change larger than 0.5. In addition, we ignored the unclassified strain of bacteria because we could not explain it.</w:t>
      </w:r>
    </w:p>
    <w:p w14:paraId="4868EA56" w14:textId="77777777" w:rsidR="009F1957" w:rsidRPr="00AC25BE" w:rsidRDefault="009F1957" w:rsidP="009F1957"/>
    <w:p w14:paraId="1A5F8506" w14:textId="0CFF8EDA" w:rsidR="009F1957" w:rsidRDefault="009F1957" w:rsidP="009F1957">
      <w:pPr>
        <w:pStyle w:val="title10825"/>
      </w:pPr>
      <w:r>
        <w:rPr>
          <w:rFonts w:hint="eastAsia"/>
        </w:rPr>
        <w:lastRenderedPageBreak/>
        <w:t>Association</w:t>
      </w:r>
      <w:r>
        <w:t xml:space="preserve"> </w:t>
      </w:r>
      <w:r>
        <w:rPr>
          <w:rFonts w:hint="eastAsia"/>
        </w:rPr>
        <w:t>c</w:t>
      </w:r>
      <w:r>
        <w:t>alculation and comparison</w:t>
      </w:r>
    </w:p>
    <w:p w14:paraId="4FB0A378" w14:textId="076BCF21" w:rsidR="00AC25BE" w:rsidRPr="00AC25BE" w:rsidRDefault="00AC25BE" w:rsidP="00AC25BE">
      <w:pPr>
        <w:rPr>
          <w:rFonts w:hint="eastAsia"/>
        </w:rPr>
      </w:pPr>
      <w:r>
        <w:t xml:space="preserve">Co-occurrence and co-exclusion relationships within </w:t>
      </w:r>
      <w:r>
        <w:t>microeukaryotes</w:t>
      </w:r>
      <w:r>
        <w:t xml:space="preserve"> and between microeukaryotes and </w:t>
      </w:r>
      <w:r>
        <w:t>bacteria</w:t>
      </w:r>
      <w:r>
        <w:t xml:space="preserve"> were estimated using </w:t>
      </w:r>
      <w:r>
        <w:t xml:space="preserve">the DGCA </w:t>
      </w:r>
      <w:r>
        <w:t>algorithm</w:t>
      </w:r>
      <w:r>
        <w:fldChar w:fldCharType="begin"/>
      </w:r>
      <w:r>
        <w:instrText xml:space="preserve"> ADDIN ZOTERO_ITEM CSL_CITATION {"citationID":"Aw3r25TD","properties":{"formattedCitation":"\\super 10\\nosupersub{}","plainCitation":"10","noteIndex":0},"citationItems":[{"id":326,"uris":["http://zotero.org/users/7908919/items/HP6WRC94"],"uri":["http://zotero.org/users/7908919/items/HP6WRC94"],"itemData":{"id":326,"type":"article-journal","abstract":"Dissecting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instrText>
      </w:r>
      <w:r>
        <w:fldChar w:fldCharType="separate"/>
      </w:r>
      <w:r w:rsidRPr="00AC25BE">
        <w:rPr>
          <w:rFonts w:ascii="DengXian" w:eastAsia="DengXian" w:hAnsi="DengXian" w:cs="Times New Roman"/>
          <w:kern w:val="0"/>
          <w:szCs w:val="24"/>
          <w:vertAlign w:val="superscript"/>
        </w:rPr>
        <w:t>10</w:t>
      </w:r>
      <w:r>
        <w:fldChar w:fldCharType="end"/>
      </w:r>
      <w:r>
        <w:t>, which is the methodology for systematical assessing the difference in feature-feature regulatory relationships under different conditions. P-values less than 0.05 were considered significant. The inclusion criterion for network plot features had a correlation index less than -0.2 or larger than 0.5. In the comparison of different stages, DGCA leverages the permutation samples to calculate empirical p-values. Another important index is the z-score, which</w:t>
      </w:r>
      <w:r>
        <w:t xml:space="preserve"> </w:t>
      </w:r>
      <w:r w:rsidRPr="00AC25BE">
        <w:t>represents the relative strength of differential correlation</w:t>
      </w:r>
      <w:r>
        <w:t>. We considered the empirical p-values less than 0.05, and the absolute values of the z-score larger than 5 were a significant different correlation between different stages.</w:t>
      </w:r>
    </w:p>
    <w:p w14:paraId="11F81702" w14:textId="1B61AC39" w:rsidR="009F1957" w:rsidRDefault="009F1957" w:rsidP="009F1957">
      <w:pPr>
        <w:pStyle w:val="title10825"/>
      </w:pPr>
      <w:r>
        <w:t>Additional validation experiments on cancer cell line</w:t>
      </w:r>
    </w:p>
    <w:p w14:paraId="0D18D589" w14:textId="42680A53" w:rsidR="009F1957" w:rsidRDefault="009F1957" w:rsidP="009F1957">
      <w:r>
        <w:rPr>
          <w:rFonts w:hint="eastAsia"/>
        </w:rPr>
        <w:t>T</w:t>
      </w:r>
      <w:r>
        <w:t>B</w:t>
      </w:r>
      <w:r w:rsidR="00AC25BE">
        <w:t>A</w:t>
      </w:r>
    </w:p>
    <w:p w14:paraId="6BE20E9A" w14:textId="77777777" w:rsidR="009F1957" w:rsidRPr="009F1957" w:rsidRDefault="009F1957" w:rsidP="009F1957"/>
    <w:sectPr w:rsidR="009F1957" w:rsidRPr="009F1957">
      <w:pgSz w:w="11906" w:h="16838"/>
      <w:pgMar w:top="1440" w:right="1440" w:bottom="1440" w:left="144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FF6A02" w14:textId="77777777" w:rsidR="00F642B4" w:rsidRDefault="00F642B4" w:rsidP="009F1957">
      <w:r>
        <w:separator/>
      </w:r>
    </w:p>
  </w:endnote>
  <w:endnote w:type="continuationSeparator" w:id="0">
    <w:p w14:paraId="01AD479F" w14:textId="77777777" w:rsidR="00F642B4" w:rsidRDefault="00F642B4" w:rsidP="009F19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47F7A5" w14:textId="77777777" w:rsidR="00F642B4" w:rsidRDefault="00F642B4" w:rsidP="009F1957">
      <w:r>
        <w:separator/>
      </w:r>
    </w:p>
  </w:footnote>
  <w:footnote w:type="continuationSeparator" w:id="0">
    <w:p w14:paraId="0284890E" w14:textId="77777777" w:rsidR="00F642B4" w:rsidRDefault="00F642B4" w:rsidP="009F195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E2NTI2NDW2NDS1MDFQ0lEKTi0uzszPAykwqgUAXEwAlywAAAA="/>
  </w:docVars>
  <w:rsids>
    <w:rsidRoot w:val="00BD1594"/>
    <w:rsid w:val="00006CA8"/>
    <w:rsid w:val="00183ECD"/>
    <w:rsid w:val="00192D58"/>
    <w:rsid w:val="007668AF"/>
    <w:rsid w:val="00806EEB"/>
    <w:rsid w:val="009F1957"/>
    <w:rsid w:val="00AC25BE"/>
    <w:rsid w:val="00BD1594"/>
    <w:rsid w:val="00F642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799955"/>
  <w15:chartTrackingRefBased/>
  <w15:docId w15:val="{C9693FE6-72F0-43DA-BC65-C6CAE515A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7668AF"/>
    <w:pPr>
      <w:keepNext/>
      <w:keepLines/>
      <w:spacing w:before="340" w:after="330" w:line="578" w:lineRule="auto"/>
      <w:outlineLvl w:val="0"/>
    </w:pPr>
    <w:rPr>
      <w:b/>
      <w:bCs/>
      <w:kern w:val="44"/>
      <w:sz w:val="44"/>
      <w:szCs w:val="4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0825">
    <w:name w:val="title1_0825"/>
    <w:basedOn w:val="Heading1"/>
    <w:next w:val="Normal"/>
    <w:link w:val="title10825Char"/>
    <w:autoRedefine/>
    <w:qFormat/>
    <w:rsid w:val="007668AF"/>
    <w:pPr>
      <w:spacing w:before="120" w:after="120" w:line="240" w:lineRule="auto"/>
      <w:jc w:val="left"/>
    </w:pPr>
    <w:rPr>
      <w:bCs w:val="0"/>
      <w:color w:val="2F5496" w:themeColor="accent1" w:themeShade="BF"/>
      <w:sz w:val="24"/>
      <w:szCs w:val="21"/>
      <w:u w:val="single"/>
    </w:rPr>
  </w:style>
  <w:style w:type="character" w:customStyle="1" w:styleId="title10825Char">
    <w:name w:val="title1_0825 Char"/>
    <w:basedOn w:val="Heading1Char"/>
    <w:link w:val="title10825"/>
    <w:rsid w:val="007668AF"/>
    <w:rPr>
      <w:b/>
      <w:bCs w:val="0"/>
      <w:color w:val="2F5496" w:themeColor="accent1" w:themeShade="BF"/>
      <w:kern w:val="44"/>
      <w:sz w:val="24"/>
      <w:szCs w:val="21"/>
      <w:u w:val="single"/>
    </w:rPr>
  </w:style>
  <w:style w:type="character" w:customStyle="1" w:styleId="Heading1Char">
    <w:name w:val="Heading 1 Char"/>
    <w:basedOn w:val="DefaultParagraphFont"/>
    <w:link w:val="Heading1"/>
    <w:uiPriority w:val="9"/>
    <w:rsid w:val="007668AF"/>
    <w:rPr>
      <w:b/>
      <w:bCs/>
      <w:kern w:val="44"/>
      <w:sz w:val="44"/>
      <w:szCs w:val="44"/>
    </w:rPr>
  </w:style>
  <w:style w:type="paragraph" w:styleId="Header">
    <w:name w:val="header"/>
    <w:basedOn w:val="Normal"/>
    <w:link w:val="HeaderChar"/>
    <w:uiPriority w:val="99"/>
    <w:unhideWhenUsed/>
    <w:rsid w:val="009F1957"/>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9F1957"/>
    <w:rPr>
      <w:sz w:val="18"/>
      <w:szCs w:val="18"/>
    </w:rPr>
  </w:style>
  <w:style w:type="paragraph" w:styleId="Footer">
    <w:name w:val="footer"/>
    <w:basedOn w:val="Normal"/>
    <w:link w:val="FooterChar"/>
    <w:uiPriority w:val="99"/>
    <w:unhideWhenUsed/>
    <w:rsid w:val="009F1957"/>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9F1957"/>
    <w:rPr>
      <w:sz w:val="18"/>
      <w:szCs w:val="18"/>
    </w:rPr>
  </w:style>
  <w:style w:type="paragraph" w:styleId="NoSpacing">
    <w:name w:val="No Spacing"/>
    <w:uiPriority w:val="1"/>
    <w:qFormat/>
    <w:rsid w:val="009F1957"/>
    <w:pPr>
      <w:widowControl w:val="0"/>
      <w:jc w:val="both"/>
    </w:pPr>
  </w:style>
  <w:style w:type="paragraph" w:styleId="NormalWeb">
    <w:name w:val="Normal (Web)"/>
    <w:basedOn w:val="Normal"/>
    <w:uiPriority w:val="99"/>
    <w:semiHidden/>
    <w:unhideWhenUsed/>
    <w:rsid w:val="009F1957"/>
    <w:pPr>
      <w:widowControl/>
      <w:spacing w:before="100" w:beforeAutospacing="1" w:after="100" w:afterAutospacing="1"/>
      <w:jc w:val="left"/>
    </w:pPr>
    <w:rPr>
      <w:rFonts w:ascii="SimSun" w:eastAsia="SimSun" w:hAnsi="SimSun" w:cs="SimSun"/>
      <w:kern w:val="0"/>
      <w:sz w:val="24"/>
      <w:szCs w:val="24"/>
    </w:rPr>
  </w:style>
  <w:style w:type="character" w:styleId="Hyperlink">
    <w:name w:val="Hyperlink"/>
    <w:basedOn w:val="DefaultParagraphFont"/>
    <w:uiPriority w:val="99"/>
    <w:unhideWhenUsed/>
    <w:rsid w:val="00AC25BE"/>
    <w:rPr>
      <w:color w:val="0563C1" w:themeColor="hyperlink"/>
      <w:u w:val="single"/>
    </w:rPr>
  </w:style>
  <w:style w:type="character" w:styleId="UnresolvedMention">
    <w:name w:val="Unresolved Mention"/>
    <w:basedOn w:val="DefaultParagraphFont"/>
    <w:uiPriority w:val="99"/>
    <w:semiHidden/>
    <w:unhideWhenUsed/>
    <w:rsid w:val="00AC25BE"/>
    <w:rPr>
      <w:color w:val="605E5C"/>
      <w:shd w:val="clear" w:color="auto" w:fill="E1DFDD"/>
    </w:rPr>
  </w:style>
  <w:style w:type="character" w:styleId="PlaceholderText">
    <w:name w:val="Placeholder Text"/>
    <w:basedOn w:val="DefaultParagraphFont"/>
    <w:uiPriority w:val="99"/>
    <w:semiHidden/>
    <w:rsid w:val="00AC25B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5149680">
      <w:bodyDiv w:val="1"/>
      <w:marLeft w:val="0"/>
      <w:marRight w:val="0"/>
      <w:marTop w:val="0"/>
      <w:marBottom w:val="0"/>
      <w:divBdr>
        <w:top w:val="none" w:sz="0" w:space="0" w:color="auto"/>
        <w:left w:val="none" w:sz="0" w:space="0" w:color="auto"/>
        <w:bottom w:val="none" w:sz="0" w:space="0" w:color="auto"/>
        <w:right w:val="none" w:sz="0" w:space="0" w:color="auto"/>
      </w:divBdr>
    </w:div>
    <w:div w:id="1927037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2916</TotalTime>
  <Pages>3</Pages>
  <Words>4529</Words>
  <Characters>25816</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Yufeng</dc:creator>
  <cp:keywords/>
  <dc:description/>
  <cp:lastModifiedBy>LIN, Yufeng</cp:lastModifiedBy>
  <cp:revision>5</cp:revision>
  <dcterms:created xsi:type="dcterms:W3CDTF">2021-08-25T08:05:00Z</dcterms:created>
  <dcterms:modified xsi:type="dcterms:W3CDTF">2021-08-30T10:11:00Z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id="1f85ag90"/&gt;&lt;style id="http://www.zotero.org/styles/nature" hasBibliography="1" bibliographyStyleHasBeenSet="0"/&gt;&lt;prefs&gt;&lt;pref name="fieldType" value="Field"/&gt;&lt;/prefs&gt;&lt;/data&gt;</vt:lpwstr>
  </property>
</Properties>
</file>