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eastAsia="Times New Roman" w:cs="Times New Roman"/>
          <w:color w:val="000000"/>
          <w:sz w:val="24"/>
          <w:szCs w:val="24"/>
        </w:rPr>
      </w:pPr>
      <w:r>
        <w:rPr>
          <w:rFonts w:eastAsia="Times New Roman" w:cs="Times New Roman"/>
          <w:b/>
          <w:color w:val="212121"/>
          <w:sz w:val="32"/>
          <w:szCs w:val="32"/>
        </w:rPr>
        <w:t>Responses to the reviewers’ comments</w:t>
      </w:r>
    </w:p>
    <w:p>
      <w:pPr>
        <w:pStyle w:val="Normal"/>
        <w:spacing w:lineRule="auto" w:line="240" w:before="0" w:after="0"/>
        <w:rPr>
          <w:rFonts w:cs="Courier New"/>
          <w:sz w:val="24"/>
          <w:szCs w:val="24"/>
        </w:rPr>
      </w:pPr>
      <w:r>
        <w:rPr>
          <w:rFonts w:cs="Courier New"/>
          <w:sz w:val="24"/>
          <w:szCs w:val="24"/>
        </w:rPr>
        <w:t>Dear Reviewer,</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t>We are grateful for your comments and are hereby responding to each one of you individually:</w:t>
      </w:r>
    </w:p>
    <w:p>
      <w:pPr>
        <w:pStyle w:val="Normal"/>
        <w:spacing w:lineRule="auto" w:line="240" w:before="0" w:after="240"/>
        <w:jc w:val="both"/>
        <w:rPr/>
      </w:pPr>
      <w:r>
        <w:rPr>
          <w:rFonts w:eastAsia="Times New Roman" w:cs="Times New Roman"/>
          <w:color w:val="000000"/>
          <w:sz w:val="24"/>
          <w:szCs w:val="24"/>
        </w:rPr>
        <w:br/>
      </w:r>
      <w:r>
        <w:rPr>
          <w:rFonts w:eastAsia="Times New Roman" w:cs="Segoe UI"/>
          <w:b/>
          <w:bCs/>
          <w:color w:val="212121"/>
          <w:sz w:val="24"/>
          <w:szCs w:val="24"/>
          <w:shd w:fill="FFFFFF" w:val="clear"/>
        </w:rPr>
        <w:t xml:space="preserve">Reviewer #1: </w:t>
      </w:r>
      <w:r>
        <w:rPr>
          <w:rFonts w:eastAsia="Times New Roman" w:cs="Times New Roman"/>
          <w:color w:val="212121"/>
          <w:sz w:val="24"/>
          <w:szCs w:val="24"/>
          <w:highlight w:val="white"/>
        </w:rPr>
        <w:t>Thank you for your suggestion to evaluate the usefulness of the proposed approach and its limitations based on a real-life implementation. This paper is just one of many papers that came out from our collaboration with MI practitioners. We agree that evaluation of the usefulness of the proposed approaches in a clinical setting is a very important topic, which deserves a separate publication. In fact, our collaborators will be working on this in later stages of our multi-year project and their findings will be distributed in a forthcoming journal publication.</w:t>
      </w:r>
    </w:p>
    <w:p>
      <w:pPr>
        <w:pStyle w:val="Normal"/>
        <w:spacing w:lineRule="auto" w:line="240" w:before="0" w:after="240"/>
        <w:jc w:val="both"/>
        <w:rPr/>
      </w:pPr>
      <w:r>
        <w:rPr>
          <w:rFonts w:cs="Segoe UI"/>
          <w:b/>
          <w:bCs/>
          <w:color w:val="212121"/>
          <w:sz w:val="24"/>
          <w:szCs w:val="24"/>
          <w:shd w:fill="FFFFFF" w:val="clear"/>
        </w:rPr>
        <w:t xml:space="preserve">Reviewer #2: </w:t>
      </w:r>
      <w:r>
        <w:rPr>
          <w:rFonts w:eastAsia="Times New Roman" w:cs="Times New Roman"/>
          <w:color w:val="212121"/>
          <w:sz w:val="24"/>
          <w:szCs w:val="24"/>
          <w:highlight w:val="white"/>
        </w:rPr>
        <w:t xml:space="preserve">Thank you for your suggestion. </w:t>
      </w:r>
      <w:r>
        <w:rPr>
          <w:rFonts w:eastAsia="Times New Roman" w:cs="Times New Roman"/>
          <w:color w:val="212121"/>
          <w:sz w:val="24"/>
          <w:szCs w:val="24"/>
        </w:rPr>
        <w:t>We added the following parts to the revised paper:</w:t>
      </w:r>
    </w:p>
    <w:p>
      <w:pPr>
        <w:pStyle w:val="Normal"/>
        <w:numPr>
          <w:ilvl w:val="0"/>
          <w:numId w:val="1"/>
        </w:numPr>
        <w:spacing w:lineRule="auto" w:line="240" w:before="0" w:after="240"/>
        <w:jc w:val="both"/>
        <w:rPr/>
      </w:pPr>
      <w:r>
        <w:rPr>
          <w:rFonts w:eastAsia="Times New Roman" w:cs="Times New Roman"/>
          <w:color w:val="212121"/>
          <w:sz w:val="24"/>
          <w:szCs w:val="24"/>
          <w:highlight w:val="white"/>
        </w:rPr>
        <w:t>The first point in the “Discussion” section explains the advantages of RNN over probabilistic models.</w:t>
      </w:r>
    </w:p>
    <w:p>
      <w:pPr>
        <w:pStyle w:val="Normal"/>
        <w:numPr>
          <w:ilvl w:val="0"/>
          <w:numId w:val="1"/>
        </w:numPr>
        <w:spacing w:lineRule="auto" w:line="240" w:before="0" w:after="240"/>
        <w:jc w:val="both"/>
        <w:rPr/>
      </w:pPr>
      <w:r>
        <w:rPr>
          <w:rFonts w:eastAsia="Times New Roman" w:cs="Times New Roman"/>
          <w:color w:val="212121"/>
          <w:sz w:val="24"/>
          <w:szCs w:val="24"/>
          <w:highlight w:val="white"/>
        </w:rPr>
        <w:t>We added a paragraph to the “Recurrent Neural Network” section to explain RNNs with target replication.</w:t>
      </w:r>
    </w:p>
    <w:p>
      <w:pPr>
        <w:pStyle w:val="Normal"/>
        <w:numPr>
          <w:ilvl w:val="0"/>
          <w:numId w:val="1"/>
        </w:numPr>
        <w:spacing w:lineRule="auto" w:line="240" w:before="0" w:after="240"/>
        <w:jc w:val="both"/>
        <w:rPr/>
      </w:pPr>
      <w:r>
        <w:rPr>
          <w:rFonts w:eastAsia="Times New Roman" w:cs="Times New Roman"/>
          <w:color w:val="212121"/>
          <w:sz w:val="24"/>
          <w:szCs w:val="24"/>
          <w:highlight w:val="white"/>
        </w:rPr>
        <w:t>We made a th</w:t>
      </w:r>
      <w:r>
        <w:rPr>
          <w:rFonts w:eastAsia="Times New Roman" w:cs="Times New Roman"/>
          <w:color w:val="212121"/>
          <w:sz w:val="24"/>
          <w:szCs w:val="24"/>
          <w:highlight w:val="white"/>
        </w:rPr>
        <w:t>o</w:t>
      </w:r>
      <w:r>
        <w:rPr>
          <w:rFonts w:eastAsia="Times New Roman" w:cs="Times New Roman"/>
          <w:color w:val="212121"/>
          <w:sz w:val="24"/>
          <w:szCs w:val="24"/>
          <w:highlight w:val="white"/>
        </w:rPr>
        <w:t xml:space="preserve">rough </w:t>
      </w:r>
      <w:r>
        <w:rPr>
          <w:rFonts w:eastAsia="Times New Roman" w:cs="Times New Roman"/>
          <w:color w:val="212121"/>
          <w:sz w:val="24"/>
          <w:szCs w:val="24"/>
        </w:rPr>
        <w:t>proof-reading pass over</w:t>
      </w:r>
      <w:r>
        <w:rPr>
          <w:rFonts w:eastAsia="Times New Roman" w:cs="Segoe UI"/>
          <w:color w:val="212121"/>
          <w:sz w:val="24"/>
          <w:szCs w:val="24"/>
          <w:shd w:fill="FFFFFF" w:val="clear"/>
        </w:rPr>
        <w:t xml:space="preserve"> the entire paper and fixed all the </w:t>
      </w:r>
      <w:r>
        <w:rPr>
          <w:rFonts w:eastAsia="Times New Roman" w:cs="Times New Roman"/>
          <w:color w:val="212121"/>
          <w:sz w:val="24"/>
          <w:szCs w:val="24"/>
          <w:highlight w:val="white"/>
        </w:rPr>
        <w:t>spelling and grammatical errors.</w:t>
      </w:r>
    </w:p>
    <w:p>
      <w:pPr>
        <w:pStyle w:val="Normal"/>
        <w:numPr>
          <w:ilvl w:val="0"/>
          <w:numId w:val="1"/>
        </w:numPr>
        <w:spacing w:lineRule="auto" w:line="240" w:before="0" w:after="240"/>
        <w:jc w:val="both"/>
        <w:rPr/>
      </w:pPr>
      <w:r>
        <w:rPr>
          <w:rFonts w:eastAsia="Times New Roman" w:cs="Times New Roman"/>
          <w:color w:val="212121"/>
          <w:sz w:val="24"/>
          <w:szCs w:val="24"/>
        </w:rPr>
        <w:t>We defined the “PPC” abbreviation in the introduction.</w:t>
      </w:r>
    </w:p>
    <w:p>
      <w:pPr>
        <w:pStyle w:val="Normal"/>
        <w:spacing w:lineRule="auto" w:line="240" w:before="0" w:after="240"/>
        <w:jc w:val="both"/>
        <w:rPr/>
      </w:pPr>
      <w:r>
        <w:rPr>
          <w:rFonts w:cs="Segoe UI"/>
          <w:b/>
          <w:bCs/>
          <w:color w:val="212121"/>
          <w:sz w:val="24"/>
          <w:szCs w:val="24"/>
          <w:shd w:fill="FFFFFF" w:val="clear"/>
        </w:rPr>
        <w:t xml:space="preserve">Reviewer #3: </w:t>
      </w:r>
      <w:r>
        <w:rPr>
          <w:rFonts w:cs="Segoe UI"/>
          <w:color w:val="212121"/>
          <w:sz w:val="24"/>
          <w:szCs w:val="24"/>
          <w:shd w:fill="FFFFFF" w:val="clear"/>
        </w:rPr>
        <w:t>Thank you for your feedback. We have added more details about how embeddings were obtained (dense low-dimensional code embeddings were obtained as a by-product of training LSTM and GRU in Tensorflow, one-hot representations of behavior codes were used as input). Indeed, a</w:t>
      </w:r>
      <w:r>
        <w:rPr>
          <w:rFonts w:eastAsia="Times New Roman" w:cs="Segoe UI"/>
          <w:color w:val="212121"/>
          <w:sz w:val="24"/>
          <w:szCs w:val="24"/>
          <w:shd w:fill="FFFFFF" w:val="clear"/>
        </w:rPr>
        <w:t xml:space="preserve">lthough the proposed model was applied to </w:t>
      </w:r>
      <w:r>
        <w:rPr>
          <w:rFonts w:eastAsia="Times New Roman" w:cs="Segoe UI"/>
          <w:color w:val="212121"/>
          <w:sz w:val="24"/>
          <w:szCs w:val="24"/>
          <w:shd w:fill="FFFFFF" w:val="clear"/>
        </w:rPr>
        <w:t xml:space="preserve">the </w:t>
      </w:r>
      <w:r>
        <w:rPr>
          <w:rFonts w:eastAsia="Times New Roman" w:cs="Segoe UI"/>
          <w:color w:val="212121"/>
          <w:sz w:val="24"/>
          <w:szCs w:val="24"/>
          <w:shd w:fill="FFFFFF" w:val="clear"/>
        </w:rPr>
        <w:t>analysis of motivational interviews, it can be used for multi-class classification of discreet observation sequences of any kind.</w:t>
      </w:r>
    </w:p>
    <w:p>
      <w:pPr>
        <w:pStyle w:val="Normal"/>
        <w:spacing w:lineRule="auto" w:line="240" w:before="0" w:after="240"/>
        <w:jc w:val="both"/>
        <w:rPr/>
      </w:pPr>
      <w:r>
        <w:rPr>
          <w:rFonts w:cs="Segoe UI"/>
          <w:b/>
          <w:bCs/>
          <w:color w:val="212121"/>
          <w:sz w:val="24"/>
          <w:szCs w:val="24"/>
          <w:shd w:fill="FFFFFF" w:val="clear"/>
        </w:rPr>
        <w:t xml:space="preserve">Reviewer #4: </w:t>
      </w:r>
      <w:r>
        <w:rPr>
          <w:rFonts w:cs="Segoe UI"/>
          <w:color w:val="212121"/>
          <w:sz w:val="24"/>
          <w:szCs w:val="24"/>
          <w:shd w:fill="FFFFFF" w:val="clear"/>
        </w:rPr>
        <w:t>The MYSCOPE is an adaptation of an existing MI code scheme (codebook), the Sequential Code for Observing Process Exchanges (SCOPE) [1]. The original SCOPE was adapted to include culturally relevant examples of CHT and CML specific to black adolescents with obesity and caregivers; examples of CHT and CML for the pertinent target behaviors (weight loss, healthy nutritional changes, increased physical activity); and new codes for provider communication behaviors that had not been included in existing coding schemes (e.g., emphasizing autonomy, eliciting feedback). The result of this work was the Minority Youth Sequential Coding for Observing Process Exchanges (MY-SCOPE). Usually, word2vec embeddings are utilized for textual data, when each observation is a word. In this study, each observation is a behavior code. RNN architectures typically use one-hot vectors as input. In our case, code embeddings are obtained as part of training the proposed RNN architecture to address the target problem of sequence classification, while word2vec embeddings are trained to ensure that observations frequently co-occurring within a fixed-size contextual window have similar embeddings.</w:t>
      </w:r>
    </w:p>
    <w:p>
      <w:pPr>
        <w:pStyle w:val="Normal"/>
        <w:spacing w:lineRule="auto" w:line="240" w:before="0" w:after="240"/>
        <w:jc w:val="both"/>
        <w:rPr/>
      </w:pPr>
      <w:r>
        <w:rPr>
          <w:rFonts w:cs="Segoe UI"/>
          <w:b/>
          <w:bCs/>
          <w:color w:val="212121"/>
          <w:sz w:val="24"/>
          <w:szCs w:val="24"/>
          <w:shd w:fill="FFFFFF" w:val="clear"/>
        </w:rPr>
        <w:t xml:space="preserve">Reviewer #5: </w:t>
      </w:r>
      <w:r>
        <w:rPr>
          <w:rFonts w:cs="Segoe UI"/>
          <w:color w:val="212121"/>
          <w:sz w:val="24"/>
          <w:szCs w:val="24"/>
          <w:shd w:fill="FFFFFF" w:val="clear"/>
        </w:rPr>
        <w:t>Thank you for introducing TRIPOD to us</w:t>
      </w:r>
      <w:bookmarkStart w:id="0" w:name="_GoBack"/>
      <w:bookmarkEnd w:id="0"/>
      <w:r>
        <w:rPr>
          <w:rFonts w:cs="Segoe UI"/>
          <w:color w:val="212121"/>
          <w:sz w:val="24"/>
          <w:szCs w:val="24"/>
          <w:shd w:fill="FFFFFF" w:val="clear"/>
        </w:rPr>
        <w:t xml:space="preserve">. We went through the guidelines of the TRIPOD statement and checked all points. We provided the exact definition of the outcome variables in the “data collection” section. </w:t>
      </w:r>
    </w:p>
    <w:p>
      <w:pPr>
        <w:pStyle w:val="Normal"/>
        <w:spacing w:lineRule="auto" w:line="240" w:before="0" w:after="240"/>
        <w:jc w:val="both"/>
        <w:rPr/>
      </w:pPr>
      <w:r>
        <w:rPr>
          <w:rFonts w:cs="Segoe UI"/>
          <w:color w:val="212121"/>
          <w:sz w:val="24"/>
          <w:szCs w:val="24"/>
          <w:shd w:fill="FFFFFF" w:val="clear"/>
        </w:rPr>
        <w:t>[1] Martin T, Moyers TB, Houck J, et al. Motivational Interviewing Sequential Code for Observing Process Exchanges (MI-SCOPE) Coder’s Manual. Albuquerque, NM: University of New Mexico, Center on Alcoholism, Substance Abuse, and Addictions (CASAA);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Application>LibreOffice/5.1.6.2$Linux_X86_64 LibreOffice_project/10m0$Build-2</Application>
  <Pages>2</Pages>
  <Words>505</Words>
  <Characters>2832</Characters>
  <CharactersWithSpaces>3322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2016-03-11T20:37:00Z</dcterms:created>
  <dc:creator>mehediwsu</dc:creator>
  <dc:description/>
  <dc:language>en-CA</dc:language>
  <cp:lastModifiedBy/>
  <dcterms:modified xsi:type="dcterms:W3CDTF">2018-01-10T18:49:28Z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