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Integration Strategy v1</w:t>
      </w:r>
    </w:p>
    <w:p>
      <w:pPr>
        <w:pStyle w:val="Heading1"/>
      </w:pPr>
      <w:r>
        <w:t xml:space="preserve">API Integration Strategy (v1)</w:t>
      </w:r>
    </w:p>
    <w:p/>
    <w:p>
      <w:pPr>
        <w:pStyle w:val="Heading2"/>
      </w:pPr>
      <w:r>
        <w:t xml:space="preserve">1) Core Decision</w:t>
      </w:r>
    </w:p>
    <w:p>
      <w:r>
        <w:t xml:space="preserve">The mobile app should call your backend, and your backend should call model/calendar providers.</w:t>
      </w:r>
    </w:p>
    <w:p/>
    <w:p>
      <w:r>
        <w:rPr>
          <w:rFonts w:ascii="Consolas" w:hAnsi="Consolas" w:cs="Consolas"/>
        </w:rPr>
        <w:t xml:space="preserve">flowchart LR</w:t>
      </w:r>
    </w:p>
    <w:p>
      <w:r>
        <w:rPr>
          <w:rFonts w:ascii="Consolas" w:hAnsi="Consolas" w:cs="Consolas"/>
        </w:rPr>
        <w:t xml:space="preserve">  APP[Mobile App] --&gt; BE[Your Backend API]</w:t>
      </w:r>
    </w:p>
    <w:p>
      <w:r>
        <w:rPr>
          <w:rFonts w:ascii="Consolas" w:hAnsi="Consolas" w:cs="Consolas"/>
        </w:rPr>
        <w:t xml:space="preserve">  BE --&gt; OAI[OpenAI API]</w:t>
      </w:r>
    </w:p>
    <w:p>
      <w:r>
        <w:rPr>
          <w:rFonts w:ascii="Consolas" w:hAnsi="Consolas" w:cs="Consolas"/>
        </w:rPr>
        <w:t xml:space="preserve">  BE --&gt; GEM[Gemini API]</w:t>
      </w:r>
    </w:p>
    <w:p>
      <w:r>
        <w:rPr>
          <w:rFonts w:ascii="Consolas" w:hAnsi="Consolas" w:cs="Consolas"/>
        </w:rPr>
        <w:t xml:space="preserve">  BE --&gt; CAL[Calendar Providers]</w:t>
      </w:r>
    </w:p>
    <w:p/>
    <w:p>
      <w:r>
        <w:t xml:space="preserve">Why:</w:t>
      </w:r>
    </w:p>
    <w:p>
      <w:r>
        <w:t xml:space="preserve">1. Keeps API keys off-device.</w:t>
      </w:r>
    </w:p>
    <w:p>
      <w:r>
        <w:t xml:space="preserve">2. Centralizes policy, confirmation, logging, retries, and fallbacks.</w:t>
      </w:r>
    </w:p>
    <w:p>
      <w:r>
        <w:t xml:space="preserve">3. Makes provider switching possible without app releases.</w:t>
      </w:r>
    </w:p>
    <w:p/>
    <w:p>
      <w:pPr>
        <w:pStyle w:val="Heading2"/>
      </w:pPr>
      <w:r>
        <w:t xml:space="preserve">2) What Keys You Need</w:t>
      </w:r>
    </w:p>
    <w:p>
      <w:r>
        <w:t xml:space="preserve">1. OpenAI API key (from OpenAI Platform account/billing).</w:t>
      </w:r>
    </w:p>
    <w:p>
      <w:r>
        <w:t xml:space="preserve">2. Gemini API key (from Google AI Studio/Google Cloud billing setup).</w:t>
      </w:r>
    </w:p>
    <w:p>
      <w:r>
        <w:t xml:space="preserve">3. OAuth client credentials for calendar providers:</w:t>
      </w:r>
    </w:p>
    <w:p>
      <w:r>
        <w:t xml:space="preserve">   - Google Calendar</w:t>
      </w:r>
    </w:p>
    <w:p>
      <w:r>
        <w:t xml:space="preserve">   - Microsoft Graph</w:t>
      </w:r>
    </w:p>
    <w:p>
      <w:r>
        <w:t xml:space="preserve">   - Apple/CalDAV setup (provider-specific)</w:t>
      </w:r>
    </w:p>
    <w:p/>
    <w:p>
      <w:r>
        <w:t xml:space="preserve">Important:</w:t>
      </w:r>
    </w:p>
    <w:p>
      <w:r>
        <w:t xml:space="preserve">1. Chat app subscriptions are typically separate from API billing.</w:t>
      </w:r>
    </w:p>
    <w:p>
      <w:r>
        <w:t xml:space="preserve">2. Treat model API usage as pay-per-usage infrastructure.</w:t>
      </w:r>
    </w:p>
    <w:p/>
    <w:p>
      <w:pPr>
        <w:pStyle w:val="Heading2"/>
      </w:pPr>
      <w:r>
        <w:t xml:space="preserve">3) Suggested Auth and Secret Model</w:t>
      </w:r>
    </w:p>
    <w:p>
      <w:r>
        <w:t xml:space="preserve">1. User authentication:</w:t>
      </w:r>
    </w:p>
    <w:p>
      <w:r>
        <w:t xml:space="preserve">   - User logs into your app account.</w:t>
      </w:r>
    </w:p>
    <w:p>
      <w:r>
        <w:t xml:space="preserve">   - App receives your backend auth token.</w:t>
      </w:r>
    </w:p>
    <w:p>
      <w:r>
        <w:t xml:space="preserve">2. Provider auth:</w:t>
      </w:r>
    </w:p>
    <w:p>
      <w:r>
        <w:t xml:space="preserve">   - User performs OAuth grant for calendar providers.</w:t>
      </w:r>
    </w:p>
    <w:p>
      <w:r>
        <w:t xml:space="preserve">   - Backend stores refresh/access tokens in token vault (not app DB plaintext).</w:t>
      </w:r>
    </w:p>
    <w:p>
      <w:r>
        <w:t xml:space="preserve">3. Model providers:</w:t>
      </w:r>
    </w:p>
    <w:p>
      <w:r>
        <w:t xml:space="preserve">   - Backend stores OpenAI/Gemini API keys in secrets manager.</w:t>
      </w:r>
    </w:p>
    <w:p>
      <w:r>
        <w:t xml:space="preserve">   - Rotate keys on schedule or incident.</w:t>
      </w:r>
    </w:p>
    <w:p/>
    <w:p>
      <w:pPr>
        <w:pStyle w:val="Heading2"/>
      </w:pPr>
      <w:r>
        <w:t xml:space="preserve">4) Request Flow (Assistant Action)</w:t>
      </w:r>
    </w:p>
    <w:p>
      <w:r>
        <w:t xml:space="preserve">1. App sends utterance and context to `/v1/assistant/interpret`.</w:t>
      </w:r>
    </w:p>
    <w:p>
      <w:r>
        <w:t xml:space="preserve">2. Backend parses intent/entities (provider chosen by routing policy).</w:t>
      </w:r>
    </w:p>
    <w:p>
      <w:r>
        <w:t xml:space="preserve">3. Backend asks for clarification or confirmation if needed.</w:t>
      </w:r>
    </w:p>
    <w:p>
      <w:r>
        <w:t xml:space="preserve">4. On confirmation, backend executes task/calendar mutation.</w:t>
      </w:r>
    </w:p>
    <w:p>
      <w:r>
        <w:t xml:space="preserve">5. Backend writes audit event and returns summary to app.</w:t>
      </w:r>
    </w:p>
    <w:p/>
    <w:p>
      <w:pPr>
        <w:pStyle w:val="Heading2"/>
      </w:pPr>
      <w:r>
        <w:t xml:space="preserve">5) Provider Routing Policy (Pragmatic v1)</w:t>
      </w:r>
    </w:p>
    <w:p>
      <w:r>
        <w:t xml:space="preserve">1. Default low-cost model for routine planning and extraction.</w:t>
      </w:r>
    </w:p>
    <w:p>
      <w:r>
        <w:t xml:space="preserve">2. Escalate to stronger model only when confidence is low or task is complex.</w:t>
      </w:r>
    </w:p>
    <w:p>
      <w:r>
        <w:t xml:space="preserve">3. Cache repetitive system prompts and compact conversation context.</w:t>
      </w:r>
    </w:p>
    <w:p>
      <w:r>
        <w:t xml:space="preserve">4. Enforce strict max-token policies by endpoint.</w:t>
      </w:r>
    </w:p>
    <w:p/>
    <w:p>
      <w:pPr>
        <w:pStyle w:val="Heading2"/>
      </w:pPr>
      <w:r>
        <w:t xml:space="preserve">6) Reliability Controls</w:t>
      </w:r>
    </w:p>
    <w:p>
      <w:r>
        <w:t xml:space="preserve">1. Idempotency key on every write request.</w:t>
      </w:r>
    </w:p>
    <w:p>
      <w:r>
        <w:t xml:space="preserve">2. Retry policy with exponential backoff for transient provider failures.</w:t>
      </w:r>
    </w:p>
    <w:p>
      <w:r>
        <w:t xml:space="preserve">3. Queue-based background sync jobs for calendar reconciliation.</w:t>
      </w:r>
    </w:p>
    <w:p>
      <w:r>
        <w:t xml:space="preserve">4. Circuit breaker/fallback to alternate model provider if one fails.</w:t>
      </w:r>
    </w:p>
    <w:p/>
    <w:p>
      <w:pPr>
        <w:pStyle w:val="Heading2"/>
      </w:pPr>
      <w:r>
        <w:t xml:space="preserve">7) Security and Privacy Controls</w:t>
      </w:r>
    </w:p>
    <w:p>
      <w:r>
        <w:t xml:space="preserve">1. Never expose provider API keys in mobile app binaries.</w:t>
      </w:r>
    </w:p>
    <w:p>
      <w:r>
        <w:t xml:space="preserve">2. Redact sensitive data from logs.</w:t>
      </w:r>
    </w:p>
    <w:p>
      <w:r>
        <w:t xml:space="preserve">3. Use scoped OAuth permissions only.</w:t>
      </w:r>
    </w:p>
    <w:p>
      <w:r>
        <w:t xml:space="preserve">4. Keep immutable action audit records for trust and support.</w:t>
      </w:r>
    </w:p>
    <w:p/>
    <w:p>
      <w:pPr>
        <w:pStyle w:val="Heading2"/>
      </w:pPr>
      <w:r>
        <w:t xml:space="preserve">8) Environment Variables (Example)</w:t>
      </w:r>
    </w:p>
    <w:p>
      <w:r>
        <w:rPr>
          <w:rFonts w:ascii="Consolas" w:hAnsi="Consolas" w:cs="Consolas"/>
        </w:rPr>
        <w:t xml:space="preserve">OPENAI_API_KEY=...</w:t>
      </w:r>
    </w:p>
    <w:p>
      <w:r>
        <w:rPr>
          <w:rFonts w:ascii="Consolas" w:hAnsi="Consolas" w:cs="Consolas"/>
        </w:rPr>
        <w:t xml:space="preserve">GEMINI_API_KEY=...</w:t>
      </w:r>
    </w:p>
    <w:p>
      <w:r>
        <w:rPr>
          <w:rFonts w:ascii="Consolas" w:hAnsi="Consolas" w:cs="Consolas"/>
        </w:rPr>
        <w:t xml:space="preserve">GOOGLE_OAUTH_CLIENT_ID=...</w:t>
      </w:r>
    </w:p>
    <w:p>
      <w:r>
        <w:rPr>
          <w:rFonts w:ascii="Consolas" w:hAnsi="Consolas" w:cs="Consolas"/>
        </w:rPr>
        <w:t xml:space="preserve">GOOGLE_OAUTH_CLIENT_SECRET=...</w:t>
      </w:r>
    </w:p>
    <w:p>
      <w:r>
        <w:rPr>
          <w:rFonts w:ascii="Consolas" w:hAnsi="Consolas" w:cs="Consolas"/>
        </w:rPr>
        <w:t xml:space="preserve">MICROSOFT_OAUTH_CLIENT_ID=...</w:t>
      </w:r>
    </w:p>
    <w:p>
      <w:r>
        <w:rPr>
          <w:rFonts w:ascii="Consolas" w:hAnsi="Consolas" w:cs="Consolas"/>
        </w:rPr>
        <w:t xml:space="preserve">MICROSOFT_OAUTH_CLIENT_SECRET=...</w:t>
      </w:r>
    </w:p>
    <w:p>
      <w:r>
        <w:rPr>
          <w:rFonts w:ascii="Consolas" w:hAnsi="Consolas" w:cs="Consolas"/>
        </w:rPr>
        <w:t xml:space="preserve">TOKEN_VAULT_URI=...</w:t>
      </w:r>
    </w:p>
    <w:p/>
    <w:p>
      <w:pPr>
        <w:pStyle w:val="Heading2"/>
      </w:pPr>
      <w:r>
        <w:t xml:space="preserve">9) Rollout Recommendation</w:t>
      </w:r>
    </w:p>
    <w:p>
      <w:r>
        <w:t xml:space="preserve">1. Start with one model provider + one calendar provider for faster MVP.</w:t>
      </w:r>
    </w:p>
    <w:p>
      <w:r>
        <w:t xml:space="preserve">2. Add second model provider as fallback after baseline quality metrics stabilize.</w:t>
      </w:r>
    </w:p>
    <w:p>
      <w:r>
        <w:t xml:space="preserve">3. Add provider-specific load tests before enabling automatic failover.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Strategy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