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Heading1"/>
      </w:pPr>
      <w:r>
        <w:t xml:space="preserve">Tech Stack Rationale</w:t>
      </w:r>
    </w:p>
    <w:p>
      <w:pPr>
        <w:pStyle w:val="Heading1"/>
      </w:pPr>
      <w:r>
        <w:t xml:space="preserve">Tech Stack Rationale</w:t>
      </w:r>
    </w:p>
    <w:p/>
    <w:p>
      <w:r>
        <w:t xml:space="preserve">Date: 2026-02-08  </w:t>
      </w:r>
    </w:p>
    <w:p>
      <w:r>
        <w:t xml:space="preserve">Scope: Why the selected stack in `tech-stack-decisions.md` was chosen for MVP.</w:t>
      </w:r>
    </w:p>
    <w:p/>
    <w:p>
      <w:pPr>
        <w:pStyle w:val="Heading2"/>
      </w:pPr>
      <w:r>
        <w:t xml:space="preserve">1) Backend: TypeScript + Node.js + Fastify</w:t>
      </w:r>
    </w:p>
    <w:p>
      <w:r>
        <w:t xml:space="preserve">Decision:</w:t>
      </w:r>
    </w:p>
    <w:p>
      <w:r>
        <w:t xml:space="preserve">1. Use TypeScript on Node.js LTS with Fastify.</w:t>
      </w:r>
    </w:p>
    <w:p/>
    <w:p>
      <w:r>
        <w:t xml:space="preserve">Why:</w:t>
      </w:r>
    </w:p>
    <w:p>
      <w:r>
        <w:t xml:space="preserve">1. Fast iteration speed for early-stage product changes.</w:t>
      </w:r>
    </w:p>
    <w:p>
      <w:r>
        <w:t xml:space="preserve">2. Strong typing reduces integration and contract errors.</w:t>
      </w:r>
    </w:p>
    <w:p>
      <w:r>
        <w:t xml:space="preserve">3. Fastify provides high performance and schema-oriented APIs.</w:t>
      </w:r>
    </w:p>
    <w:p/>
    <w:p>
      <w:r>
        <w:t xml:space="preserve">Alternatives considered:</w:t>
      </w:r>
    </w:p>
    <w:p>
      <w:r>
        <w:t xml:space="preserve">1. Python/FastAPI:</w:t>
      </w:r>
    </w:p>
    <w:p>
      <w:r>
        <w:t xml:space="preserve">   - good productivity, but less alignment with typed shared contracts planned across services.</w:t>
      </w:r>
    </w:p>
    <w:p>
      <w:r>
        <w:t xml:space="preserve">2. Go:</w:t>
      </w:r>
    </w:p>
    <w:p>
      <w:r>
        <w:t xml:space="preserve">   - strong performance, but slower initial iteration for this MVP team profile.</w:t>
      </w:r>
    </w:p>
    <w:p/>
    <w:p>
      <w:r>
        <w:t xml:space="preserve">Tradeoff:</w:t>
      </w:r>
    </w:p>
    <w:p>
      <w:r>
        <w:t xml:space="preserve">1. Runtime performance is not maximal vs Go, but acceptable for MVP load.</w:t>
      </w:r>
    </w:p>
    <w:p/>
    <w:p>
      <w:pPr>
        <w:pStyle w:val="Heading2"/>
      </w:pPr>
      <w:r>
        <w:t xml:space="preserve">2) API Validation: Zod</w:t>
      </w:r>
    </w:p>
    <w:p>
      <w:r>
        <w:t xml:space="preserve">Decision:</w:t>
      </w:r>
    </w:p>
    <w:p>
      <w:r>
        <w:t xml:space="preserve">1. Use Zod schemas at API boundaries.</w:t>
      </w:r>
    </w:p>
    <w:p/>
    <w:p>
      <w:r>
        <w:t xml:space="preserve">Why:</w:t>
      </w:r>
    </w:p>
    <w:p>
      <w:r>
        <w:t xml:space="preserve">1. Keeps runtime validation and TypeScript types close together.</w:t>
      </w:r>
    </w:p>
    <w:p>
      <w:r>
        <w:t xml:space="preserve">2. Reduces drift between documented contracts and implementation.</w:t>
      </w:r>
    </w:p>
    <w:p/>
    <w:p>
      <w:r>
        <w:t xml:space="preserve">Tradeoff:</w:t>
      </w:r>
    </w:p>
    <w:p>
      <w:r>
        <w:t xml:space="preserve">1. Some schema verbosity, accepted for contract safety.</w:t>
      </w:r>
    </w:p>
    <w:p/>
    <w:p>
      <w:pPr>
        <w:pStyle w:val="Heading2"/>
      </w:pPr>
      <w:r>
        <w:t xml:space="preserve">3) Data Layer: PostgreSQL + Prisma</w:t>
      </w:r>
    </w:p>
    <w:p>
      <w:r>
        <w:t xml:space="preserve">Decision:</w:t>
      </w:r>
    </w:p>
    <w:p>
      <w:r>
        <w:t xml:space="preserve">1. PostgreSQL as system of record, Prisma for ORM/migrations.</w:t>
      </w:r>
    </w:p>
    <w:p/>
    <w:p>
      <w:r>
        <w:t xml:space="preserve">Why:</w:t>
      </w:r>
    </w:p>
    <w:p>
      <w:r>
        <w:t xml:space="preserve">1. Domain is relational (users, tasks, calendars, events, audits).</w:t>
      </w:r>
    </w:p>
    <w:p>
      <w:r>
        <w:t xml:space="preserve">2. Strong transactional integrity for confirmed write flows.</w:t>
      </w:r>
    </w:p>
    <w:p>
      <w:r>
        <w:t xml:space="preserve">3. Prisma accelerates schema evolution in early product stages.</w:t>
      </w:r>
    </w:p>
    <w:p/>
    <w:p>
      <w:r>
        <w:t xml:space="preserve">Alternatives considered:</w:t>
      </w:r>
    </w:p>
    <w:p>
      <w:r>
        <w:t xml:space="preserve">1. NoSQL-first:</w:t>
      </w:r>
    </w:p>
    <w:p>
      <w:r>
        <w:t xml:space="preserve">   - less fit for relational queries and audit-heavy workflows.</w:t>
      </w:r>
    </w:p>
    <w:p/>
    <w:p>
      <w:r>
        <w:t xml:space="preserve">Tradeoff:</w:t>
      </w:r>
    </w:p>
    <w:p>
      <w:r>
        <w:t xml:space="preserve">1. Prisma abstraction can hide SQL optimizations; acceptable for MVP scale.</w:t>
      </w:r>
    </w:p>
    <w:p/>
    <w:p>
      <w:pPr>
        <w:pStyle w:val="Heading2"/>
      </w:pPr>
      <w:r>
        <w:t xml:space="preserve">4) Async Work: Redis + BullMQ</w:t>
      </w:r>
    </w:p>
    <w:p>
      <w:r>
        <w:t xml:space="preserve">Decision:</w:t>
      </w:r>
    </w:p>
    <w:p>
      <w:r>
        <w:t xml:space="preserve">1. Use Redis-backed queue workers for reminders/retries/sync jobs.</w:t>
      </w:r>
    </w:p>
    <w:p/>
    <w:p>
      <w:r>
        <w:t xml:space="preserve">Why:</w:t>
      </w:r>
    </w:p>
    <w:p>
      <w:r>
        <w:t xml:space="preserve">1. External providers are latency and rate-limit sensitive.</w:t>
      </w:r>
    </w:p>
    <w:p>
      <w:r>
        <w:t xml:space="preserve">2. Durable retries and delayed jobs are required by design.</w:t>
      </w:r>
    </w:p>
    <w:p>
      <w:r>
        <w:t xml:space="preserve">3. Clear pattern for dead-letter handling and worker isolation.</w:t>
      </w:r>
    </w:p>
    <w:p/>
    <w:p>
      <w:r>
        <w:t xml:space="preserve">Tradeoff:</w:t>
      </w:r>
    </w:p>
    <w:p>
      <w:r>
        <w:t xml:space="preserve">1. Adds operational components (Redis + worker management).</w:t>
      </w:r>
    </w:p>
    <w:p/>
    <w:p>
      <w:pPr>
        <w:pStyle w:val="Heading2"/>
      </w:pPr>
      <w:r>
        <w:t xml:space="preserve">5) Mobile: Android-First (Kotlin + Jetpack Compose)</w:t>
      </w:r>
    </w:p>
    <w:p>
      <w:r>
        <w:t xml:space="preserve">Decision:</w:t>
      </w:r>
    </w:p>
    <w:p>
      <w:r>
        <w:t xml:space="preserve">1. Prioritize Android native MVP implementation.</w:t>
      </w:r>
    </w:p>
    <w:p/>
    <w:p>
      <w:r>
        <w:t xml:space="preserve">Why:</w:t>
      </w:r>
    </w:p>
    <w:p>
      <w:r>
        <w:t xml:space="preserve">1. Reduces complexity vs launching two platforms at once.</w:t>
      </w:r>
    </w:p>
    <w:p>
      <w:r>
        <w:t xml:space="preserve">2. Faster feedback loop for voice UX and daily coordination flows.</w:t>
      </w:r>
    </w:p>
    <w:p>
      <w:r>
        <w:t xml:space="preserve">3. Native APIs provide solid voice/input and local persistence support.</w:t>
      </w:r>
    </w:p>
    <w:p/>
    <w:p>
      <w:r>
        <w:t xml:space="preserve">Alternatives considered:</w:t>
      </w:r>
    </w:p>
    <w:p>
      <w:r>
        <w:t xml:space="preserve">1. Cross-platform first:</w:t>
      </w:r>
    </w:p>
    <w:p>
      <w:r>
        <w:t xml:space="preserve">   - broader reach, but slower initial stabilization and more integration edge cases.</w:t>
      </w:r>
    </w:p>
    <w:p/>
    <w:p>
      <w:r>
        <w:t xml:space="preserve">Tradeoff:</w:t>
      </w:r>
    </w:p>
    <w:p>
      <w:r>
        <w:t xml:space="preserve">1. iOS reach deferred to later phase.</w:t>
      </w:r>
    </w:p>
    <w:p/>
    <w:p>
      <w:pPr>
        <w:pStyle w:val="Heading2"/>
      </w:pPr>
      <w:r>
        <w:t xml:space="preserve">6) AI Provider Strategy: OpenAI Primary, Gemini Fallback</w:t>
      </w:r>
    </w:p>
    <w:p>
      <w:r>
        <w:t xml:space="preserve">Decision:</w:t>
      </w:r>
    </w:p>
    <w:p>
      <w:r>
        <w:t xml:space="preserve">1. Start with one primary model path and a secondary fallback path.</w:t>
      </w:r>
    </w:p>
    <w:p/>
    <w:p>
      <w:r>
        <w:t xml:space="preserve">Why:</w:t>
      </w:r>
    </w:p>
    <w:p>
      <w:r>
        <w:t xml:space="preserve">1. Improves resilience if one provider is degraded.</w:t>
      </w:r>
    </w:p>
    <w:p>
      <w:r>
        <w:t xml:space="preserve">2. Supports cost/quality routing strategies.</w:t>
      </w:r>
    </w:p>
    <w:p>
      <w:r>
        <w:t xml:space="preserve">3. Avoids hard lock-in to a single provider.</w:t>
      </w:r>
    </w:p>
    <w:p/>
    <w:p>
      <w:r>
        <w:t xml:space="preserve">Tradeoff:</w:t>
      </w:r>
    </w:p>
    <w:p>
      <w:r>
        <w:t xml:space="preserve">1. Additional routing complexity and testing surface.</w:t>
      </w:r>
    </w:p>
    <w:p/>
    <w:p>
      <w:pPr>
        <w:pStyle w:val="Heading2"/>
      </w:pPr>
      <w:r>
        <w:t xml:space="preserve">7) Calendar Provider Rollout: Google First</w:t>
      </w:r>
    </w:p>
    <w:p>
      <w:r>
        <w:t xml:space="preserve">Decision:</w:t>
      </w:r>
    </w:p>
    <w:p>
      <w:r>
        <w:t xml:space="preserve">1. Integrate one provider fully before expanding to others.</w:t>
      </w:r>
    </w:p>
    <w:p/>
    <w:p>
      <w:r>
        <w:t xml:space="preserve">Why:</w:t>
      </w:r>
    </w:p>
    <w:p>
      <w:r>
        <w:t xml:space="preserve">1. Reduces integration and support complexity in MVP.</w:t>
      </w:r>
    </w:p>
    <w:p>
      <w:r>
        <w:t xml:space="preserve">2. Enables faster hardening of end-to-end mutation/sync patterns.</w:t>
      </w:r>
    </w:p>
    <w:p/>
    <w:p>
      <w:r>
        <w:t xml:space="preserve">Tradeoff:</w:t>
      </w:r>
    </w:p>
    <w:p>
      <w:r>
        <w:t xml:space="preserve">1. Short-term provider coverage is limited.</w:t>
      </w:r>
    </w:p>
    <w:p/>
    <w:p>
      <w:pPr>
        <w:pStyle w:val="Heading2"/>
      </w:pPr>
      <w:r>
        <w:t xml:space="preserve">8) Platform and Observability</w:t>
      </w:r>
    </w:p>
    <w:p>
      <w:r>
        <w:t xml:space="preserve">Decision:</w:t>
      </w:r>
    </w:p>
    <w:p>
      <w:r>
        <w:t xml:space="preserve">1. Dockerized services + CI checks + OpenTelemetry-style baseline.</w:t>
      </w:r>
    </w:p>
    <w:p/>
    <w:p>
      <w:r>
        <w:t xml:space="preserve">Why:</w:t>
      </w:r>
    </w:p>
    <w:p>
      <w:r>
        <w:t xml:space="preserve">1. Consistent local/staging/prod behavior.</w:t>
      </w:r>
    </w:p>
    <w:p>
      <w:r>
        <w:t xml:space="preserve">2. Faster debugging with traces, metrics, and structured logs.</w:t>
      </w:r>
    </w:p>
    <w:p>
      <w:r>
        <w:t xml:space="preserve">3. Supports quality gates defined in Stage 2.</w:t>
      </w:r>
    </w:p>
    <w:p/>
    <w:p>
      <w:r>
        <w:t xml:space="preserve">Tradeoff:</w:t>
      </w:r>
    </w:p>
    <w:p>
      <w:r>
        <w:t xml:space="preserve">1. More up-front setup work, accepted to reduce production risk.</w:t>
      </w:r>
    </w:p>
    <w:p/>
    <w:p>
      <w:pPr>
        <w:pStyle w:val="Heading2"/>
      </w:pPr>
      <w:r>
        <w:t xml:space="preserve">9) Secrets and Security Posture</w:t>
      </w:r>
    </w:p>
    <w:p>
      <w:r>
        <w:t xml:space="preserve">Decision:</w:t>
      </w:r>
    </w:p>
    <w:p>
      <w:r>
        <w:t xml:space="preserve">1. Centralized secret management; no secrets in client binaries.</w:t>
      </w:r>
    </w:p>
    <w:p/>
    <w:p>
      <w:r>
        <w:t xml:space="preserve">Why:</w:t>
      </w:r>
    </w:p>
    <w:p>
      <w:r>
        <w:t xml:space="preserve">1. API keys and OAuth refresh tokens are high-risk assets.</w:t>
      </w:r>
    </w:p>
    <w:p>
      <w:r>
        <w:t xml:space="preserve">2. Aligns with confirmation/audit trust model and compliance posture.</w:t>
      </w:r>
    </w:p>
    <w:p/>
    <w:p>
      <w:r>
        <w:t xml:space="preserve">Tradeoff:</w:t>
      </w:r>
    </w:p>
    <w:p>
      <w:r>
        <w:t xml:space="preserve">1. Requires secret rotation and access governance process.</w:t>
      </w:r>
    </w:p>
    <w:p/>
    <w:p>
      <w:pPr>
        <w:pStyle w:val="Heading2"/>
      </w:pPr>
      <w:r>
        <w:t xml:space="preserve">10) Why This Stack Is Fit for MVP</w:t>
      </w:r>
    </w:p>
    <w:p>
      <w:r>
        <w:t xml:space="preserve">1. Optimizes for delivery speed without sacrificing safety.</w:t>
      </w:r>
    </w:p>
    <w:p>
      <w:r>
        <w:t xml:space="preserve">2. Matches the product’s core risk profile (mutating personal schedules/tasks).</w:t>
      </w:r>
    </w:p>
    <w:p>
      <w:r>
        <w:t xml:space="preserve">3. Supports gradual scaling and provider expansion with minimal re-architecture.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 Stack Rationale</dc:title>
  <dc:creator>Codex</dc:creator>
  <cp:lastModifiedBy>Codex</cp:lastModifiedBy>
  <dcterms:created xsi:type="dcterms:W3CDTF">2026-02-08T15:02:57Z</dcterms:created>
  <dcterms:modified xsi:type="dcterms:W3CDTF">2026-02-08T15:02:57Z</dcterms:modified>
</cp:coreProperties>
</file>