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Times New Roman" w:hAnsi="Times New Roman"/>
          <w:b/>
          <w:sz w:val="32"/>
        </w:rPr>
        <w:t>MULTI-EXAM PREPARATION AND RESOURCE EXCHANGE PLATFORM</w:t>
      </w:r>
    </w:p>
    <w:p>
      <w:pPr>
        <w:spacing w:after="720"/>
        <w:jc w:val="center"/>
      </w:pPr>
      <w:r>
        <w:rPr>
          <w:rFonts w:ascii="Times New Roman" w:hAnsi="Times New Roman"/>
          <w:b/>
          <w:sz w:val="24"/>
        </w:rPr>
        <w:t>23CS54C – MODERN WEB TECHNOLOGIES</w:t>
      </w:r>
    </w:p>
    <w:p>
      <w:pPr>
        <w:spacing w:after="320"/>
        <w:jc w:val="center"/>
      </w:pPr>
      <w:r>
        <w:rPr>
          <w:rFonts w:ascii="Times New Roman" w:hAnsi="Times New Roman"/>
          <w:b/>
          <w:i/>
          <w:sz w:val="24"/>
        </w:rPr>
        <w:t>Submitted by</w:t>
      </w:r>
    </w:p>
    <w:p>
      <w:pPr>
        <w:spacing w:after="800"/>
        <w:jc w:val="center"/>
      </w:pPr>
      <w:r>
        <w:rPr>
          <w:rFonts w:ascii="Times New Roman" w:hAnsi="Times New Roman"/>
          <w:b/>
          <w:sz w:val="24"/>
        </w:rPr>
        <w:t>HARENI T                       2403957610422005</w:t>
      </w:r>
    </w:p>
    <w:p>
      <w:pPr>
        <w:spacing w:before="320" w:after="480"/>
        <w:jc w:val="center"/>
      </w:pPr>
      <w:r>
        <w:rPr>
          <w:rFonts w:ascii="Times New Roman" w:hAnsi="Times New Roman"/>
          <w:i/>
          <w:sz w:val="24"/>
        </w:rPr>
        <w:t>In partial fulfillment for the award of the degree</w:t>
        <w:br/>
        <w:t>of</w:t>
        <w:br/>
      </w:r>
      <w:r>
        <w:rPr>
          <w:rFonts w:ascii="Times New Roman" w:hAnsi="Times New Roman"/>
          <w:b/>
          <w:sz w:val="24"/>
        </w:rPr>
        <w:t>BACHELOR OF ENGINEERING</w:t>
        <w:br/>
        <w:t>in</w:t>
        <w:br/>
        <w:t>COMPUTER SCIENCE AND ENGINEERING</w:t>
      </w:r>
    </w:p>
    <w:p>
      <w:pPr>
        <w:spacing w:before="280" w:after="400"/>
        <w:jc w:val="center"/>
      </w:pPr>
      <w:r>
        <w:drawing>
          <wp:inline xmlns:a="http://schemas.openxmlformats.org/drawingml/2006/main" xmlns:pic="http://schemas.openxmlformats.org/drawingml/2006/picture">
            <wp:extent cx="1263535" cy="13716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263535" cy="1371600"/>
                    </a:xfrm>
                    <a:prstGeom prst="rect"/>
                  </pic:spPr>
                </pic:pic>
              </a:graphicData>
            </a:graphic>
          </wp:inline>
        </w:drawing>
      </w:r>
    </w:p>
    <w:p>
      <w:pPr>
        <w:spacing w:before="320" w:after="400"/>
        <w:jc w:val="center"/>
      </w:pPr>
      <w:r>
        <w:rPr>
          <w:rFonts w:ascii="Times New Roman" w:hAnsi="Times New Roman"/>
          <w:b/>
          <w:sz w:val="26"/>
        </w:rPr>
        <w:t>NATIONAL ENGINEERING COLLEGE</w:t>
        <w:br/>
      </w:r>
      <w:r>
        <w:rPr>
          <w:rFonts w:ascii="Times New Roman" w:hAnsi="Times New Roman"/>
          <w:b/>
          <w:sz w:val="24"/>
        </w:rPr>
        <w:t>(An Autonomous Institution affiliated to Anna University, Chennai)</w:t>
        <w:br/>
        <w:t>K.R.NAGAR, KOVILPATTI – 628503</w:t>
        <w:br/>
        <w:br/>
        <w:t>OCTOBER - 2026</w:t>
      </w:r>
    </w:p>
    <w:p>
      <w:pPr>
        <w:sectPr>
          <w:pgSz w:w="11909" w:h="16834"/>
          <w:pgMar w:top="1440" w:right="1440" w:bottom="1440" w:left="1800" w:header="720" w:footer="720" w:gutter="0"/>
          <w:cols w:space="720"/>
          <w:titlePg/>
          <w:docGrid w:linePitch="360"/>
        </w:sectPr>
      </w:pPr>
    </w:p>
    <w:p>
      <w:pPr>
        <w:spacing w:before="200" w:after="200"/>
        <w:jc w:val="center"/>
      </w:pPr>
      <w:r>
        <w:drawing>
          <wp:inline xmlns:a="http://schemas.openxmlformats.org/drawingml/2006/main" xmlns:pic="http://schemas.openxmlformats.org/drawingml/2006/picture">
            <wp:extent cx="1010828" cy="1097280"/>
            <wp:docPr id="2" name="Picture 2"/>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10828" cy="1097280"/>
                    </a:xfrm>
                    <a:prstGeom prst="rect"/>
                  </pic:spPr>
                </pic:pic>
              </a:graphicData>
            </a:graphic>
          </wp:inline>
        </w:drawing>
      </w:r>
    </w:p>
    <w:p>
      <w:pPr>
        <w:spacing w:before="160" w:after="80"/>
        <w:jc w:val="center"/>
      </w:pPr>
      <w:r>
        <w:rPr>
          <w:rFonts w:ascii="Times New Roman" w:hAnsi="Times New Roman"/>
          <w:b/>
          <w:sz w:val="26"/>
        </w:rPr>
        <w:t>NATIONAL ENGINEERING COLLEGE</w:t>
        <w:br/>
      </w:r>
      <w:r>
        <w:rPr>
          <w:rFonts w:ascii="Times New Roman" w:hAnsi="Times New Roman"/>
          <w:b/>
          <w:sz w:val="22"/>
        </w:rPr>
        <w:t>(An Autonomous Institution affiliated to Anna University, Chennai)</w:t>
        <w:br/>
        <w:t>K.R.NAGAR, KOVILPATTI – 628503</w:t>
      </w:r>
    </w:p>
    <w:p>
      <w:pPr>
        <w:spacing w:before="640" w:after="480"/>
        <w:jc w:val="center"/>
      </w:pPr>
      <w:r>
        <w:rPr>
          <w:rFonts w:ascii="Times New Roman" w:hAnsi="Times New Roman"/>
          <w:b/>
          <w:sz w:val="26"/>
        </w:rPr>
        <w:t>BONAFIDE CERTIFICATE</w:t>
      </w:r>
    </w:p>
    <w:p>
      <w:pPr>
        <w:spacing w:line="336" w:lineRule="auto" w:after="960"/>
        <w:ind w:firstLine="720"/>
        <w:jc w:val="both"/>
      </w:pPr>
      <w:r>
        <w:rPr>
          <w:rFonts w:ascii="Times New Roman" w:hAnsi="Times New Roman"/>
          <w:sz w:val="24"/>
        </w:rPr>
        <w:t>This is to certify that this project report, “</w:t>
      </w:r>
      <w:r>
        <w:rPr>
          <w:rFonts w:ascii="Times New Roman" w:hAnsi="Times New Roman"/>
          <w:b/>
          <w:sz w:val="24"/>
        </w:rPr>
        <w:t>Multi-Exam Preparation and Resource Exchange Platform</w:t>
      </w:r>
      <w:r>
        <w:rPr>
          <w:rFonts w:ascii="Times New Roman" w:hAnsi="Times New Roman"/>
          <w:sz w:val="24"/>
        </w:rPr>
        <w:t xml:space="preserve">”, is the bonafide work of </w:t>
      </w:r>
      <w:r>
        <w:rPr>
          <w:rFonts w:ascii="Times New Roman" w:hAnsi="Times New Roman"/>
          <w:b/>
          <w:sz w:val="24"/>
        </w:rPr>
        <w:t>HARENI T (2403957610422005)</w:t>
      </w:r>
      <w:r>
        <w:rPr>
          <w:rFonts w:ascii="Times New Roman" w:hAnsi="Times New Roman"/>
          <w:sz w:val="24"/>
        </w:rPr>
        <w:t xml:space="preserve"> who carried out the project work under my supervision.</w:t>
      </w:r>
    </w:p>
    <w:p>
      <w:pPr>
        <w:spacing w:after="960"/>
        <w:jc w:val="right"/>
      </w:pPr>
      <w:r>
        <w:rPr>
          <w:rFonts w:ascii="Times New Roman" w:hAnsi="Times New Roman"/>
          <w:b/>
          <w:sz w:val="24"/>
        </w:rPr>
        <w:t>Course Instructor/Guide</w:t>
      </w:r>
    </w:p>
    <w:p>
      <w:pPr>
        <w:spacing w:line="288" w:lineRule="auto" w:after="800"/>
        <w:jc w:val="both"/>
      </w:pPr>
      <w:r>
        <w:rPr>
          <w:rFonts w:ascii="Times New Roman" w:hAnsi="Times New Roman"/>
          <w:sz w:val="22"/>
        </w:rPr>
        <w:t>Submitted to the 23CS54C – MODERN WEB TECHNOLOGIES Viva-Voce examination held at National Engineering College, K.R.Nagar, Kovilpatti on ___________________</w:t>
      </w:r>
    </w:p>
    <w:tbl>
      <w:tblPr>
        <w:tblW w:type="auto" w:w="0"/>
        <w:jc w:val="center"/>
        <w:tblLook w:firstColumn="1" w:firstRow="1" w:lastColumn="0" w:lastRow="0" w:noHBand="0" w:noVBand="1" w:val="04A0"/>
        <w:tblBorders>
          <w:top w:val="single" w:sz="6" w:space="0" w:color="FFFFFF"/>
          <w:bottom w:val="single" w:sz="6" w:space="0" w:color="FFFFFF"/>
          <w:insideH w:val="single" w:sz="4" w:space="0" w:color="FFFFFF"/>
          <w:insideV w:val="none"/>
          <w:left w:val="none"/>
          <w:right w:val="none"/>
        </w:tblBorders>
      </w:tblPr>
      <w:tblGrid>
        <w:gridCol w:w="4334"/>
        <w:gridCol w:w="4334"/>
      </w:tblGrid>
      <w:tr>
        <w:tc>
          <w:tcPr>
            <w:tcW w:type="dxa" w:w="4320"/>
          </w:tcPr>
          <w:p>
            <w:pPr>
              <w:jc w:val="left"/>
            </w:pPr>
            <w:r>
              <w:rPr>
                <w:rFonts w:ascii="Times New Roman" w:hAnsi="Times New Roman"/>
                <w:b/>
                <w:sz w:val="24"/>
              </w:rPr>
              <w:t>_____________________</w:t>
              <w:br/>
              <w:t>Internal Examiner</w:t>
            </w:r>
          </w:p>
        </w:tc>
        <w:tc>
          <w:tcPr>
            <w:tcW w:type="dxa" w:w="4320"/>
          </w:tcPr>
          <w:p>
            <w:pPr>
              <w:jc w:val="right"/>
            </w:pPr>
            <w:r>
              <w:rPr>
                <w:rFonts w:ascii="Times New Roman" w:hAnsi="Times New Roman"/>
                <w:b/>
                <w:sz w:val="24"/>
              </w:rPr>
              <w:t>_____________________</w:t>
              <w:br/>
              <w:t>Co Examiner</w:t>
            </w:r>
          </w:p>
        </w:tc>
      </w:tr>
    </w:tbl>
    <w:p>
      <w:r>
        <w:br w:type="page"/>
      </w:r>
    </w:p>
    <w:p>
      <w:pPr>
        <w:spacing w:before="280" w:after="360"/>
        <w:jc w:val="center"/>
      </w:pPr>
      <w:r>
        <w:rPr>
          <w:rFonts w:ascii="Times New Roman" w:hAnsi="Times New Roman"/>
          <w:b/>
          <w:sz w:val="28"/>
        </w:rPr>
        <w:t>TABLE OF CONTENTS</w:t>
      </w:r>
    </w:p>
    <w:tbl>
      <w:tblPr>
        <w:tblW w:type="auto" w:w="0"/>
        <w:jc w:val="center"/>
        <w:tblLook w:firstColumn="1" w:firstRow="1" w:lastColumn="0" w:lastRow="0" w:noHBand="0" w:noVBand="1" w:val="04A0"/>
        <w:tblBorders>
          <w:top w:val="single" w:sz="6" w:space="0" w:color="D0D0D0"/>
          <w:bottom w:val="single" w:sz="6" w:space="0" w:color="D0D0D0"/>
          <w:insideH w:val="single" w:sz="4" w:space="0" w:color="D0D0D0"/>
          <w:insideV w:val="none"/>
          <w:left w:val="none"/>
          <w:right w:val="none"/>
        </w:tblBorders>
      </w:tblPr>
      <w:tblGrid>
        <w:gridCol w:w="2890"/>
        <w:gridCol w:w="2890"/>
        <w:gridCol w:w="2890"/>
      </w:tblGrid>
      <w:tr>
        <w:tc>
          <w:tcPr>
            <w:tcW w:type="dxa" w:w="1728"/>
            <w:shd w:fill="EAEAEA"/>
            <w:tcMar>
              <w:top w:w="70" w:type="dxa"/>
              <w:bottom w:w="70" w:type="dxa"/>
              <w:left w:w="100" w:type="dxa"/>
              <w:right w:w="100" w:type="dxa"/>
            </w:tcMar>
          </w:tcPr>
          <w:p>
            <w:pPr>
              <w:jc w:val="center"/>
            </w:pPr>
            <w:r>
              <w:rPr>
                <w:rFonts w:ascii="Times New Roman" w:hAnsi="Times New Roman"/>
                <w:b/>
                <w:color w:val="000000"/>
                <w:sz w:val="22"/>
              </w:rPr>
              <w:t>CH NO</w:t>
            </w:r>
          </w:p>
        </w:tc>
        <w:tc>
          <w:tcPr>
            <w:tcW w:type="dxa" w:w="6048"/>
            <w:shd w:fill="EAEAEA"/>
            <w:tcMar>
              <w:top w:w="70" w:type="dxa"/>
              <w:bottom w:w="70" w:type="dxa"/>
              <w:left w:w="100" w:type="dxa"/>
              <w:right w:w="100" w:type="dxa"/>
            </w:tcMar>
          </w:tcPr>
          <w:p>
            <w:pPr>
              <w:jc w:val="left"/>
            </w:pPr>
            <w:r>
              <w:rPr>
                <w:rFonts w:ascii="Times New Roman" w:hAnsi="Times New Roman"/>
                <w:b/>
                <w:color w:val="000000"/>
                <w:sz w:val="22"/>
              </w:rPr>
              <w:t>TITLE</w:t>
            </w:r>
          </w:p>
        </w:tc>
        <w:tc>
          <w:tcPr>
            <w:tcW w:type="dxa" w:w="1440"/>
            <w:shd w:fill="EAEAEA"/>
            <w:tcMar>
              <w:top w:w="70" w:type="dxa"/>
              <w:bottom w:w="70" w:type="dxa"/>
              <w:left w:w="100" w:type="dxa"/>
              <w:right w:w="100" w:type="dxa"/>
            </w:tcMar>
          </w:tcPr>
          <w:p>
            <w:pPr>
              <w:jc w:val="center"/>
            </w:pPr>
            <w:r>
              <w:rPr>
                <w:rFonts w:ascii="Times New Roman" w:hAnsi="Times New Roman"/>
                <w:b/>
                <w:color w:val="000000"/>
                <w:sz w:val="22"/>
              </w:rPr>
              <w:t>PAGE NO</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1</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INTRODUCTION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3</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2</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OBJECTIVES</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5</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3</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DESCRIPTION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6</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4</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CLASS DIAGRAM</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8</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5</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TABLE STRUCTURES</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9</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6</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ER DIAGRAM</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20</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7</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TECH STACK</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21</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8</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MODULES</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23</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9</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CONCLUSION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65</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10</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REFERENCE</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66</w:t>
            </w:r>
          </w:p>
        </w:tc>
      </w:tr>
    </w:tbl>
    <w:p>
      <w:r>
        <w:br w:type="page"/>
      </w:r>
    </w:p>
    <w:p>
      <w:pPr>
        <w:spacing w:before="320" w:after="200" w:line="276" w:lineRule="auto"/>
        <w:jc w:val="center"/>
      </w:pPr>
      <w:r>
        <w:rPr>
          <w:rFonts w:ascii="Times New Roman" w:hAnsi="Times New Roman"/>
          <w:b/>
          <w:color w:val="000000"/>
          <w:sz w:val="32"/>
        </w:rPr>
        <w:t>CHAPTER 1</w:t>
        <w:br/>
        <w:t>INTRODUCTION</w:t>
      </w:r>
    </w:p>
    <w:p>
      <w:pPr>
        <w:spacing w:after="100" w:before="0" w:line="276" w:lineRule="auto"/>
        <w:ind w:firstLine="720"/>
        <w:jc w:val="both"/>
      </w:pPr>
      <w:r>
        <w:rPr>
          <w:rFonts w:ascii="Times New Roman" w:hAnsi="Times New Roman"/>
          <w:color w:val="000000"/>
          <w:sz w:val="24"/>
        </w:rPr>
        <w:t>The Multi-Exam Preparation and Resource Exchange Platform (PrepCycle) is a full-stack, enterprise-grade web application developed to modernize and consolidate competitive examination preparation and peer-to-peer educational resource circulation. Aspirants preparing for national assessments—such as GATE CSE, UPSC Civil Services, JEE Advanced, NEET, and CAT—frequently encounter fragmented study roadmaps, unverified syllabus coverage, isolated preparation routines, and prohibitive reference book costs. PrepCycle eliminates these friction points by delivering an integrated digital ecosystem connecting students, academic mentors, delivery partners, and administrators on a unified platform.</w:t>
      </w:r>
    </w:p>
    <w:p>
      <w:pPr>
        <w:spacing w:after="100" w:before="0" w:line="276" w:lineRule="auto"/>
        <w:ind w:firstLine="720"/>
        <w:jc w:val="both"/>
      </w:pPr>
      <w:r>
        <w:rPr>
          <w:rFonts w:ascii="Times New Roman" w:hAnsi="Times New Roman"/>
          <w:color w:val="000000"/>
          <w:sz w:val="24"/>
        </w:rPr>
        <w:t>The platform provides role-specific workspaces tailored to the operational requirements of each stakeholder: Student, Academic Mentor, Delivery Partner, and System Administrator. Students can enroll in official national exam catalogs, explore weightage-ranked syllabus roadmaps (categorized into High, Medium, and Low weightage tiers while retaining complete curriculum coverage), mark granular topic completion states, track daily study streaks and calendar activity heatmaps, attempt timed computer-based mock tests, generate dynamic quizzes, and revise with interactive 3D flashcards. Concurrently, the platform fosters a circular economy through a peer-to-peer marketplace for pre-owned textbooks, enabling students to buy, sell, or donate physical study materials.</w:t>
      </w:r>
    </w:p>
    <w:p>
      <w:pPr>
        <w:spacing w:after="100" w:before="0" w:line="276" w:lineRule="auto"/>
        <w:ind w:firstLine="720"/>
        <w:jc w:val="both"/>
      </w:pPr>
      <w:r>
        <w:rPr>
          <w:rFonts w:ascii="Times New Roman" w:hAnsi="Times New Roman"/>
          <w:color w:val="000000"/>
          <w:sz w:val="24"/>
        </w:rPr>
        <w:t>To ensure continuous academic supervision and student accountability, the application features an automated mentorship monitoring subsystem. Whenever an enrolled student completes a computer-based mock test, logs in for daily revision, or finishes an entire subject syllabus, automated alerts are dispatched directly to the assigned mentor's WhatsApp, SMS, and email channels without requiring administrative mediation. Mentors evaluate longitudinal progress curves and performance trends, identifying lagging students and providing timely personalized motivation. Doorstep deliveries and donation pickups are managed through a dedicated logistics partner console featuring 10-second real-time tracking updates and mandatory 4-digit OTP verification.</w:t>
      </w:r>
    </w:p>
    <w:p>
      <w:pPr>
        <w:spacing w:after="100" w:before="0" w:line="276" w:lineRule="auto"/>
        <w:ind w:firstLine="720"/>
        <w:jc w:val="both"/>
      </w:pPr>
      <w:r>
        <w:rPr>
          <w:rFonts w:ascii="Times New Roman" w:hAnsi="Times New Roman"/>
          <w:color w:val="000000"/>
          <w:sz w:val="24"/>
        </w:rPr>
        <w:t>The application is engineered using modern web technologies: a React.js single-page frontend bundled with Vite, an Express.js and Node.js REST API service layer, and a scalable MongoDB NoSQL database managed via Mongoose ODM. Secure authentication is enforced through JSON Web Tokens (JWT) and Google OAuth 2.0 single sign-on. Universal accessibility settings—including full color palette customization, light/dark modes, font scaling, and multi-language support (English, Tamil, Hindi)—ensure an inclusive experience for all users. The report is organized as follows: Chapter 2 states the objectives, Chapter 3 details the system description and role permissions, Chapters 4 through 6 present the class diagram, collection structures, and ER diagram, Chapter 7 details the tech stack and architectural design, Chapter 8 comprehensively documents all project modules and role interfaces, Chapter 9 concludes the study, and Chapter 10 lists academic references.</w:t>
      </w:r>
    </w:p>
    <w:p>
      <w:r>
        <w:br w:type="page"/>
      </w:r>
    </w:p>
    <w:p>
      <w:pPr>
        <w:spacing w:before="320" w:after="200" w:line="276" w:lineRule="auto"/>
        <w:jc w:val="center"/>
      </w:pPr>
      <w:r>
        <w:rPr>
          <w:rFonts w:ascii="Times New Roman" w:hAnsi="Times New Roman"/>
          <w:b/>
          <w:color w:val="000000"/>
          <w:sz w:val="32"/>
        </w:rPr>
        <w:t>CHAPTER 2</w:t>
        <w:br/>
        <w:t>OBJECTIVES</w:t>
      </w:r>
    </w:p>
    <w:p>
      <w:pPr>
        <w:pStyle w:val="ListBullet"/>
        <w:spacing w:after="60" w:before="20" w:line="276" w:lineRule="auto"/>
        <w:ind w:left="720" w:hanging="360"/>
        <w:jc w:val="both"/>
      </w:pPr>
      <w:r>
        <w:rPr>
          <w:rFonts w:ascii="Times New Roman" w:hAnsi="Times New Roman"/>
          <w:b/>
          <w:color w:val="000000"/>
          <w:sz w:val="24"/>
        </w:rPr>
        <w:t xml:space="preserve">• Role-Based Security &amp; OAuth Authentication: </w:t>
      </w:r>
      <w:r>
        <w:rPr>
          <w:rFonts w:ascii="Times New Roman" w:hAnsi="Times New Roman"/>
          <w:color w:val="000000"/>
          <w:sz w:val="24"/>
        </w:rPr>
        <w:t>To provide secure role-based authentication and authorization using JSON Web Tokens (JWT) and bcrypt-hashed credentials, supplemented with Google OAuth 2.0 single sign-on across Student, Academic Mentor, Delivery Partner, and Administrator accounts.</w:t>
      </w:r>
    </w:p>
    <w:p>
      <w:pPr>
        <w:pStyle w:val="ListBullet"/>
        <w:spacing w:after="60" w:before="20" w:line="276" w:lineRule="auto"/>
        <w:ind w:left="720" w:hanging="360"/>
        <w:jc w:val="both"/>
      </w:pPr>
      <w:r>
        <w:rPr>
          <w:rFonts w:ascii="Times New Roman" w:hAnsi="Times New Roman"/>
          <w:b/>
          <w:color w:val="000000"/>
          <w:sz w:val="24"/>
        </w:rPr>
        <w:t xml:space="preserve">• Centralized NoSQL Document Persistence: </w:t>
      </w:r>
      <w:r>
        <w:rPr>
          <w:rFonts w:ascii="Times New Roman" w:hAnsi="Times New Roman"/>
          <w:color w:val="000000"/>
          <w:sz w:val="24"/>
        </w:rPr>
        <w:t>To maintain a normalized MongoDB database managing collections for users, examination catalogs, topic progression, mock test attempts, commerce products, orders, communication logs, discussions, and notifications.</w:t>
      </w:r>
    </w:p>
    <w:p>
      <w:pPr>
        <w:pStyle w:val="ListBullet"/>
        <w:spacing w:after="60" w:before="20" w:line="276" w:lineRule="auto"/>
        <w:ind w:left="720" w:hanging="360"/>
        <w:jc w:val="both"/>
      </w:pPr>
      <w:r>
        <w:rPr>
          <w:rFonts w:ascii="Times New Roman" w:hAnsi="Times New Roman"/>
          <w:b/>
          <w:color w:val="000000"/>
          <w:sz w:val="24"/>
        </w:rPr>
        <w:t xml:space="preserve">• Weightage-Based Syllabus Roadmaps: </w:t>
      </w:r>
      <w:r>
        <w:rPr>
          <w:rFonts w:ascii="Times New Roman" w:hAnsi="Times New Roman"/>
          <w:color w:val="000000"/>
          <w:sz w:val="24"/>
        </w:rPr>
        <w:t>To organize complex technical syllabi into hierarchical subjects, chapters, and topics ordered by weightage (High, Medium, Low) while preserving every topic to ensure structured preparation without content omission.</w:t>
      </w:r>
    </w:p>
    <w:p>
      <w:pPr>
        <w:pStyle w:val="ListBullet"/>
        <w:spacing w:after="60" w:before="20" w:line="276" w:lineRule="auto"/>
        <w:ind w:left="720" w:hanging="360"/>
        <w:jc w:val="both"/>
      </w:pPr>
      <w:r>
        <w:rPr>
          <w:rFonts w:ascii="Times New Roman" w:hAnsi="Times New Roman"/>
          <w:b/>
          <w:color w:val="000000"/>
          <w:sz w:val="24"/>
        </w:rPr>
        <w:t xml:space="preserve">• Automated Mentor Progress Notifications: </w:t>
      </w:r>
      <w:r>
        <w:rPr>
          <w:rFonts w:ascii="Times New Roman" w:hAnsi="Times New Roman"/>
          <w:color w:val="000000"/>
          <w:sz w:val="24"/>
        </w:rPr>
        <w:t>To automate academic mentor alerts via WhatsApp click-to-chat links, SMS messages, and emails whenever assigned students complete a mock test, log in for daily study, or finish an entire subject syllabus.</w:t>
      </w:r>
    </w:p>
    <w:p>
      <w:pPr>
        <w:pStyle w:val="ListBullet"/>
        <w:spacing w:after="60" w:before="20" w:line="276" w:lineRule="auto"/>
        <w:ind w:left="720" w:hanging="360"/>
        <w:jc w:val="both"/>
      </w:pPr>
      <w:r>
        <w:rPr>
          <w:rFonts w:ascii="Times New Roman" w:hAnsi="Times New Roman"/>
          <w:b/>
          <w:color w:val="000000"/>
          <w:sz w:val="24"/>
        </w:rPr>
        <w:t xml:space="preserve">• Computer-Based Testing &amp; Longitudinal Analytics: </w:t>
      </w:r>
      <w:r>
        <w:rPr>
          <w:rFonts w:ascii="Times New Roman" w:hAnsi="Times New Roman"/>
          <w:color w:val="000000"/>
          <w:sz w:val="24"/>
        </w:rPr>
        <w:t>To provide timed computer-based mock evaluations, compute daily study streaks and calendar activity heatmaps, and maintain longitudinal performance trajectories over weekly, monthly, and yearly intervals.</w:t>
      </w:r>
    </w:p>
    <w:p>
      <w:pPr>
        <w:pStyle w:val="ListBullet"/>
        <w:spacing w:after="60" w:before="20" w:line="276" w:lineRule="auto"/>
        <w:ind w:left="720" w:hanging="360"/>
        <w:jc w:val="both"/>
      </w:pPr>
      <w:r>
        <w:rPr>
          <w:rFonts w:ascii="Times New Roman" w:hAnsi="Times New Roman"/>
          <w:b/>
          <w:color w:val="000000"/>
          <w:sz w:val="24"/>
        </w:rPr>
        <w:t xml:space="preserve">• Dynamic Quiz Generation &amp; Interactive Flashcards: </w:t>
      </w:r>
      <w:r>
        <w:rPr>
          <w:rFonts w:ascii="Times New Roman" w:hAnsi="Times New Roman"/>
          <w:color w:val="000000"/>
          <w:sz w:val="24"/>
        </w:rPr>
        <w:t>To generate subject-specific dynamic quizzes with instant scoring and provide interactive revision flashcards with 3D flip animation for rapid formula and concept recall.</w:t>
      </w:r>
    </w:p>
    <w:p>
      <w:pPr>
        <w:pStyle w:val="ListBullet"/>
        <w:spacing w:after="60" w:before="20" w:line="276" w:lineRule="auto"/>
        <w:ind w:left="720" w:hanging="360"/>
        <w:jc w:val="both"/>
      </w:pPr>
      <w:r>
        <w:rPr>
          <w:rFonts w:ascii="Times New Roman" w:hAnsi="Times New Roman"/>
          <w:b/>
          <w:color w:val="000000"/>
          <w:sz w:val="24"/>
        </w:rPr>
        <w:t xml:space="preserve">• Circular Textbook Marketplace &amp; Donations: </w:t>
      </w:r>
      <w:r>
        <w:rPr>
          <w:rFonts w:ascii="Times New Roman" w:hAnsi="Times New Roman"/>
          <w:color w:val="000000"/>
          <w:sz w:val="24"/>
        </w:rPr>
        <w:t>To facilitate peer-to-peer textbook resale, condition grading, price filtering, and 100% free textbook donations to support resource-deprived junior aspirants.</w:t>
      </w:r>
    </w:p>
    <w:p>
      <w:pPr>
        <w:pStyle w:val="ListBullet"/>
        <w:spacing w:after="60" w:before="20" w:line="276" w:lineRule="auto"/>
        <w:ind w:left="720" w:hanging="360"/>
        <w:jc w:val="both"/>
      </w:pPr>
      <w:r>
        <w:rPr>
          <w:rFonts w:ascii="Times New Roman" w:hAnsi="Times New Roman"/>
          <w:b/>
          <w:color w:val="000000"/>
          <w:sz w:val="24"/>
        </w:rPr>
        <w:t xml:space="preserve">• Doorstep Fulfillment &amp; OTP Verification: </w:t>
      </w:r>
      <w:r>
        <w:rPr>
          <w:rFonts w:ascii="Times New Roman" w:hAnsi="Times New Roman"/>
          <w:color w:val="000000"/>
          <w:sz w:val="24"/>
        </w:rPr>
        <w:t>To streamline physical logistics fulfillment with real-time 10-second polling tracking, status transitions, and mandatory 4-digit OTP verification upon delivery.</w:t>
      </w:r>
    </w:p>
    <w:p>
      <w:pPr>
        <w:pStyle w:val="ListBullet"/>
        <w:spacing w:after="60" w:before="20" w:line="276" w:lineRule="auto"/>
        <w:ind w:left="720" w:hanging="360"/>
        <w:jc w:val="both"/>
      </w:pPr>
      <w:r>
        <w:rPr>
          <w:rFonts w:ascii="Times New Roman" w:hAnsi="Times New Roman"/>
          <w:b/>
          <w:color w:val="000000"/>
          <w:sz w:val="24"/>
        </w:rPr>
        <w:t xml:space="preserve">• Peer Collaboration &amp; Contextual AI Guidance: </w:t>
      </w:r>
      <w:r>
        <w:rPr>
          <w:rFonts w:ascii="Times New Roman" w:hAnsi="Times New Roman"/>
          <w:color w:val="000000"/>
          <w:sz w:val="24"/>
        </w:rPr>
        <w:t>To integrate a student community discussion forum featuring upvoting and solution badges, complemented by a context-aware AI chatbot offering personalized study roadmaps.</w:t>
      </w:r>
    </w:p>
    <w:p>
      <w:pPr>
        <w:pStyle w:val="ListBullet"/>
        <w:spacing w:after="60" w:before="20" w:line="276" w:lineRule="auto"/>
        <w:ind w:left="720" w:hanging="360"/>
        <w:jc w:val="both"/>
      </w:pPr>
      <w:r>
        <w:rPr>
          <w:rFonts w:ascii="Times New Roman" w:hAnsi="Times New Roman"/>
          <w:b/>
          <w:color w:val="000000"/>
          <w:sz w:val="24"/>
        </w:rPr>
        <w:t xml:space="preserve">• Universal UI Customization &amp; Multi-Language Support: </w:t>
      </w:r>
      <w:r>
        <w:rPr>
          <w:rFonts w:ascii="Times New Roman" w:hAnsi="Times New Roman"/>
          <w:color w:val="000000"/>
          <w:sz w:val="24"/>
        </w:rPr>
        <w:t>To provide universal appearance settings allowing users to adjust button colors, text colors, background colors, dark/light themes, font scaling, and multi-language translations (English, Tamil, Hindi).</w:t>
      </w:r>
    </w:p>
    <w:p>
      <w:r>
        <w:br w:type="page"/>
      </w:r>
    </w:p>
    <w:p>
      <w:pPr>
        <w:spacing w:before="320" w:after="200" w:line="276" w:lineRule="auto"/>
        <w:jc w:val="center"/>
      </w:pPr>
      <w:r>
        <w:rPr>
          <w:rFonts w:ascii="Times New Roman" w:hAnsi="Times New Roman"/>
          <w:b/>
          <w:color w:val="000000"/>
          <w:sz w:val="32"/>
        </w:rPr>
        <w:t>CHAPTER 3</w:t>
        <w:br/>
        <w:t>DESCRIPTION</w:t>
      </w:r>
    </w:p>
    <w:p>
      <w:pPr>
        <w:spacing w:after="100" w:before="0" w:line="276" w:lineRule="auto"/>
        <w:ind w:firstLine="720"/>
        <w:jc w:val="both"/>
      </w:pPr>
      <w:r>
        <w:rPr>
          <w:rFonts w:ascii="Times New Roman" w:hAnsi="Times New Roman"/>
          <w:color w:val="000000"/>
          <w:sz w:val="24"/>
        </w:rPr>
        <w:t>The Multi-Exam Preparation and Resource Exchange Platform is a web-based educational management and circular commerce system designed to consolidate competitive examination learning, academic supervision, and physical resource sharing within a unified architecture. The system supports four distinct operational user roles: Student, Academic Mentor, Delivery Partner, and System Administrator, each provided with dedicated access boundaries and functional toolsets.</w:t>
      </w:r>
    </w:p>
    <w:p>
      <w:pPr>
        <w:spacing w:after="100" w:before="0" w:line="276" w:lineRule="auto"/>
        <w:ind w:firstLine="720"/>
        <w:jc w:val="both"/>
      </w:pPr>
      <w:r>
        <w:rPr>
          <w:rFonts w:ascii="Times New Roman" w:hAnsi="Times New Roman"/>
          <w:color w:val="000000"/>
          <w:sz w:val="24"/>
        </w:rPr>
        <w:t>1. Identity and Access Control: Public registration, unified credentials login, Google OAuth 2.0 authentication, and JWT-authenticated API endpoints ensure strict security isolation across all four platform roles without publicly disclosing internal role hierarchies.</w:t>
      </w:r>
    </w:p>
    <w:p>
      <w:pPr>
        <w:spacing w:after="100" w:before="0" w:line="276" w:lineRule="auto"/>
        <w:ind w:firstLine="720"/>
        <w:jc w:val="both"/>
      </w:pPr>
      <w:r>
        <w:rPr>
          <w:rFonts w:ascii="Times New Roman" w:hAnsi="Times New Roman"/>
          <w:color w:val="000000"/>
          <w:sz w:val="24"/>
        </w:rPr>
        <w:t>2. Academic Preparation &amp; Syllabus Exploration: Students access exhaustive catalogs for national exams (GATE CSE, UPSC, JEE, NEET, CAT), interact with weightage-categorized syllabi (High, Medium, Low), record topic progression, maintain daily study streaks, and evaluate readiness through timed mock tests and interactive revision flashcards.</w:t>
      </w:r>
    </w:p>
    <w:p>
      <w:pPr>
        <w:spacing w:after="100" w:before="0" w:line="276" w:lineRule="auto"/>
        <w:ind w:firstLine="720"/>
        <w:jc w:val="both"/>
      </w:pPr>
      <w:r>
        <w:rPr>
          <w:rFonts w:ascii="Times New Roman" w:hAnsi="Times New Roman"/>
          <w:color w:val="000000"/>
          <w:sz w:val="24"/>
        </w:rPr>
        <w:t>3. Automated Mentorship Supervision: Mentors oversee assigned students through longitudinal performance dashboards and receive real-time automated progress alerts across WhatsApp, SMS, and email when tests are submitted, ensuring proactive guidance for lagging learners.</w:t>
      </w:r>
    </w:p>
    <w:p>
      <w:pPr>
        <w:spacing w:after="100" w:before="0" w:line="276" w:lineRule="auto"/>
        <w:ind w:firstLine="720"/>
        <w:jc w:val="both"/>
      </w:pPr>
      <w:r>
        <w:rPr>
          <w:rFonts w:ascii="Times New Roman" w:hAnsi="Times New Roman"/>
          <w:color w:val="000000"/>
          <w:sz w:val="24"/>
        </w:rPr>
        <w:t>4. Circular Commerce &amp; Book Circulation: Peer-to-peer textbook resale, condition grading (New, Like New, Good, Fair), free donation claiming, multi-tier checkout (COD, UPI, Card), and structured return workflows allow students to exchange materials affordably.</w:t>
      </w:r>
    </w:p>
    <w:p>
      <w:pPr>
        <w:spacing w:after="100" w:before="0" w:line="276" w:lineRule="auto"/>
        <w:ind w:firstLine="720"/>
        <w:jc w:val="both"/>
      </w:pPr>
      <w:r>
        <w:rPr>
          <w:rFonts w:ascii="Times New Roman" w:hAnsi="Times New Roman"/>
          <w:color w:val="000000"/>
          <w:sz w:val="24"/>
        </w:rPr>
        <w:t>5. Logistics Fulfillment &amp; Secure OTP Verification: Delivery personnel manage assigned consignments, advance order states, and confirm physical deliveries or donation pickups using mandatory 4-digit OTP verification, synchronized with 10-second client tracking polling.</w:t>
      </w:r>
    </w:p>
    <w:p>
      <w:pPr>
        <w:spacing w:after="100" w:before="0" w:line="276" w:lineRule="auto"/>
        <w:ind w:firstLine="720"/>
        <w:jc w:val="both"/>
      </w:pPr>
      <w:r>
        <w:rPr>
          <w:rFonts w:ascii="Times New Roman" w:hAnsi="Times New Roman"/>
          <w:color w:val="000000"/>
          <w:sz w:val="24"/>
        </w:rPr>
        <w:t>6. System Governance &amp; Multi-Channel Communication: Administrators monitor platform telemetry, allocate mentors, curate examination syllabi, and dispatch verified notifications via an integrated multi-channel communication engine.</w:t>
      </w:r>
    </w:p>
    <w:p>
      <w:pPr>
        <w:spacing w:before="240" w:after="80" w:line="276" w:lineRule="auto"/>
        <w:jc w:val="left"/>
      </w:pPr>
      <w:r>
        <w:rPr>
          <w:rFonts w:ascii="Times New Roman" w:hAnsi="Times New Roman"/>
          <w:b/>
          <w:color w:val="000000"/>
          <w:sz w:val="26"/>
        </w:rPr>
        <w:t>3.1 Access Permission of Roles</w:t>
      </w:r>
    </w:p>
    <w:p>
      <w:pPr>
        <w:spacing w:after="100" w:before="0" w:line="276" w:lineRule="auto"/>
        <w:ind w:firstLine="720"/>
        <w:jc w:val="both"/>
      </w:pPr>
      <w:r>
        <w:rPr>
          <w:rFonts w:ascii="Times New Roman" w:hAnsi="Times New Roman"/>
          <w:color w:val="000000"/>
          <w:sz w:val="24"/>
        </w:rPr>
        <w:t>To ensure robust data isolation, integrity, and security, the application enforces strict Role-Based Access Control (RBAC). JSON Web Tokens carry authenticated user role claims that are validated on every API request via authentication middleware and client-side ProtectedRoute route guards. The diagram below details the comprehensive access permission matrix across all four platform roles:</w:t>
      </w:r>
    </w:p>
    <w:p>
      <w:pPr>
        <w:spacing w:before="120" w:after="60"/>
        <w:jc w:val="center"/>
      </w:pPr>
      <w:r>
        <w:drawing>
          <wp:inline xmlns:a="http://schemas.openxmlformats.org/drawingml/2006/main" xmlns:pic="http://schemas.openxmlformats.org/drawingml/2006/picture">
            <wp:extent cx="5486400" cy="3420392"/>
            <wp:docPr id="3" name="Picture 3"/>
            <wp:cNvGraphicFramePr>
              <a:graphicFrameLocks noChangeAspect="1"/>
            </wp:cNvGraphicFramePr>
            <a:graphic>
              <a:graphicData uri="http://schemas.openxmlformats.org/drawingml/2006/picture">
                <pic:pic>
                  <pic:nvPicPr>
                    <pic:cNvPr id="0" name="access_permission_roles_bw.png"/>
                    <pic:cNvPicPr/>
                  </pic:nvPicPr>
                  <pic:blipFill>
                    <a:blip r:embed="rId11"/>
                    <a:stretch>
                      <a:fillRect/>
                    </a:stretch>
                  </pic:blipFill>
                  <pic:spPr>
                    <a:xfrm>
                      <a:off x="0" y="0"/>
                      <a:ext cx="5486400" cy="3420392"/>
                    </a:xfrm>
                    <a:prstGeom prst="rect"/>
                  </pic:spPr>
                </pic:pic>
              </a:graphicData>
            </a:graphic>
          </wp:inline>
        </w:drawing>
      </w:r>
    </w:p>
    <w:p>
      <w:pPr>
        <w:spacing w:before="40" w:after="160"/>
        <w:jc w:val="center"/>
      </w:pPr>
      <w:r>
        <w:rPr>
          <w:rFonts w:ascii="Times New Roman" w:hAnsi="Times New Roman"/>
          <w:b/>
          <w:i/>
          <w:color w:val="000000"/>
          <w:sz w:val="21"/>
        </w:rPr>
        <w:t>Fig 3.1 – Access Permission of Roles and Security Authorization Matrix.</w:t>
      </w:r>
    </w:p>
    <w:p>
      <w:pPr>
        <w:spacing w:after="100" w:before="0" w:line="276" w:lineRule="auto"/>
        <w:ind w:firstLine="720"/>
        <w:jc w:val="both"/>
      </w:pPr>
      <w:r>
        <w:rPr>
          <w:rFonts w:ascii="Times New Roman" w:hAnsi="Times New Roman"/>
          <w:color w:val="000000"/>
          <w:sz w:val="24"/>
        </w:rPr>
        <w:t>As illustrated in the authorization matrix, Students possess comprehensive permissions over learning roadmaps, mock tests, marketplace transactions, and community interactions. Academic Mentors are granted specialized supervisory privileges, enabling them to inspect assigned students' longitudinal study curves, receive automated WhatsApp alerts, and initiate direct guidance. Delivery Partners are restricted to logistics workflows, requiring client OTP input to verify handover. System Administrators retain full system governance with administrative access to user accounts, mentor assignments, catalog data, and multi-channel communication tools.</w:t>
      </w:r>
    </w:p>
    <w:p>
      <w:r>
        <w:br w:type="page"/>
      </w:r>
    </w:p>
    <w:p>
      <w:pPr>
        <w:spacing w:before="320" w:after="200" w:line="276" w:lineRule="auto"/>
        <w:jc w:val="center"/>
      </w:pPr>
      <w:r>
        <w:rPr>
          <w:rFonts w:ascii="Times New Roman" w:hAnsi="Times New Roman"/>
          <w:b/>
          <w:color w:val="000000"/>
          <w:sz w:val="32"/>
        </w:rPr>
        <w:t>CHAPTER 4</w:t>
        <w:br/>
        <w:t>CLASS DIAGRAM</w:t>
      </w:r>
    </w:p>
    <w:p>
      <w:pPr>
        <w:spacing w:after="100" w:before="0" w:line="276" w:lineRule="auto"/>
        <w:ind w:firstLine="720"/>
        <w:jc w:val="both"/>
      </w:pPr>
      <w:r>
        <w:rPr>
          <w:rFonts w:ascii="Times New Roman" w:hAnsi="Times New Roman"/>
          <w:color w:val="000000"/>
          <w:sz w:val="24"/>
        </w:rPr>
        <w:t>The diagram illustrates the object-oriented database structure of the Multi-Exam Preparation and Resource Exchange Platform. The central User entity is connected to academic, logistics, and marketplace entities including Exam, Progress, MockAttempt, Product, Order, OrderItem, CommunicationLog, Discussion, and Notification. These entities store user credentials, study roadmaps, test scores, commerce listings, order states, and communication dispatch history. Primary keys (PK) uniquely identify records while foreign keys (FK) establish relationships between entities.</w:t>
      </w:r>
    </w:p>
    <w:p>
      <w:pPr>
        <w:spacing w:before="120" w:after="60"/>
        <w:jc w:val="center"/>
      </w:pPr>
      <w:r>
        <w:drawing>
          <wp:inline xmlns:a="http://schemas.openxmlformats.org/drawingml/2006/main" xmlns:pic="http://schemas.openxmlformats.org/drawingml/2006/picture">
            <wp:extent cx="5577840" cy="4037400"/>
            <wp:docPr id="4" name="Picture 4"/>
            <wp:cNvGraphicFramePr>
              <a:graphicFrameLocks noChangeAspect="1"/>
            </wp:cNvGraphicFramePr>
            <a:graphic>
              <a:graphicData uri="http://schemas.openxmlformats.org/drawingml/2006/picture">
                <pic:pic>
                  <pic:nvPicPr>
                    <pic:cNvPr id="0" name="class_diagram_bw.png"/>
                    <pic:cNvPicPr/>
                  </pic:nvPicPr>
                  <pic:blipFill>
                    <a:blip r:embed="rId12"/>
                    <a:stretch>
                      <a:fillRect/>
                    </a:stretch>
                  </pic:blipFill>
                  <pic:spPr>
                    <a:xfrm>
                      <a:off x="0" y="0"/>
                      <a:ext cx="5577840" cy="4037400"/>
                    </a:xfrm>
                    <a:prstGeom prst="rect"/>
                  </pic:spPr>
                </pic:pic>
              </a:graphicData>
            </a:graphic>
          </wp:inline>
        </w:drawing>
      </w:r>
    </w:p>
    <w:p>
      <w:pPr>
        <w:spacing w:before="40" w:after="160"/>
        <w:jc w:val="center"/>
      </w:pPr>
      <w:r>
        <w:rPr>
          <w:rFonts w:ascii="Times New Roman" w:hAnsi="Times New Roman"/>
          <w:b/>
          <w:i/>
          <w:color w:val="000000"/>
          <w:sz w:val="21"/>
        </w:rPr>
        <w:t>Fig 4.1 – Class Diagram – Entities of the platform with their attributes and relationships.</w:t>
      </w:r>
    </w:p>
    <w:p>
      <w:pPr>
        <w:spacing w:after="100" w:before="0" w:line="276" w:lineRule="auto"/>
        <w:ind w:firstLine="720"/>
        <w:jc w:val="both"/>
      </w:pPr>
      <w:r>
        <w:rPr>
          <w:rFonts w:ascii="Times New Roman" w:hAnsi="Times New Roman"/>
          <w:color w:val="000000"/>
          <w:sz w:val="24"/>
        </w:rPr>
        <w:t>The User class serves as the foundational identity entity, extended by discriminator properties for student, mentor, delivery, and admin roles. The Exam and Progress classes maintain strong associations: an Exam defines the static curriculum hierarchy of subjects, chapters, and topics, while Progress records dynamic completion mappings, timestamps, and streak counters per student. The Commerce domain encapsulates Product and Order entities with composition linkages to OrderItem, enforcing data integrity across transactions.</w:t>
      </w:r>
    </w:p>
    <w:p>
      <w:r>
        <w:br w:type="page"/>
      </w:r>
    </w:p>
    <w:p>
      <w:pPr>
        <w:spacing w:before="320" w:after="200" w:line="276" w:lineRule="auto"/>
        <w:jc w:val="center"/>
      </w:pPr>
      <w:r>
        <w:rPr>
          <w:rFonts w:ascii="Times New Roman" w:hAnsi="Times New Roman"/>
          <w:b/>
          <w:color w:val="000000"/>
          <w:sz w:val="32"/>
        </w:rPr>
        <w:t>CHAPTER 5</w:t>
        <w:br/>
        <w:t>TABLE STRUCTURES</w:t>
      </w:r>
    </w:p>
    <w:p>
      <w:pPr>
        <w:spacing w:after="100" w:before="0" w:line="276" w:lineRule="auto"/>
        <w:ind w:firstLine="720"/>
        <w:jc w:val="both"/>
      </w:pPr>
      <w:r>
        <w:rPr>
          <w:rFonts w:ascii="Times New Roman" w:hAnsi="Times New Roman"/>
          <w:color w:val="000000"/>
          <w:sz w:val="24"/>
        </w:rPr>
        <w:t>The application stores each data type in its own MongoDB collection of the prepcycle database, and every item is a document. The structure of each collection is given below.</w:t>
      </w:r>
    </w:p>
    <w:p>
      <w:pPr>
        <w:spacing w:before="240" w:after="80" w:line="276" w:lineRule="auto"/>
        <w:jc w:val="left"/>
      </w:pPr>
      <w:r>
        <w:rPr>
          <w:rFonts w:ascii="Times New Roman" w:hAnsi="Times New Roman"/>
          <w:b/>
          <w:color w:val="000000"/>
          <w:sz w:val="26"/>
        </w:rPr>
        <w:t>5.1 MongoDB Collections</w:t>
      </w:r>
    </w:p>
    <w:p>
      <w:pPr>
        <w:spacing w:after="100" w:before="0" w:line="276" w:lineRule="auto"/>
        <w:ind w:firstLine="720"/>
        <w:jc w:val="both"/>
      </w:pPr>
      <w:r>
        <w:rPr>
          <w:rFonts w:ascii="Times New Roman" w:hAnsi="Times New Roman"/>
          <w:color w:val="000000"/>
          <w:sz w:val="24"/>
        </w:rPr>
        <w:t>The persistent collections managed within the MongoDB prepcycle database are outlined below with their functional purpose, indexing strategy, and document schemas.</w:t>
      </w:r>
    </w:p>
    <w:p>
      <w:pPr>
        <w:spacing w:before="240" w:after="80" w:line="276" w:lineRule="auto"/>
        <w:jc w:val="left"/>
      </w:pPr>
      <w:r>
        <w:rPr>
          <w:rFonts w:ascii="Times New Roman" w:hAnsi="Times New Roman"/>
          <w:b/>
          <w:color w:val="000000"/>
          <w:sz w:val="26"/>
        </w:rPr>
        <w:t>5.2 Users:</w:t>
      </w:r>
    </w:p>
    <w:p>
      <w:pPr>
        <w:spacing w:after="100" w:before="0" w:line="276" w:lineRule="auto"/>
        <w:ind w:firstLine="720"/>
        <w:jc w:val="both"/>
      </w:pPr>
      <w:r>
        <w:rPr>
          <w:rFonts w:ascii="Times New Roman" w:hAnsi="Times New Roman"/>
          <w:color w:val="000000"/>
          <w:sz w:val="24"/>
        </w:rPr>
        <w:t>Stores every account of the portal with its role, authentication method, verified flag, assigned mentor, and preferences.</w:t>
      </w:r>
    </w:p>
    <w:p>
      <w:pPr>
        <w:spacing w:before="160" w:after="60"/>
        <w:ind w:left="720"/>
      </w:pPr>
      <w:r>
        <w:rPr>
          <w:rFonts w:ascii="Times New Roman" w:hAnsi="Times New Roman"/>
          <w:b/>
          <w:color w:val="000000"/>
          <w:sz w:val="22"/>
        </w:rPr>
        <w:t>Table 5.2 – Structure of the users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name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Full user name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email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user email address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password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Salted bcrypt password hash</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role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student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student | mentor | admin | delivery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studentId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UNI / SPARSE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Unique student roll ID (e.g. PC-STU-100001)</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phone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Contact telephone number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whatsappNumber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Phone number for WhatsApp alert dispatch</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mentor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null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Reference to assigned mentor user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assignedStudents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List of student IDs assigned to mentor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targetExam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GATE CSE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Primary goal competitive examination</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registeredExams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Slugs of actively enrolled exams</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authProvider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local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local | google</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preferences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SubDoc</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Theme, palette, font size, language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createdAt / updatedAt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System auditing timestamps</w:t>
            </w:r>
          </w:p>
        </w:tc>
      </w:tr>
    </w:tbl>
    <w:p/>
    <w:p>
      <w:pPr>
        <w:spacing w:before="240" w:after="80" w:line="276" w:lineRule="auto"/>
        <w:jc w:val="left"/>
      </w:pPr>
      <w:r>
        <w:rPr>
          <w:rFonts w:ascii="Times New Roman" w:hAnsi="Times New Roman"/>
          <w:b/>
          <w:color w:val="000000"/>
          <w:sz w:val="26"/>
        </w:rPr>
        <w:t>5.3 Exams:</w:t>
      </w:r>
    </w:p>
    <w:p>
      <w:pPr>
        <w:spacing w:after="100" w:before="0" w:line="276" w:lineRule="auto"/>
        <w:ind w:firstLine="720"/>
        <w:jc w:val="both"/>
      </w:pPr>
      <w:r>
        <w:rPr>
          <w:rFonts w:ascii="Times New Roman" w:hAnsi="Times New Roman"/>
          <w:color w:val="000000"/>
          <w:sz w:val="24"/>
        </w:rPr>
        <w:t>Stores the examination catalog profiles, conducting authorities, syllabi, and weightage rankings.</w:t>
      </w:r>
    </w:p>
    <w:p>
      <w:pPr>
        <w:spacing w:before="160" w:after="60"/>
        <w:ind w:left="720"/>
      </w:pPr>
      <w:r>
        <w:rPr>
          <w:rFonts w:ascii="Times New Roman" w:hAnsi="Times New Roman"/>
          <w:b/>
          <w:color w:val="000000"/>
          <w:sz w:val="22"/>
        </w:rPr>
        <w:t>Table 5.3 – Structure of the exams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slug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UNI</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URL-safe unique identifier (e.g. gate-cse)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name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Full examination title</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category</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Discipline category (e.g. engineering)</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authority</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Conducting body or examination commission</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officialUrl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Official examination authority portal link</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subjects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Array[SubDoc]</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Embedded hierarchy of subjects &amp; chapters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createdAt / updatedAt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Auditing timestamps</w:t>
            </w:r>
          </w:p>
        </w:tc>
      </w:tr>
    </w:tbl>
    <w:p/>
    <w:p>
      <w:pPr>
        <w:spacing w:before="240" w:after="80" w:line="276" w:lineRule="auto"/>
        <w:jc w:val="left"/>
      </w:pPr>
      <w:r>
        <w:rPr>
          <w:rFonts w:ascii="Times New Roman" w:hAnsi="Times New Roman"/>
          <w:b/>
          <w:color w:val="000000"/>
          <w:sz w:val="26"/>
        </w:rPr>
        <w:t>5.4 Progress:</w:t>
      </w:r>
    </w:p>
    <w:p>
      <w:pPr>
        <w:spacing w:after="100" w:before="0" w:line="276" w:lineRule="auto"/>
        <w:ind w:firstLine="720"/>
        <w:jc w:val="both"/>
      </w:pPr>
      <w:r>
        <w:rPr>
          <w:rFonts w:ascii="Times New Roman" w:hAnsi="Times New Roman"/>
          <w:color w:val="000000"/>
          <w:sz w:val="24"/>
        </w:rPr>
        <w:t>Stores individual student study progress, topic completion maps, and streak records.</w:t>
      </w:r>
    </w:p>
    <w:p>
      <w:pPr>
        <w:spacing w:before="160" w:after="60"/>
        <w:ind w:left="720"/>
      </w:pPr>
      <w:r>
        <w:rPr>
          <w:rFonts w:ascii="Times New Roman" w:hAnsi="Times New Roman"/>
          <w:b/>
          <w:color w:val="000000"/>
          <w:sz w:val="22"/>
        </w:rPr>
        <w:t>Table 5.4 – Structure of the progress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User account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Reference to Exam slug</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topicStatus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Map[String, Enum]</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Map of topicId -&gt; pending | in_progress | completed</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studyDays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Array[String]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ISO date strings (YYYY-MM-DD) for streak calculation</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currentStreak</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0</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Consecutive days active streak counter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dailyLogs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Array[SubDoc]</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Audit trail of topic updates and test scores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createdAt / updatedAt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Record timestamps</w:t>
            </w:r>
          </w:p>
        </w:tc>
      </w:tr>
    </w:tbl>
    <w:p/>
    <w:p>
      <w:pPr>
        <w:spacing w:before="240" w:after="80" w:line="276" w:lineRule="auto"/>
        <w:jc w:val="left"/>
      </w:pPr>
      <w:r>
        <w:rPr>
          <w:rFonts w:ascii="Times New Roman" w:hAnsi="Times New Roman"/>
          <w:b/>
          <w:color w:val="000000"/>
          <w:sz w:val="26"/>
        </w:rPr>
        <w:t>5.5 Mock Attempts:</w:t>
      </w:r>
    </w:p>
    <w:p>
      <w:pPr>
        <w:spacing w:after="100" w:before="0" w:line="276" w:lineRule="auto"/>
        <w:ind w:firstLine="720"/>
        <w:jc w:val="both"/>
      </w:pPr>
      <w:r>
        <w:rPr>
          <w:rFonts w:ascii="Times New Roman" w:hAnsi="Times New Roman"/>
          <w:color w:val="000000"/>
          <w:sz w:val="24"/>
        </w:rPr>
        <w:t>Stores computer-based mock test submissions, scores, question metrics, and timestamps.</w:t>
      </w:r>
    </w:p>
    <w:p>
      <w:pPr>
        <w:spacing w:before="160" w:after="60"/>
        <w:ind w:left="720"/>
      </w:pPr>
      <w:r>
        <w:rPr>
          <w:rFonts w:ascii="Times New Roman" w:hAnsi="Times New Roman"/>
          <w:b/>
          <w:color w:val="000000"/>
          <w:sz w:val="22"/>
        </w:rPr>
        <w:t>Table 5.5 – Structure of the mock_attempts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Student user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Associated examination slug</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subjectName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Name of subject tested</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chapterName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Name of chapter tested</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mockName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Mock test title or CBT identifier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questionsAttended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0</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Total questions attempted</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marks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0</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Marks obtained by student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maxMarks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100</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Maximum attainable marks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attemptedAt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Timestamp of test submission</w:t>
            </w:r>
          </w:p>
        </w:tc>
      </w:tr>
    </w:tbl>
    <w:p/>
    <w:p>
      <w:pPr>
        <w:spacing w:before="240" w:after="80" w:line="276" w:lineRule="auto"/>
        <w:jc w:val="left"/>
      </w:pPr>
      <w:r>
        <w:rPr>
          <w:rFonts w:ascii="Times New Roman" w:hAnsi="Times New Roman"/>
          <w:b/>
          <w:color w:val="000000"/>
          <w:sz w:val="26"/>
        </w:rPr>
        <w:t>5.6 Products:</w:t>
      </w:r>
    </w:p>
    <w:p>
      <w:pPr>
        <w:spacing w:after="100" w:before="0" w:line="276" w:lineRule="auto"/>
        <w:ind w:firstLine="720"/>
        <w:jc w:val="both"/>
      </w:pPr>
      <w:r>
        <w:rPr>
          <w:rFonts w:ascii="Times New Roman" w:hAnsi="Times New Roman"/>
          <w:color w:val="000000"/>
          <w:sz w:val="24"/>
        </w:rPr>
        <w:t>Stores the marketplace reference books, study notes, price tags, and donation flags.</w:t>
      </w:r>
    </w:p>
    <w:p>
      <w:pPr>
        <w:spacing w:before="160" w:after="60"/>
        <w:ind w:left="720"/>
      </w:pPr>
      <w:r>
        <w:rPr>
          <w:rFonts w:ascii="Times New Roman" w:hAnsi="Times New Roman"/>
          <w:b/>
          <w:color w:val="000000"/>
          <w:sz w:val="22"/>
        </w:rPr>
        <w:t>Table 5.6 – Structure of the products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title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Book title or material 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author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Book author or publisher name</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category</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Textbook | Notes | Solved Papers</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Associated competitive exam</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price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Number(10,2)</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0.00</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Listing price in INR (0 for donations)</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condition</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Good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New | Like New | Good | Fair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isDonation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Boolean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false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Flags 100% free community donations</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stock</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1</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Available inventory quantity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seller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listing student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status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available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available | sold | claimed</w:t>
            </w:r>
          </w:p>
        </w:tc>
      </w:tr>
    </w:tbl>
    <w:p/>
    <w:p>
      <w:pPr>
        <w:spacing w:before="240" w:after="80" w:line="276" w:lineRule="auto"/>
        <w:jc w:val="left"/>
      </w:pPr>
      <w:r>
        <w:rPr>
          <w:rFonts w:ascii="Times New Roman" w:hAnsi="Times New Roman"/>
          <w:b/>
          <w:color w:val="000000"/>
          <w:sz w:val="26"/>
        </w:rPr>
        <w:t>5.7 Orders:</w:t>
      </w:r>
    </w:p>
    <w:p>
      <w:pPr>
        <w:spacing w:after="100" w:before="0" w:line="276" w:lineRule="auto"/>
        <w:ind w:firstLine="720"/>
        <w:jc w:val="both"/>
      </w:pPr>
      <w:r>
        <w:rPr>
          <w:rFonts w:ascii="Times New Roman" w:hAnsi="Times New Roman"/>
          <w:color w:val="000000"/>
          <w:sz w:val="24"/>
        </w:rPr>
        <w:t>Stores buyer orders, payment details, assigned delivery partners, and 4-digit OTPs.</w:t>
      </w:r>
    </w:p>
    <w:p>
      <w:pPr>
        <w:spacing w:before="160" w:after="60"/>
        <w:ind w:left="720"/>
      </w:pPr>
      <w:r>
        <w:rPr>
          <w:rFonts w:ascii="Times New Roman" w:hAnsi="Times New Roman"/>
          <w:b/>
          <w:color w:val="000000"/>
          <w:sz w:val="22"/>
        </w:rPr>
        <w:t>Table 5.7 – Structure of the orders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trackingId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UNI</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Human-readable order tracking ID (TRK-XXXXXX)</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Reference to purchasing Student</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items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Array[SubDoc]</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 of purchased products, price &amp; quantities</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totalAmount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Number(10,2)</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0.00</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Total payable order amount</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paymentMethod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cod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cod | upi | gpay | card | netbanking</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status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Ordered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Ordered | Dispatched | In Transit | Out for Delivery | Delivered</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verificationOtp</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String(4)</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4-digit security OTP required for delivery</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deliveryAddress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SubDoc</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Recipient address, city, pincode &amp; phone</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assignedPartner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null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delivery partner account</w:t>
            </w:r>
          </w:p>
        </w:tc>
      </w:tr>
    </w:tbl>
    <w:p/>
    <w:p>
      <w:pPr>
        <w:spacing w:before="240" w:after="80" w:line="276" w:lineRule="auto"/>
        <w:jc w:val="left"/>
      </w:pPr>
      <w:r>
        <w:rPr>
          <w:rFonts w:ascii="Times New Roman" w:hAnsi="Times New Roman"/>
          <w:b/>
          <w:color w:val="000000"/>
          <w:sz w:val="26"/>
        </w:rPr>
        <w:t>5.8 Order Items:</w:t>
      </w:r>
    </w:p>
    <w:p>
      <w:pPr>
        <w:spacing w:after="100" w:before="0" w:line="276" w:lineRule="auto"/>
        <w:ind w:firstLine="720"/>
        <w:jc w:val="both"/>
      </w:pPr>
      <w:r>
        <w:rPr>
          <w:rFonts w:ascii="Times New Roman" w:hAnsi="Times New Roman"/>
          <w:color w:val="000000"/>
          <w:sz w:val="24"/>
        </w:rPr>
        <w:t>Stores normalized line items for order transactions, including quantity, unit price, and item status.</w:t>
      </w:r>
    </w:p>
    <w:p>
      <w:pPr>
        <w:spacing w:before="160" w:after="60"/>
        <w:ind w:left="720"/>
      </w:pPr>
      <w:r>
        <w:rPr>
          <w:rFonts w:ascii="Times New Roman" w:hAnsi="Times New Roman"/>
          <w:b/>
          <w:color w:val="000000"/>
          <w:sz w:val="22"/>
        </w:rPr>
        <w:t>Table 5.8 – Structure of the order_items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line item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orderId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Foreign key to parent Order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productId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Foreign key to Product</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quantity</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Number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1</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Quantity purchased</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unitPrice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Number(10,2)</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0.00</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Price per unit in INR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status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active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active | returned | cancelled</w:t>
            </w:r>
          </w:p>
        </w:tc>
      </w:tr>
    </w:tbl>
    <w:p/>
    <w:p>
      <w:pPr>
        <w:spacing w:before="240" w:after="80" w:line="276" w:lineRule="auto"/>
        <w:jc w:val="left"/>
      </w:pPr>
      <w:r>
        <w:rPr>
          <w:rFonts w:ascii="Times New Roman" w:hAnsi="Times New Roman"/>
          <w:b/>
          <w:color w:val="000000"/>
          <w:sz w:val="26"/>
        </w:rPr>
        <w:t>5.9 Communication Logs:</w:t>
      </w:r>
    </w:p>
    <w:p>
      <w:pPr>
        <w:spacing w:after="100" w:before="0" w:line="276" w:lineRule="auto"/>
        <w:ind w:firstLine="720"/>
        <w:jc w:val="both"/>
      </w:pPr>
      <w:r>
        <w:rPr>
          <w:rFonts w:ascii="Times New Roman" w:hAnsi="Times New Roman"/>
          <w:color w:val="000000"/>
          <w:sz w:val="24"/>
        </w:rPr>
        <w:t>Stores the notifications dispatched across WhatsApp, SMS, and email channels with delivery statuses.</w:t>
      </w:r>
    </w:p>
    <w:p>
      <w:pPr>
        <w:spacing w:before="160" w:after="60"/>
        <w:ind w:left="720"/>
      </w:pPr>
      <w:r>
        <w:rPr>
          <w:rFonts w:ascii="Times New Roman" w:hAnsi="Times New Roman"/>
          <w:b/>
          <w:color w:val="000000"/>
          <w:sz w:val="22"/>
        </w:rPr>
        <w:t>Table 5.9 – Structure of the communication_logs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document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null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Recipient user reference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channel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whatsapp | sms | email | notification</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messageType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mentor_mock_test_alert | mentor_subject_completed_alert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recipient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Destination phone number or email</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subject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Subject header or brief title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content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Full dispatched message body with WhatsApp link</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status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pending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delivered | pending | failed</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provider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Gateway used (WhatsApp Cloud API, Ethereal, SMS)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timestamp</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Message dispatch timestamp</w:t>
            </w:r>
          </w:p>
        </w:tc>
      </w:tr>
    </w:tbl>
    <w:p/>
    <w:p>
      <w:pPr>
        <w:spacing w:before="240" w:after="80" w:line="276" w:lineRule="auto"/>
        <w:jc w:val="left"/>
      </w:pPr>
      <w:r>
        <w:rPr>
          <w:rFonts w:ascii="Times New Roman" w:hAnsi="Times New Roman"/>
          <w:b/>
          <w:color w:val="000000"/>
          <w:sz w:val="26"/>
        </w:rPr>
        <w:t>5.10 Discussions:</w:t>
      </w:r>
    </w:p>
    <w:p>
      <w:pPr>
        <w:spacing w:after="100" w:before="0" w:line="276" w:lineRule="auto"/>
        <w:ind w:firstLine="720"/>
        <w:jc w:val="both"/>
      </w:pPr>
      <w:r>
        <w:rPr>
          <w:rFonts w:ascii="Times New Roman" w:hAnsi="Times New Roman"/>
          <w:color w:val="000000"/>
          <w:sz w:val="24"/>
        </w:rPr>
        <w:t>Stores community questions, answers, upvotes, and verified resolution flags.</w:t>
      </w:r>
    </w:p>
    <w:p>
      <w:pPr>
        <w:spacing w:before="160" w:after="60"/>
        <w:ind w:left="720"/>
      </w:pPr>
      <w:r>
        <w:rPr>
          <w:rFonts w:ascii="Times New Roman" w:hAnsi="Times New Roman"/>
          <w:b/>
          <w:color w:val="000000"/>
          <w:sz w:val="22"/>
        </w:rPr>
        <w:t>Table 5.10 – Structure of the discussions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discussion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author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User reference of post author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Associated examination category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title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Discussion question title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body</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Detailed question or query body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upvotes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User IDs who upvoted the question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answers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Array[SubDoc]</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Replies with author, content, and upvotes</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resolved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Boolean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false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Flags whether question has accepted solution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createdAt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Post creation timestamp</w:t>
            </w:r>
          </w:p>
        </w:tc>
      </w:tr>
    </w:tbl>
    <w:p/>
    <w:p>
      <w:pPr>
        <w:spacing w:before="240" w:after="80" w:line="276" w:lineRule="auto"/>
        <w:jc w:val="left"/>
      </w:pPr>
      <w:r>
        <w:rPr>
          <w:rFonts w:ascii="Times New Roman" w:hAnsi="Times New Roman"/>
          <w:b/>
          <w:color w:val="000000"/>
          <w:sz w:val="26"/>
        </w:rPr>
        <w:t>5.11 Notifications:</w:t>
      </w:r>
    </w:p>
    <w:p>
      <w:pPr>
        <w:spacing w:after="100" w:before="0" w:line="276" w:lineRule="auto"/>
        <w:ind w:firstLine="720"/>
        <w:jc w:val="both"/>
      </w:pPr>
      <w:r>
        <w:rPr>
          <w:rFonts w:ascii="Times New Roman" w:hAnsi="Times New Roman"/>
          <w:color w:val="000000"/>
          <w:sz w:val="24"/>
        </w:rPr>
        <w:t>Stores in-app alert notifications for user accounts with read/unread tracking.</w:t>
      </w:r>
    </w:p>
    <w:p>
      <w:pPr>
        <w:spacing w:before="160" w:after="60"/>
        <w:ind w:left="720"/>
      </w:pPr>
      <w:r>
        <w:rPr>
          <w:rFonts w:ascii="Times New Roman" w:hAnsi="Times New Roman"/>
          <w:b/>
          <w:color w:val="000000"/>
          <w:sz w:val="22"/>
        </w:rPr>
        <w:t>Table 5.11 – Structure of the notifications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notification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recipient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Target user ID</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type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system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order | mentor | mock | system</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title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Short notification alert title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message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Full notification text</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isRead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Boolean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false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Read/unread status flag</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actionUrl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Link to navigate user upon click</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createdAt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Creation timestamp</w:t>
            </w:r>
          </w:p>
        </w:tc>
      </w:tr>
    </w:tbl>
    <w:p/>
    <w:p>
      <w:pPr>
        <w:spacing w:before="240" w:after="80" w:line="276" w:lineRule="auto"/>
        <w:jc w:val="left"/>
      </w:pPr>
      <w:r>
        <w:rPr>
          <w:rFonts w:ascii="Times New Roman" w:hAnsi="Times New Roman"/>
          <w:b/>
          <w:color w:val="000000"/>
          <w:sz w:val="26"/>
        </w:rPr>
        <w:t>5.12 Return Requests:</w:t>
      </w:r>
    </w:p>
    <w:p>
      <w:pPr>
        <w:spacing w:after="100" w:before="0" w:line="276" w:lineRule="auto"/>
        <w:ind w:firstLine="720"/>
        <w:jc w:val="both"/>
      </w:pPr>
      <w:r>
        <w:rPr>
          <w:rFonts w:ascii="Times New Roman" w:hAnsi="Times New Roman"/>
          <w:color w:val="000000"/>
          <w:sz w:val="24"/>
        </w:rPr>
        <w:t>Stores textbook return and buyback requests submitted by buyers within the eligible return window.</w:t>
      </w:r>
    </w:p>
    <w:p>
      <w:pPr>
        <w:spacing w:before="160" w:after="60"/>
        <w:ind w:left="720"/>
      </w:pPr>
      <w:r>
        <w:rPr>
          <w:rFonts w:ascii="Times New Roman" w:hAnsi="Times New Roman"/>
          <w:b/>
          <w:color w:val="000000"/>
          <w:sz w:val="22"/>
        </w:rPr>
        <w:t>Table 5.12 – Structure of the return_requests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return request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orderId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original order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Student requesting return</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reason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wrong_edition | damaged | exam_completed | other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status</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requested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requested | approved | rejected | refunded</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pickupAddress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SubDoc</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Pickup address for delivery partner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createdAt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Request submission timestamp</w:t>
            </w:r>
          </w:p>
        </w:tc>
      </w:tr>
    </w:tbl>
    <w:p/>
    <w:p>
      <w:pPr>
        <w:spacing w:before="240" w:after="80" w:line="276" w:lineRule="auto"/>
        <w:jc w:val="left"/>
      </w:pPr>
      <w:r>
        <w:rPr>
          <w:rFonts w:ascii="Times New Roman" w:hAnsi="Times New Roman"/>
          <w:b/>
          <w:color w:val="000000"/>
          <w:sz w:val="26"/>
        </w:rPr>
        <w:t>5.13 Flashcards:</w:t>
      </w:r>
    </w:p>
    <w:p>
      <w:pPr>
        <w:spacing w:after="100" w:before="0" w:line="276" w:lineRule="auto"/>
        <w:ind w:firstLine="720"/>
        <w:jc w:val="both"/>
      </w:pPr>
      <w:r>
        <w:rPr>
          <w:rFonts w:ascii="Times New Roman" w:hAnsi="Times New Roman"/>
          <w:color w:val="000000"/>
          <w:sz w:val="24"/>
        </w:rPr>
        <w:t>Stores interactive revision flashcards categorized by examination, subject, and topic.</w:t>
      </w:r>
    </w:p>
    <w:p>
      <w:pPr>
        <w:spacing w:before="160" w:after="60"/>
        <w:ind w:left="720"/>
      </w:pPr>
      <w:r>
        <w:rPr>
          <w:rFonts w:ascii="Times New Roman" w:hAnsi="Times New Roman"/>
          <w:b/>
          <w:color w:val="000000"/>
          <w:sz w:val="22"/>
        </w:rPr>
        <w:t>Table 5.13 – Structure of the flashcards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flashcard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Associated examination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subject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Subject category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question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Front-facing question or concept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answer</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Back-facing answer, theorem, or formula</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masteredBy</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Array[ObjectId]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YES</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Students who flagged card as mastered</w:t>
            </w:r>
          </w:p>
        </w:tc>
      </w:tr>
    </w:tbl>
    <w:p/>
    <w:p>
      <w:pPr>
        <w:spacing w:before="240" w:after="80" w:line="276" w:lineRule="auto"/>
        <w:jc w:val="left"/>
      </w:pPr>
      <w:r>
        <w:rPr>
          <w:rFonts w:ascii="Times New Roman" w:hAnsi="Times New Roman"/>
          <w:b/>
          <w:color w:val="000000"/>
          <w:sz w:val="26"/>
        </w:rPr>
        <w:t>5.14 Notes:</w:t>
      </w:r>
    </w:p>
    <w:p>
      <w:pPr>
        <w:spacing w:after="100" w:before="0" w:line="276" w:lineRule="auto"/>
        <w:ind w:firstLine="720"/>
        <w:jc w:val="both"/>
      </w:pPr>
      <w:r>
        <w:rPr>
          <w:rFonts w:ascii="Times New Roman" w:hAnsi="Times New Roman"/>
          <w:color w:val="000000"/>
          <w:sz w:val="24"/>
        </w:rPr>
        <w:t>Stores user-generated rich study notes, summaries, and revision cheat sheets.</w:t>
      </w:r>
    </w:p>
    <w:p>
      <w:pPr>
        <w:spacing w:before="160" w:after="60"/>
        <w:ind w:left="720"/>
      </w:pPr>
      <w:r>
        <w:rPr>
          <w:rFonts w:ascii="Times New Roman" w:hAnsi="Times New Roman"/>
          <w:b/>
          <w:color w:val="000000"/>
          <w:sz w:val="22"/>
        </w:rPr>
        <w:t>Table 5.14 – Structure of the notes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note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Author student reference</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examSlug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Associated exam</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topicId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Topic identifier</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content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Markdown or text note body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isPublic</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Boolean</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false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Visibility flag for peer sharing</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updatedAt</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Last edit timestamp</w:t>
            </w:r>
          </w:p>
        </w:tc>
      </w:tr>
    </w:tbl>
    <w:p/>
    <w:p>
      <w:pPr>
        <w:spacing w:before="240" w:after="80" w:line="276" w:lineRule="auto"/>
        <w:jc w:val="left"/>
      </w:pPr>
      <w:r>
        <w:rPr>
          <w:rFonts w:ascii="Times New Roman" w:hAnsi="Times New Roman"/>
          <w:b/>
          <w:color w:val="000000"/>
          <w:sz w:val="26"/>
        </w:rPr>
        <w:t>5.15 Recently Accessed:</w:t>
      </w:r>
    </w:p>
    <w:p>
      <w:pPr>
        <w:spacing w:after="100" w:before="0" w:line="276" w:lineRule="auto"/>
        <w:ind w:firstLine="720"/>
        <w:jc w:val="both"/>
      </w:pPr>
      <w:r>
        <w:rPr>
          <w:rFonts w:ascii="Times New Roman" w:hAnsi="Times New Roman"/>
          <w:color w:val="000000"/>
          <w:sz w:val="24"/>
        </w:rPr>
        <w:t>Stores the last visited examinations, subjects, and study materials of each user.</w:t>
      </w:r>
    </w:p>
    <w:p>
      <w:pPr>
        <w:spacing w:before="160" w:after="60"/>
        <w:ind w:left="720"/>
      </w:pPr>
      <w:r>
        <w:rPr>
          <w:rFonts w:ascii="Times New Roman" w:hAnsi="Times New Roman"/>
          <w:b/>
          <w:color w:val="000000"/>
          <w:sz w:val="22"/>
        </w:rPr>
        <w:t>Table 5.15 – Structure of the recently_accessed table</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1445"/>
        <w:gridCol w:w="1445"/>
        <w:gridCol w:w="1445"/>
        <w:gridCol w:w="1445"/>
        <w:gridCol w:w="1445"/>
        <w:gridCol w:w="1445"/>
      </w:tblGrid>
      <w:tr>
        <w:tc>
          <w:tcPr>
            <w:tcW w:type="dxa" w:w="1445"/>
            <w:shd w:fill="EAEAEA"/>
            <w:tcMar>
              <w:top w:w="55" w:type="dxa"/>
              <w:bottom w:w="55" w:type="dxa"/>
              <w:left w:w="75" w:type="dxa"/>
              <w:right w:w="75" w:type="dxa"/>
            </w:tcMar>
          </w:tcPr>
          <w:p>
            <w:pPr>
              <w:jc w:val="center"/>
            </w:pPr>
            <w:r>
              <w:rPr>
                <w:rFonts w:ascii="Times New Roman" w:hAnsi="Times New Roman"/>
                <w:b/>
                <w:color w:val="000000"/>
                <w:sz w:val="20"/>
              </w:rPr>
              <w:t>Field</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Type</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Null</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Key / Index</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Default</w:t>
            </w:r>
          </w:p>
        </w:tc>
        <w:tc>
          <w:tcPr>
            <w:tcW w:type="dxa" w:w="1445"/>
            <w:shd w:fill="EAEAEA"/>
            <w:tcMar>
              <w:top w:w="55" w:type="dxa"/>
              <w:bottom w:w="55" w:type="dxa"/>
              <w:left w:w="75" w:type="dxa"/>
              <w:right w:w="75" w:type="dxa"/>
            </w:tcMar>
          </w:tcPr>
          <w:p>
            <w:pPr>
              <w:jc w:val="center"/>
            </w:pPr>
            <w:r>
              <w:rPr>
                <w:rFonts w:ascii="Times New Roman" w:hAnsi="Times New Roman"/>
                <w:b/>
                <w:color w:val="000000"/>
                <w:sz w:val="20"/>
              </w:rPr>
              <w:t>Description</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_id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PRI</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UUID</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Unique access record identifier</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user</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ObjectId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FK / 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Reference to user account</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itemType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Enum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exam</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exam | topic | product | mock</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itemId</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Identifier of visited entity</w:t>
            </w:r>
          </w:p>
        </w:tc>
      </w:tr>
      <w:tr>
        <w:tc>
          <w:tcPr>
            <w:tcW w:type="dxa" w:w="1445"/>
            <w:shd w:fill="FFFFFF"/>
            <w:tcMar>
              <w:top w:w="40" w:type="dxa"/>
              <w:bottom w:w="40" w:type="dxa"/>
              <w:left w:w="75" w:type="dxa"/>
              <w:right w:w="75" w:type="dxa"/>
            </w:tcMar>
          </w:tcPr>
          <w:p>
            <w:pPr>
              <w:jc w:val="center"/>
            </w:pPr>
            <w:r>
              <w:rPr>
                <w:rFonts w:ascii="Times New Roman" w:hAnsi="Times New Roman"/>
                <w:color w:val="000000"/>
                <w:sz w:val="19"/>
              </w:rPr>
              <w:t>title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String</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None</w:t>
            </w:r>
          </w:p>
        </w:tc>
        <w:tc>
          <w:tcPr>
            <w:tcW w:type="dxa" w:w="1445"/>
            <w:shd w:fill="FFFFFF"/>
            <w:tcMar>
              <w:top w:w="40" w:type="dxa"/>
              <w:bottom w:w="40" w:type="dxa"/>
              <w:left w:w="75" w:type="dxa"/>
              <w:right w:w="75" w:type="dxa"/>
            </w:tcMar>
          </w:tcPr>
          <w:p>
            <w:pPr>
              <w:jc w:val="left"/>
            </w:pPr>
            <w:r>
              <w:rPr>
                <w:rFonts w:ascii="Times New Roman" w:hAnsi="Times New Roman"/>
                <w:color w:val="000000"/>
                <w:sz w:val="19"/>
              </w:rPr>
              <w:t>Display label of visited entity</w:t>
            </w:r>
          </w:p>
        </w:tc>
      </w:tr>
      <w:tr>
        <w:tc>
          <w:tcPr>
            <w:tcW w:type="dxa" w:w="1445"/>
            <w:shd w:fill="F9F9F9"/>
            <w:tcMar>
              <w:top w:w="40" w:type="dxa"/>
              <w:bottom w:w="40" w:type="dxa"/>
              <w:left w:w="75" w:type="dxa"/>
              <w:right w:w="75" w:type="dxa"/>
            </w:tcMar>
          </w:tcPr>
          <w:p>
            <w:pPr>
              <w:jc w:val="center"/>
            </w:pPr>
            <w:r>
              <w:rPr>
                <w:rFonts w:ascii="Times New Roman" w:hAnsi="Times New Roman"/>
                <w:color w:val="000000"/>
                <w:sz w:val="19"/>
              </w:rPr>
              <w:t>accessedAt</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NO</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MUL</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Date.now</w:t>
            </w:r>
          </w:p>
        </w:tc>
        <w:tc>
          <w:tcPr>
            <w:tcW w:type="dxa" w:w="1445"/>
            <w:shd w:fill="F9F9F9"/>
            <w:tcMar>
              <w:top w:w="40" w:type="dxa"/>
              <w:bottom w:w="40" w:type="dxa"/>
              <w:left w:w="75" w:type="dxa"/>
              <w:right w:w="75" w:type="dxa"/>
            </w:tcMar>
          </w:tcPr>
          <w:p>
            <w:pPr>
              <w:jc w:val="left"/>
            </w:pPr>
            <w:r>
              <w:rPr>
                <w:rFonts w:ascii="Times New Roman" w:hAnsi="Times New Roman"/>
                <w:color w:val="000000"/>
                <w:sz w:val="19"/>
              </w:rPr>
              <w:t>Last access timestamp</w:t>
            </w:r>
          </w:p>
        </w:tc>
      </w:tr>
    </w:tbl>
    <w:p/>
    <w:p>
      <w:r>
        <w:br w:type="page"/>
      </w:r>
    </w:p>
    <w:p>
      <w:pPr>
        <w:spacing w:before="320" w:after="200" w:line="276" w:lineRule="auto"/>
        <w:jc w:val="center"/>
      </w:pPr>
      <w:r>
        <w:rPr>
          <w:rFonts w:ascii="Times New Roman" w:hAnsi="Times New Roman"/>
          <w:b/>
          <w:color w:val="000000"/>
          <w:sz w:val="32"/>
        </w:rPr>
        <w:t>CHAPTER 6</w:t>
        <w:br/>
        <w:t>ER DIAGRAM</w:t>
      </w:r>
    </w:p>
    <w:p>
      <w:pPr>
        <w:spacing w:after="100" w:before="0" w:line="276" w:lineRule="auto"/>
        <w:ind w:firstLine="720"/>
        <w:jc w:val="both"/>
      </w:pPr>
      <w:r>
        <w:rPr>
          <w:rFonts w:ascii="Times New Roman" w:hAnsi="Times New Roman"/>
          <w:color w:val="000000"/>
          <w:sz w:val="24"/>
        </w:rPr>
        <w:t>The User entity is related to most other entities. A user registers for examinations, updates study progress, attends computer-based mock tests, lists marketplace products, places orders, and exchanges community discussion posts. The Academic Mentor is linked to multiple assigned students through an allocation relationship, while Delivery Partners are linked to assigned orders. Both mock tests and daily logins trigger communication log entries. The Entity-Relationship diagram below defines the cardinalities and relational associations governing the database schema:</w:t>
      </w:r>
    </w:p>
    <w:p>
      <w:pPr>
        <w:spacing w:before="120" w:after="60"/>
        <w:jc w:val="center"/>
      </w:pPr>
      <w:r>
        <w:drawing>
          <wp:inline xmlns:a="http://schemas.openxmlformats.org/drawingml/2006/main" xmlns:pic="http://schemas.openxmlformats.org/drawingml/2006/picture">
            <wp:extent cx="5486400" cy="4001326"/>
            <wp:docPr id="5" name="Picture 5"/>
            <wp:cNvGraphicFramePr>
              <a:graphicFrameLocks noChangeAspect="1"/>
            </wp:cNvGraphicFramePr>
            <a:graphic>
              <a:graphicData uri="http://schemas.openxmlformats.org/drawingml/2006/picture">
                <pic:pic>
                  <pic:nvPicPr>
                    <pic:cNvPr id="0" name="er_diagram_bw.png"/>
                    <pic:cNvPicPr/>
                  </pic:nvPicPr>
                  <pic:blipFill>
                    <a:blip r:embed="rId13"/>
                    <a:stretch>
                      <a:fillRect/>
                    </a:stretch>
                  </pic:blipFill>
                  <pic:spPr>
                    <a:xfrm>
                      <a:off x="0" y="0"/>
                      <a:ext cx="5486400" cy="4001326"/>
                    </a:xfrm>
                    <a:prstGeom prst="rect"/>
                  </pic:spPr>
                </pic:pic>
              </a:graphicData>
            </a:graphic>
          </wp:inline>
        </w:drawing>
      </w:r>
    </w:p>
    <w:p>
      <w:pPr>
        <w:spacing w:before="40" w:after="160"/>
        <w:jc w:val="center"/>
      </w:pPr>
      <w:r>
        <w:rPr>
          <w:rFonts w:ascii="Times New Roman" w:hAnsi="Times New Roman"/>
          <w:b/>
          <w:i/>
          <w:color w:val="000000"/>
          <w:sz w:val="21"/>
        </w:rPr>
        <w:t>Fig 6.1 – ER Diagram – Entities and relationships of the Multi-Exam Preparation and Resource Exchange Platform.</w:t>
      </w:r>
    </w:p>
    <w:p>
      <w:pPr>
        <w:spacing w:after="100" w:before="0" w:line="276" w:lineRule="auto"/>
        <w:ind w:firstLine="720"/>
        <w:jc w:val="both"/>
      </w:pPr>
      <w:r>
        <w:rPr>
          <w:rFonts w:ascii="Times New Roman" w:hAnsi="Times New Roman"/>
          <w:color w:val="000000"/>
          <w:sz w:val="24"/>
        </w:rPr>
        <w:t>As depicted in the diagram, the relationship between User and Exam is many-to-many through registered enrollments, resolved by the Progress mapping entity. The User-to-MockAttempt relation is one-to-many, recording every attempt with timestamped metrics. In the commerce domain, a student user acts as either a buyer (User to Order: 1:N) or a seller (User to Product: 1:N). Orders maintain a 1:N composition with OrderItem, which in turn references the Product entity. The DeliveryPartner entity fulfills orders via a 1:N assignment relationship. The diagram demonstrates strict referential integrity across the academic and commerce subsystems.</w:t>
      </w:r>
    </w:p>
    <w:p>
      <w:r>
        <w:br w:type="page"/>
      </w:r>
    </w:p>
    <w:p>
      <w:pPr>
        <w:spacing w:before="320" w:after="200" w:line="276" w:lineRule="auto"/>
        <w:jc w:val="center"/>
      </w:pPr>
      <w:r>
        <w:rPr>
          <w:rFonts w:ascii="Times New Roman" w:hAnsi="Times New Roman"/>
          <w:b/>
          <w:color w:val="000000"/>
          <w:sz w:val="32"/>
        </w:rPr>
        <w:t>CHAPTER 7</w:t>
        <w:br/>
        <w:t>TECH STACK</w:t>
      </w:r>
    </w:p>
    <w:p>
      <w:pPr>
        <w:spacing w:before="240" w:after="80" w:line="276" w:lineRule="auto"/>
        <w:jc w:val="left"/>
      </w:pPr>
      <w:r>
        <w:rPr>
          <w:rFonts w:ascii="Times New Roman" w:hAnsi="Times New Roman"/>
          <w:b/>
          <w:color w:val="000000"/>
          <w:sz w:val="26"/>
        </w:rPr>
        <w:t>7.1 TECH STACK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Layer</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Technology</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Frontend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React.js 18 + Vite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Component-driven single page application with rapid HMR and optimized asset bundling.</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Styling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Vanilla CSS + CSS Variables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Modular responsive styling supporting dynamic theme switching and accessibility scaling.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3D Visuals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Three.js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Interactive 3D geometric visualization rendered on the public authentication portal.</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Routing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React Router DOM v6</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Client-side declarative routing with role-based route guard boundaries.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Backend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Node.js + Express.js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RESTful micro-service API handling business logic, session validation, and data orchestration.</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Database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MongoDB Atlas + Mongoose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Scalable document persistence, schema validation, and compound index querying.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Authentication</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JWT + bcryptjs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Stateless bearer token authorization and 10-round salted password hashing.</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OAuth SSO</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Google OAuth 2.0 API</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Real Google client sign-in integration validating verified email profiles.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Messaging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WhatsApp + Twilio + Nodemailer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Multi-channel automated alerts dispatched to mentors, students, and admins.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Logistics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Custom OTP Engine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Cryptographic 4-digit OTP generation and verification for safe doorstep handover.</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Deployment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Docker + Cloud Hosting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Multi-stage containerization enabling automated builds and isolated cloud hosting.</w:t>
            </w:r>
          </w:p>
        </w:tc>
      </w:tr>
    </w:tbl>
    <w:p/>
    <w:p>
      <w:pPr>
        <w:spacing w:before="240" w:after="80" w:line="276" w:lineRule="auto"/>
        <w:jc w:val="left"/>
      </w:pPr>
      <w:r>
        <w:rPr>
          <w:rFonts w:ascii="Times New Roman" w:hAnsi="Times New Roman"/>
          <w:b/>
          <w:color w:val="000000"/>
          <w:sz w:val="26"/>
        </w:rPr>
        <w:t>7.2 ARCHITECTURE OVERVIEW</w:t>
      </w:r>
    </w:p>
    <w:p>
      <w:pPr>
        <w:spacing w:after="100" w:before="0" w:line="276" w:lineRule="auto"/>
        <w:ind w:firstLine="720"/>
        <w:jc w:val="both"/>
      </w:pPr>
      <w:r>
        <w:rPr>
          <w:rFonts w:ascii="Times New Roman" w:hAnsi="Times New Roman"/>
          <w:color w:val="000000"/>
          <w:sz w:val="24"/>
        </w:rPr>
        <w:t>The system follows a classical Three-Tier Model-View-Controller (MVC) architectural pattern augmented with a decoupled event notification pipeline. The client-side View layer (React.js) communicates with the server-side Controller layer (Express.js) via asynchronous HTTP/JSON requests over TLS. The Controller validates input payloads and queries the Model layer (Mongoose ODM) which interfaces with the persistent MongoDB database. Background notification workers asynchronously dispatch WhatsApp, SMS, and email alerts without blocking client response threads.</w:t>
      </w:r>
    </w:p>
    <w:p>
      <w:pPr>
        <w:spacing w:before="120" w:after="60"/>
        <w:jc w:val="center"/>
      </w:pPr>
      <w:r>
        <w:drawing>
          <wp:inline xmlns:a="http://schemas.openxmlformats.org/drawingml/2006/main" xmlns:pic="http://schemas.openxmlformats.org/drawingml/2006/picture">
            <wp:extent cx="5303520" cy="4232102"/>
            <wp:docPr id="6" name="Picture 6"/>
            <wp:cNvGraphicFramePr>
              <a:graphicFrameLocks noChangeAspect="1"/>
            </wp:cNvGraphicFramePr>
            <a:graphic>
              <a:graphicData uri="http://schemas.openxmlformats.org/drawingml/2006/picture">
                <pic:pic>
                  <pic:nvPicPr>
                    <pic:cNvPr id="0" name="architecture_flow_bw.png"/>
                    <pic:cNvPicPr/>
                  </pic:nvPicPr>
                  <pic:blipFill>
                    <a:blip r:embed="rId14"/>
                    <a:stretch>
                      <a:fillRect/>
                    </a:stretch>
                  </pic:blipFill>
                  <pic:spPr>
                    <a:xfrm>
                      <a:off x="0" y="0"/>
                      <a:ext cx="5303520" cy="4232102"/>
                    </a:xfrm>
                    <a:prstGeom prst="rect"/>
                  </pic:spPr>
                </pic:pic>
              </a:graphicData>
            </a:graphic>
          </wp:inline>
        </w:drawing>
      </w:r>
    </w:p>
    <w:p>
      <w:pPr>
        <w:spacing w:before="40" w:after="160"/>
        <w:jc w:val="center"/>
      </w:pPr>
      <w:r>
        <w:rPr>
          <w:rFonts w:ascii="Times New Roman" w:hAnsi="Times New Roman"/>
          <w:b/>
          <w:i/>
          <w:color w:val="000000"/>
          <w:sz w:val="21"/>
        </w:rPr>
        <w:t>Fig 7.1 – Architectural Data Flow Diagram of the Platform.</w:t>
      </w:r>
    </w:p>
    <w:p>
      <w:r>
        <w:br w:type="page"/>
      </w:r>
    </w:p>
    <w:p>
      <w:pPr>
        <w:spacing w:before="320" w:after="200" w:line="276" w:lineRule="auto"/>
        <w:jc w:val="center"/>
      </w:pPr>
      <w:r>
        <w:rPr>
          <w:rFonts w:ascii="Times New Roman" w:hAnsi="Times New Roman"/>
          <w:b/>
          <w:color w:val="000000"/>
          <w:sz w:val="32"/>
        </w:rPr>
        <w:t>CHAPTER 8</w:t>
        <w:br/>
        <w:t>MODULES</w:t>
      </w:r>
    </w:p>
    <w:p>
      <w:pPr>
        <w:spacing w:before="240" w:after="80" w:line="276" w:lineRule="auto"/>
        <w:jc w:val="left"/>
      </w:pPr>
      <w:r>
        <w:rPr>
          <w:rFonts w:ascii="Times New Roman" w:hAnsi="Times New Roman"/>
          <w:b/>
          <w:color w:val="000000"/>
          <w:sz w:val="26"/>
        </w:rPr>
        <w:t>8.0 Design Approach</w:t>
      </w:r>
    </w:p>
    <w:p>
      <w:pPr>
        <w:spacing w:after="100" w:before="0" w:line="276" w:lineRule="auto"/>
        <w:ind w:firstLine="720"/>
        <w:jc w:val="both"/>
      </w:pPr>
      <w:r>
        <w:rPr>
          <w:rFonts w:ascii="Times New Roman" w:hAnsi="Times New Roman"/>
          <w:color w:val="000000"/>
          <w:sz w:val="24"/>
        </w:rPr>
        <w:t>The system-wide design baseline defines the common architectural principles followed by every module in the application. The web client provides a responsive interface with light and dark themes, full color palette customizability, font scaling, and support for multiple regional languages (English, Tamil, Hindi). The backend API manages authentication, collection-state operations, and offline seed-data fallback, while MongoDB serves as the single source of truth for persistent data. Robust error handling, rate limiting, and input sanitization ensure operational stability across all modules.</w:t>
      </w:r>
    </w:p>
    <w:p>
      <w:pPr>
        <w:spacing w:before="240" w:after="80" w:line="276" w:lineRule="auto"/>
        <w:jc w:val="left"/>
      </w:pPr>
      <w:r>
        <w:rPr>
          <w:rFonts w:ascii="Times New Roman" w:hAnsi="Times New Roman"/>
          <w:b/>
          <w:color w:val="000000"/>
          <w:sz w:val="26"/>
        </w:rPr>
        <w:t>8.1 FOLDER STRUCTURE</w:t>
      </w:r>
    </w:p>
    <w:p>
      <w:pPr>
        <w:spacing w:after="100" w:before="0" w:line="276" w:lineRule="auto"/>
        <w:ind w:firstLine="720"/>
        <w:jc w:val="both"/>
      </w:pPr>
      <w:r>
        <w:rPr>
          <w:rFonts w:ascii="Times New Roman" w:hAnsi="Times New Roman"/>
          <w:color w:val="000000"/>
          <w:sz w:val="24"/>
        </w:rPr>
        <w:t>The PrepCycle project is organized into two main parts: a backend folder that contains the Node.js and Express.js server, and a frontend folder that contains the React application. Keeping the two parts separate allows them to be developed, tested, and run independently.</w:t>
      </w:r>
    </w:p>
    <w:p>
      <w:pPr>
        <w:spacing w:before="160" w:after="60" w:line="276" w:lineRule="auto"/>
        <w:jc w:val="left"/>
      </w:pPr>
      <w:r>
        <w:rPr>
          <w:rFonts w:ascii="Times New Roman" w:hAnsi="Times New Roman"/>
          <w:b/>
          <w:i/>
          <w:color w:val="000000"/>
          <w:sz w:val="24"/>
        </w:rPr>
        <w:t>BACKEND FOLDER</w:t>
      </w:r>
    </w:p>
    <w:p>
      <w:pPr>
        <w:spacing w:after="100" w:before="0" w:line="276" w:lineRule="auto"/>
        <w:ind w:firstLine="720"/>
        <w:jc w:val="both"/>
      </w:pPr>
      <w:r>
        <w:rPr>
          <w:rFonts w:ascii="Times New Roman" w:hAnsi="Times New Roman"/>
          <w:color w:val="000000"/>
          <w:sz w:val="24"/>
        </w:rPr>
        <w:t>The image below illustrates the directory organization of the backend sub-system in Visual Studio Code. Inside the backend folder, modular directories contain controllers, models, routes, services, middleware, and configuration files along with database seeding scripts:</w:t>
      </w:r>
    </w:p>
    <w:p>
      <w:pPr>
        <w:spacing w:before="120" w:after="60"/>
        <w:jc w:val="center"/>
      </w:pPr>
      <w:r>
        <w:drawing>
          <wp:inline xmlns:a="http://schemas.openxmlformats.org/drawingml/2006/main" xmlns:pic="http://schemas.openxmlformats.org/drawingml/2006/picture">
            <wp:extent cx="3840480" cy="5434642"/>
            <wp:docPr id="7" name="Picture 7"/>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3840480" cy="5434642"/>
                    </a:xfrm>
                    <a:prstGeom prst="rect"/>
                  </pic:spPr>
                </pic:pic>
              </a:graphicData>
            </a:graphic>
          </wp:inline>
        </w:drawing>
      </w:r>
    </w:p>
    <w:p>
      <w:pPr>
        <w:spacing w:before="40" w:after="160"/>
        <w:jc w:val="center"/>
      </w:pPr>
      <w:r>
        <w:rPr>
          <w:rFonts w:ascii="Times New Roman" w:hAnsi="Times New Roman"/>
          <w:b/>
          <w:i/>
          <w:color w:val="000000"/>
          <w:sz w:val="21"/>
        </w:rPr>
        <w:t>Fig 8.1 – Backend Folder Structure – Overall organization of backend files and directories.</w:t>
      </w:r>
    </w:p>
    <w:p>
      <w:pPr>
        <w:spacing w:before="160" w:after="60" w:line="276" w:lineRule="auto"/>
        <w:jc w:val="left"/>
      </w:pPr>
      <w:r>
        <w:rPr>
          <w:rFonts w:ascii="Times New Roman" w:hAnsi="Times New Roman"/>
          <w:b/>
          <w:i/>
          <w:color w:val="000000"/>
          <w:sz w:val="24"/>
        </w:rPr>
        <w:t>FRONTEND FOLDER</w:t>
      </w:r>
    </w:p>
    <w:p>
      <w:pPr>
        <w:spacing w:after="100" w:before="0" w:line="276" w:lineRule="auto"/>
        <w:ind w:firstLine="720"/>
        <w:jc w:val="both"/>
      </w:pPr>
      <w:r>
        <w:rPr>
          <w:rFonts w:ascii="Times New Roman" w:hAnsi="Times New Roman"/>
          <w:color w:val="000000"/>
          <w:sz w:val="24"/>
        </w:rPr>
        <w:t>The image below illustrates the directory organization of the React frontend sub-system in Visual Studio Code. The source directory contains dedicated folders for components, pages, context providers, API wrappers, and static assets:</w:t>
      </w:r>
    </w:p>
    <w:p>
      <w:pPr>
        <w:spacing w:before="120" w:after="60"/>
        <w:jc w:val="center"/>
      </w:pPr>
      <w:r>
        <w:drawing>
          <wp:inline xmlns:a="http://schemas.openxmlformats.org/drawingml/2006/main" xmlns:pic="http://schemas.openxmlformats.org/drawingml/2006/picture">
            <wp:extent cx="3840480" cy="6901995"/>
            <wp:docPr id="8" name="Picture 8"/>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3840480" cy="6901995"/>
                    </a:xfrm>
                    <a:prstGeom prst="rect"/>
                  </pic:spPr>
                </pic:pic>
              </a:graphicData>
            </a:graphic>
          </wp:inline>
        </w:drawing>
      </w:r>
    </w:p>
    <w:p>
      <w:pPr>
        <w:spacing w:before="40" w:after="160"/>
        <w:jc w:val="center"/>
      </w:pPr>
      <w:r>
        <w:rPr>
          <w:rFonts w:ascii="Times New Roman" w:hAnsi="Times New Roman"/>
          <w:b/>
          <w:i/>
          <w:color w:val="000000"/>
          <w:sz w:val="21"/>
        </w:rPr>
        <w:t>Fig 8.2 – Frontend Folder Structure – Layout of the React-based frontend directories.</w:t>
      </w:r>
    </w:p>
    <w:p>
      <w:pPr>
        <w:spacing w:before="240" w:after="80" w:line="276" w:lineRule="auto"/>
        <w:jc w:val="left"/>
      </w:pPr>
      <w:r>
        <w:rPr>
          <w:rFonts w:ascii="Times New Roman" w:hAnsi="Times New Roman"/>
          <w:b/>
          <w:color w:val="000000"/>
          <w:sz w:val="26"/>
        </w:rPr>
        <w:t>8.2 USER AUTHENTICATION &amp; ACCESS CONTROL</w:t>
      </w:r>
    </w:p>
    <w:p>
      <w:pPr>
        <w:spacing w:before="120" w:after="60"/>
        <w:jc w:val="center"/>
      </w:pPr>
      <w:r>
        <w:drawing>
          <wp:inline xmlns:a="http://schemas.openxmlformats.org/drawingml/2006/main" xmlns:pic="http://schemas.openxmlformats.org/drawingml/2006/picture">
            <wp:extent cx="5303520" cy="2876893"/>
            <wp:docPr id="9" name="Picture 9"/>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303520" cy="2876893"/>
                    </a:xfrm>
                    <a:prstGeom prst="rect"/>
                  </pic:spPr>
                </pic:pic>
              </a:graphicData>
            </a:graphic>
          </wp:inline>
        </w:drawing>
      </w:r>
    </w:p>
    <w:p>
      <w:pPr>
        <w:spacing w:before="40" w:after="160"/>
        <w:jc w:val="center"/>
      </w:pPr>
      <w:r>
        <w:rPr>
          <w:rFonts w:ascii="Times New Roman" w:hAnsi="Times New Roman"/>
          <w:b/>
          <w:i/>
          <w:color w:val="000000"/>
          <w:sz w:val="21"/>
        </w:rPr>
        <w:t>Fig 8.3 – User Authentication &amp; Registration Interface – Sign-in with credentials or Google OAuth with 3D background.</w:t>
      </w:r>
    </w:p>
    <w:p>
      <w:pPr>
        <w:spacing w:before="120" w:after="60"/>
        <w:jc w:val="center"/>
      </w:pPr>
      <w:r>
        <w:drawing>
          <wp:inline xmlns:a="http://schemas.openxmlformats.org/drawingml/2006/main" xmlns:pic="http://schemas.openxmlformats.org/drawingml/2006/picture">
            <wp:extent cx="5303520" cy="2599270"/>
            <wp:docPr id="10" name="Picture 10"/>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5303520" cy="2599270"/>
                    </a:xfrm>
                    <a:prstGeom prst="rect"/>
                  </pic:spPr>
                </pic:pic>
              </a:graphicData>
            </a:graphic>
          </wp:inline>
        </w:drawing>
      </w:r>
    </w:p>
    <w:p>
      <w:pPr>
        <w:spacing w:before="40" w:after="160"/>
        <w:jc w:val="center"/>
      </w:pPr>
      <w:r>
        <w:rPr>
          <w:rFonts w:ascii="Times New Roman" w:hAnsi="Times New Roman"/>
          <w:b/>
          <w:i/>
          <w:color w:val="000000"/>
          <w:sz w:val="21"/>
        </w:rPr>
        <w:t>Fig 8.4 – Google OAuth 2.0 Real Authentication Interface – Single sign-on authentication.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secure registration, sign-in, and role-based access for the four user types of the portal (Student, Academic Mentor, Delivery Partner, and Administrator). Every request that reads or writes portal data is accepted only when it carries a valid JSON Web Token (JWT). The module supports user session validation, handles invalid or expired tokens, and prevents unauthorized access to protected routes without publicly revealing role distinctions on the login page.</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Unified Registration &amp; Sign-In: </w:t>
      </w:r>
      <w:r>
        <w:rPr>
          <w:rFonts w:ascii="Times New Roman" w:hAnsi="Times New Roman"/>
          <w:color w:val="000000"/>
          <w:sz w:val="24"/>
        </w:rPr>
        <w:t>A visitor registers with a name, email, password, and role; passwords are encrypted with bcrypt salts. Registered users sign in and receive a signed JWT valid for 12 hours.</w:t>
      </w:r>
    </w:p>
    <w:p>
      <w:pPr>
        <w:pStyle w:val="ListBullet"/>
        <w:spacing w:after="60" w:before="20" w:line="276" w:lineRule="auto"/>
        <w:ind w:left="720" w:hanging="360"/>
        <w:jc w:val="both"/>
      </w:pPr>
      <w:r>
        <w:rPr>
          <w:rFonts w:ascii="Times New Roman" w:hAnsi="Times New Roman"/>
          <w:b/>
          <w:color w:val="000000"/>
          <w:sz w:val="24"/>
        </w:rPr>
        <w:t xml:space="preserve">• Real Google OAuth Sign-In: </w:t>
      </w:r>
      <w:r>
        <w:rPr>
          <w:rFonts w:ascii="Times New Roman" w:hAnsi="Times New Roman"/>
          <w:color w:val="000000"/>
          <w:sz w:val="24"/>
        </w:rPr>
        <w:t>Users authenticate through official Google OAuth 2.0 authorization codes; Google ID tokens are verified on the backend to issue valid JWT sessions.</w:t>
      </w:r>
    </w:p>
    <w:p>
      <w:pPr>
        <w:pStyle w:val="ListBullet"/>
        <w:spacing w:after="60" w:before="20" w:line="276" w:lineRule="auto"/>
        <w:ind w:left="720" w:hanging="360"/>
        <w:jc w:val="both"/>
      </w:pPr>
      <w:r>
        <w:rPr>
          <w:rFonts w:ascii="Times New Roman" w:hAnsi="Times New Roman"/>
          <w:b/>
          <w:color w:val="000000"/>
          <w:sz w:val="24"/>
        </w:rPr>
        <w:t xml:space="preserve">• Dynamic Role Redirection: </w:t>
      </w:r>
      <w:r>
        <w:rPr>
          <w:rFonts w:ascii="Times New Roman" w:hAnsi="Times New Roman"/>
          <w:color w:val="000000"/>
          <w:sz w:val="24"/>
        </w:rPr>
        <w:t>Upon sign-in, the client inspects role claims and immediately redirects Students to /exam-explorer, Mentors to /mentor, Delivery Partners to /delivery, and Administrators to /admin.</w:t>
      </w:r>
    </w:p>
    <w:p>
      <w:pPr>
        <w:pStyle w:val="ListBullet"/>
        <w:spacing w:after="60" w:before="20" w:line="276" w:lineRule="auto"/>
        <w:ind w:left="720" w:hanging="360"/>
        <w:jc w:val="both"/>
      </w:pPr>
      <w:r>
        <w:rPr>
          <w:rFonts w:ascii="Times New Roman" w:hAnsi="Times New Roman"/>
          <w:b/>
          <w:color w:val="000000"/>
          <w:sz w:val="24"/>
        </w:rPr>
        <w:t xml:space="preserve">• Unique Student Roll ID: </w:t>
      </w:r>
      <w:r>
        <w:rPr>
          <w:rFonts w:ascii="Times New Roman" w:hAnsi="Times New Roman"/>
          <w:color w:val="000000"/>
          <w:sz w:val="24"/>
        </w:rPr>
        <w:t>The backend automatically generates non-colliding Student IDs (e.g. PC-STU-100001) upon student account creation.</w:t>
      </w:r>
    </w:p>
    <w:p>
      <w:pPr>
        <w:pStyle w:val="ListBullet"/>
        <w:spacing w:after="60" w:before="20" w:line="276" w:lineRule="auto"/>
        <w:ind w:left="720" w:hanging="360"/>
        <w:jc w:val="both"/>
      </w:pPr>
      <w:r>
        <w:rPr>
          <w:rFonts w:ascii="Times New Roman" w:hAnsi="Times New Roman"/>
          <w:b/>
          <w:color w:val="000000"/>
          <w:sz w:val="24"/>
        </w:rPr>
        <w:t xml:space="preserve">• Secure Token Management: </w:t>
      </w:r>
      <w:r>
        <w:rPr>
          <w:rFonts w:ascii="Times New Roman" w:hAnsi="Times New Roman"/>
          <w:color w:val="000000"/>
          <w:sz w:val="24"/>
        </w:rPr>
        <w:t>The browser stores tokens in localStorage and attaches them as Authorization: Bearer headers on all subsequent API calls.</w:t>
      </w:r>
    </w:p>
    <w:p>
      <w:pPr>
        <w:spacing w:before="160" w:after="60" w:line="276" w:lineRule="auto"/>
        <w:jc w:val="left"/>
      </w:pPr>
      <w:r>
        <w:rPr>
          <w:rFonts w:ascii="Times New Roman" w:hAnsi="Times New Roman"/>
          <w:b/>
          <w:i/>
          <w:color w:val="000000"/>
          <w:sz w:val="24"/>
        </w:rPr>
        <w:t>Non-Functional Requirements</w:t>
      </w:r>
    </w:p>
    <w:p>
      <w:pPr>
        <w:spacing w:after="100" w:before="0" w:line="276" w:lineRule="auto"/>
        <w:ind w:firstLine="288"/>
        <w:jc w:val="both"/>
      </w:pPr>
      <w:r>
        <w:rPr>
          <w:rFonts w:ascii="Times New Roman" w:hAnsi="Times New Roman"/>
          <w:color w:val="000000"/>
          <w:sz w:val="24"/>
        </w:rPr>
        <w:t>How well the module must do it (the system-wide baseline in 8.0 also applies):</w:t>
      </w:r>
    </w:p>
    <w:p>
      <w:pPr>
        <w:pStyle w:val="ListBullet"/>
        <w:spacing w:after="60" w:before="20" w:line="276" w:lineRule="auto"/>
        <w:ind w:left="720" w:hanging="360"/>
        <w:jc w:val="both"/>
      </w:pPr>
      <w:r>
        <w:rPr>
          <w:rFonts w:ascii="Times New Roman" w:hAnsi="Times New Roman"/>
          <w:b/>
          <w:color w:val="000000"/>
          <w:sz w:val="24"/>
        </w:rPr>
        <w:t xml:space="preserve">• Cryptographic Security: </w:t>
      </w:r>
      <w:r>
        <w:rPr>
          <w:rFonts w:ascii="Times New Roman" w:hAnsi="Times New Roman"/>
          <w:color w:val="000000"/>
          <w:sz w:val="24"/>
        </w:rPr>
        <w:t>Passwords are never stored in plaintext; 10-round bcrypt hashes ensure brute-force protection.</w:t>
      </w:r>
    </w:p>
    <w:p>
      <w:pPr>
        <w:pStyle w:val="ListBullet"/>
        <w:spacing w:after="60" w:before="20" w:line="276" w:lineRule="auto"/>
        <w:ind w:left="720" w:hanging="360"/>
        <w:jc w:val="both"/>
      </w:pPr>
      <w:r>
        <w:rPr>
          <w:rFonts w:ascii="Times New Roman" w:hAnsi="Times New Roman"/>
          <w:b/>
          <w:color w:val="000000"/>
          <w:sz w:val="24"/>
        </w:rPr>
        <w:t xml:space="preserve">• Response Latency: </w:t>
      </w:r>
      <w:r>
        <w:rPr>
          <w:rFonts w:ascii="Times New Roman" w:hAnsi="Times New Roman"/>
          <w:color w:val="000000"/>
          <w:sz w:val="24"/>
        </w:rPr>
        <w:t>Authentication verification and JWT issuance complete in under 200 milliseconds.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/api/auth/register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Creates account with role, hashed password, and student ID.</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/api/auth/login</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Authenticates credentials and returns JWT plus user role.</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/api/auth/google/verify</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Validates Google OAuth tokens and issues platform session.</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/api/auth/me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current authenticated user profile from token.</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_id (ObjectId); unique email, sparse unique studentId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name, email, password, role, studentId, mentor, authProvider</w:t>
            </w:r>
          </w:p>
        </w:tc>
      </w:tr>
    </w:tbl>
    <w:p/>
    <w:p>
      <w:pPr>
        <w:pStyle w:val="ListBullet"/>
        <w:spacing w:after="60" w:before="20" w:line="276" w:lineRule="auto"/>
        <w:ind w:left="720" w:hanging="360"/>
        <w:jc w:val="both"/>
      </w:pPr>
      <w:r>
        <w:rPr>
          <w:rFonts w:ascii="Times New Roman" w:hAnsi="Times New Roman"/>
          <w:b/>
          <w:color w:val="000000"/>
          <w:sz w:val="24"/>
        </w:rPr>
        <w:t xml:space="preserve">• Unique email index: </w:t>
      </w:r>
      <w:r>
        <w:rPr>
          <w:rFonts w:ascii="Times New Roman" w:hAnsi="Times New Roman"/>
          <w:color w:val="000000"/>
          <w:sz w:val="24"/>
        </w:rPr>
        <w:t>Enables rapid single-index authentication lookup and prevents duplicate registrations.</w:t>
      </w:r>
    </w:p>
    <w:p>
      <w:pPr>
        <w:pStyle w:val="ListBullet"/>
        <w:spacing w:after="60" w:before="20" w:line="276" w:lineRule="auto"/>
        <w:ind w:left="720" w:hanging="360"/>
        <w:jc w:val="both"/>
      </w:pPr>
      <w:r>
        <w:rPr>
          <w:rFonts w:ascii="Times New Roman" w:hAnsi="Times New Roman"/>
          <w:b/>
          <w:color w:val="000000"/>
          <w:sz w:val="24"/>
        </w:rPr>
        <w:t xml:space="preserve">• Role claim field: </w:t>
      </w:r>
      <w:r>
        <w:rPr>
          <w:rFonts w:ascii="Times New Roman" w:hAnsi="Times New Roman"/>
          <w:color w:val="000000"/>
          <w:sz w:val="24"/>
        </w:rPr>
        <w:t>Controls access permissions across Student, Academic Mentor, Delivery Partner, and Administrator.</w:t>
      </w:r>
    </w:p>
    <w:p>
      <w:pPr>
        <w:spacing w:before="240" w:after="80" w:line="276" w:lineRule="auto"/>
        <w:jc w:val="left"/>
      </w:pPr>
      <w:r>
        <w:rPr>
          <w:rFonts w:ascii="Times New Roman" w:hAnsi="Times New Roman"/>
          <w:b/>
          <w:color w:val="000000"/>
          <w:sz w:val="26"/>
        </w:rPr>
        <w:t>8.3 ROLE-BASED DASHBOARD ROUTING &amp; PERMISSIONS</w:t>
      </w:r>
    </w:p>
    <w:p>
      <w:pPr>
        <w:spacing w:before="120" w:after="60"/>
        <w:jc w:val="center"/>
      </w:pPr>
      <w:r>
        <w:drawing>
          <wp:inline xmlns:a="http://schemas.openxmlformats.org/drawingml/2006/main" xmlns:pic="http://schemas.openxmlformats.org/drawingml/2006/picture">
            <wp:extent cx="5303520" cy="2825395"/>
            <wp:docPr id="11" name="Picture 11"/>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5303520" cy="2825395"/>
                    </a:xfrm>
                    <a:prstGeom prst="rect"/>
                  </pic:spPr>
                </pic:pic>
              </a:graphicData>
            </a:graphic>
          </wp:inline>
        </w:drawing>
      </w:r>
    </w:p>
    <w:p>
      <w:pPr>
        <w:spacing w:before="40" w:after="160"/>
        <w:jc w:val="center"/>
      </w:pPr>
      <w:r>
        <w:rPr>
          <w:rFonts w:ascii="Times New Roman" w:hAnsi="Times New Roman"/>
          <w:b/>
          <w:i/>
          <w:color w:val="000000"/>
          <w:sz w:val="21"/>
        </w:rPr>
        <w:t>Fig 8.5.1 – Student Dashboard Redirection – Access to study roadmaps and exams.</w:t>
      </w:r>
    </w:p>
    <w:p>
      <w:pPr>
        <w:spacing w:before="120" w:after="60"/>
        <w:jc w:val="center"/>
      </w:pPr>
      <w:r>
        <w:drawing>
          <wp:inline xmlns:a="http://schemas.openxmlformats.org/drawingml/2006/main" xmlns:pic="http://schemas.openxmlformats.org/drawingml/2006/picture">
            <wp:extent cx="5303520" cy="2679411"/>
            <wp:docPr id="12" name="Picture 12"/>
            <wp:cNvGraphicFramePr>
              <a:graphicFrameLocks noChangeAspect="1"/>
            </wp:cNvGraphicFramePr>
            <a:graphic>
              <a:graphicData uri="http://schemas.openxmlformats.org/drawingml/2006/picture">
                <pic:pic>
                  <pic:nvPicPr>
                    <pic:cNvPr id="0" name="image10.png"/>
                    <pic:cNvPicPr/>
                  </pic:nvPicPr>
                  <pic:blipFill>
                    <a:blip r:embed="rId20"/>
                    <a:stretch>
                      <a:fillRect/>
                    </a:stretch>
                  </pic:blipFill>
                  <pic:spPr>
                    <a:xfrm>
                      <a:off x="0" y="0"/>
                      <a:ext cx="5303520" cy="2679411"/>
                    </a:xfrm>
                    <a:prstGeom prst="rect"/>
                  </pic:spPr>
                </pic:pic>
              </a:graphicData>
            </a:graphic>
          </wp:inline>
        </w:drawing>
      </w:r>
    </w:p>
    <w:p>
      <w:pPr>
        <w:spacing w:before="40" w:after="160"/>
        <w:jc w:val="center"/>
      </w:pPr>
      <w:r>
        <w:rPr>
          <w:rFonts w:ascii="Times New Roman" w:hAnsi="Times New Roman"/>
          <w:b/>
          <w:i/>
          <w:color w:val="000000"/>
          <w:sz w:val="21"/>
        </w:rPr>
        <w:t>Fig 8.5.2 – Admin Dashboard Redirection – Platform statistics and system governance.</w:t>
      </w:r>
    </w:p>
    <w:p>
      <w:pPr>
        <w:spacing w:before="120" w:after="60"/>
        <w:jc w:val="center"/>
      </w:pPr>
      <w:r>
        <w:drawing>
          <wp:inline xmlns:a="http://schemas.openxmlformats.org/drawingml/2006/main" xmlns:pic="http://schemas.openxmlformats.org/drawingml/2006/picture">
            <wp:extent cx="5303520" cy="2474236"/>
            <wp:docPr id="13" name="Picture 13"/>
            <wp:cNvGraphicFramePr>
              <a:graphicFrameLocks noChangeAspect="1"/>
            </wp:cNvGraphicFramePr>
            <a:graphic>
              <a:graphicData uri="http://schemas.openxmlformats.org/drawingml/2006/picture">
                <pic:pic>
                  <pic:nvPicPr>
                    <pic:cNvPr id="0" name="image11.png"/>
                    <pic:cNvPicPr/>
                  </pic:nvPicPr>
                  <pic:blipFill>
                    <a:blip r:embed="rId21"/>
                    <a:stretch>
                      <a:fillRect/>
                    </a:stretch>
                  </pic:blipFill>
                  <pic:spPr>
                    <a:xfrm>
                      <a:off x="0" y="0"/>
                      <a:ext cx="5303520" cy="2474236"/>
                    </a:xfrm>
                    <a:prstGeom prst="rect"/>
                  </pic:spPr>
                </pic:pic>
              </a:graphicData>
            </a:graphic>
          </wp:inline>
        </w:drawing>
      </w:r>
    </w:p>
    <w:p>
      <w:pPr>
        <w:spacing w:before="40" w:after="160"/>
        <w:jc w:val="center"/>
      </w:pPr>
      <w:r>
        <w:rPr>
          <w:rFonts w:ascii="Times New Roman" w:hAnsi="Times New Roman"/>
          <w:b/>
          <w:i/>
          <w:color w:val="000000"/>
          <w:sz w:val="21"/>
        </w:rPr>
        <w:t>Fig 8.5.3 – Mentor Dashboard Redirection – Assigned students and progress curves.</w:t>
      </w:r>
    </w:p>
    <w:p>
      <w:pPr>
        <w:spacing w:before="120" w:after="60"/>
        <w:jc w:val="center"/>
      </w:pPr>
      <w:r>
        <w:drawing>
          <wp:inline xmlns:a="http://schemas.openxmlformats.org/drawingml/2006/main" xmlns:pic="http://schemas.openxmlformats.org/drawingml/2006/picture">
            <wp:extent cx="5303520" cy="3293124"/>
            <wp:docPr id="14" name="Picture 14"/>
            <wp:cNvGraphicFramePr>
              <a:graphicFrameLocks noChangeAspect="1"/>
            </wp:cNvGraphicFramePr>
            <a:graphic>
              <a:graphicData uri="http://schemas.openxmlformats.org/drawingml/2006/picture">
                <pic:pic>
                  <pic:nvPicPr>
                    <pic:cNvPr id="0" name="image12.png"/>
                    <pic:cNvPicPr/>
                  </pic:nvPicPr>
                  <pic:blipFill>
                    <a:blip r:embed="rId22"/>
                    <a:stretch>
                      <a:fillRect/>
                    </a:stretch>
                  </pic:blipFill>
                  <pic:spPr>
                    <a:xfrm>
                      <a:off x="0" y="0"/>
                      <a:ext cx="5303520" cy="3293124"/>
                    </a:xfrm>
                    <a:prstGeom prst="rect"/>
                  </pic:spPr>
                </pic:pic>
              </a:graphicData>
            </a:graphic>
          </wp:inline>
        </w:drawing>
      </w:r>
    </w:p>
    <w:p>
      <w:pPr>
        <w:spacing w:before="40" w:after="160"/>
        <w:jc w:val="center"/>
      </w:pPr>
      <w:r>
        <w:rPr>
          <w:rFonts w:ascii="Times New Roman" w:hAnsi="Times New Roman"/>
          <w:b/>
          <w:i/>
          <w:color w:val="000000"/>
          <w:sz w:val="21"/>
        </w:rPr>
        <w:t>Fig 8.5.4 – Delivery Dashboard Redirection – Consignments and OTP verification.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Ensures strict data isolation and route protection by evaluating user roles and navigating authenticated users to their authorized operational dashboard while rejecting unauthorized access attempts.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Client-Side Route Protection: </w:t>
      </w:r>
      <w:r>
        <w:rPr>
          <w:rFonts w:ascii="Times New Roman" w:hAnsi="Times New Roman"/>
          <w:color w:val="000000"/>
          <w:sz w:val="24"/>
        </w:rPr>
        <w:t>ProtectedRoute wrappers intercept navigation, verifying token validity and role authorization before rendering target views.</w:t>
      </w:r>
    </w:p>
    <w:p>
      <w:pPr>
        <w:pStyle w:val="ListBullet"/>
        <w:spacing w:after="60" w:before="20" w:line="276" w:lineRule="auto"/>
        <w:ind w:left="720" w:hanging="360"/>
        <w:jc w:val="both"/>
      </w:pPr>
      <w:r>
        <w:rPr>
          <w:rFonts w:ascii="Times New Roman" w:hAnsi="Times New Roman"/>
          <w:b/>
          <w:color w:val="000000"/>
          <w:sz w:val="24"/>
        </w:rPr>
        <w:t xml:space="preserve">• Automated Redirection: </w:t>
      </w:r>
      <w:r>
        <w:rPr>
          <w:rFonts w:ascii="Times New Roman" w:hAnsi="Times New Roman"/>
          <w:color w:val="000000"/>
          <w:sz w:val="24"/>
        </w:rPr>
        <w:t>Redirects unauthenticated visitors to /login and directs unauthorized role attempts to their designated home screen.</w:t>
      </w:r>
    </w:p>
    <w:p>
      <w:pPr>
        <w:pStyle w:val="ListBullet"/>
        <w:spacing w:after="60" w:before="20" w:line="276" w:lineRule="auto"/>
        <w:ind w:left="720" w:hanging="360"/>
        <w:jc w:val="both"/>
      </w:pPr>
      <w:r>
        <w:rPr>
          <w:rFonts w:ascii="Times New Roman" w:hAnsi="Times New Roman"/>
          <w:b/>
          <w:color w:val="000000"/>
          <w:sz w:val="24"/>
        </w:rPr>
        <w:t xml:space="preserve">• Persistent State Restoration: </w:t>
      </w:r>
      <w:r>
        <w:rPr>
          <w:rFonts w:ascii="Times New Roman" w:hAnsi="Times New Roman"/>
          <w:color w:val="000000"/>
          <w:sz w:val="24"/>
        </w:rPr>
        <w:t>Re-authenticates active sessions on browser reload using stored localStorage tokens.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Zero-Flicker Routing: </w:t>
      </w:r>
      <w:r>
        <w:rPr>
          <w:rFonts w:ascii="Times New Roman" w:hAnsi="Times New Roman"/>
          <w:color w:val="000000"/>
          <w:sz w:val="24"/>
        </w:rPr>
        <w:t>Route authorization resolves synchronously to prevent UI layout shift or content leakage.</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/api/auth/me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Validates session token and returns authorized role claims.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role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role, permissions, lastLogin</w:t>
            </w:r>
          </w:p>
        </w:tc>
      </w:tr>
    </w:tbl>
    <w:p/>
    <w:p>
      <w:pPr>
        <w:spacing w:before="240" w:after="80" w:line="276" w:lineRule="auto"/>
        <w:jc w:val="left"/>
      </w:pPr>
      <w:r>
        <w:rPr>
          <w:rFonts w:ascii="Times New Roman" w:hAnsi="Times New Roman"/>
          <w:b/>
          <w:color w:val="000000"/>
          <w:sz w:val="26"/>
        </w:rPr>
        <w:t>8.4 EXAM EXPLORER &amp; OFFICIAL SYLLABUS ROADMAP</w:t>
      </w:r>
    </w:p>
    <w:p>
      <w:pPr>
        <w:spacing w:before="120" w:after="60"/>
        <w:jc w:val="center"/>
      </w:pPr>
      <w:r>
        <w:drawing>
          <wp:inline xmlns:a="http://schemas.openxmlformats.org/drawingml/2006/main" xmlns:pic="http://schemas.openxmlformats.org/drawingml/2006/picture">
            <wp:extent cx="5303520" cy="3172833"/>
            <wp:docPr id="15" name="Picture 15"/>
            <wp:cNvGraphicFramePr>
              <a:graphicFrameLocks noChangeAspect="1"/>
            </wp:cNvGraphicFramePr>
            <a:graphic>
              <a:graphicData uri="http://schemas.openxmlformats.org/drawingml/2006/picture">
                <pic:pic>
                  <pic:nvPicPr>
                    <pic:cNvPr id="0" name="image13.png"/>
                    <pic:cNvPicPr/>
                  </pic:nvPicPr>
                  <pic:blipFill>
                    <a:blip r:embed="rId23"/>
                    <a:stretch>
                      <a:fillRect/>
                    </a:stretch>
                  </pic:blipFill>
                  <pic:spPr>
                    <a:xfrm>
                      <a:off x="0" y="0"/>
                      <a:ext cx="5303520" cy="3172833"/>
                    </a:xfrm>
                    <a:prstGeom prst="rect"/>
                  </pic:spPr>
                </pic:pic>
              </a:graphicData>
            </a:graphic>
          </wp:inline>
        </w:drawing>
      </w:r>
    </w:p>
    <w:p>
      <w:pPr>
        <w:spacing w:before="40" w:after="160"/>
        <w:jc w:val="center"/>
      </w:pPr>
      <w:r>
        <w:rPr>
          <w:rFonts w:ascii="Times New Roman" w:hAnsi="Times New Roman"/>
          <w:b/>
          <w:i/>
          <w:color w:val="000000"/>
          <w:sz w:val="21"/>
        </w:rPr>
        <w:t>Fig 8.6 – Student Exam Explorer Interface – Competitive examination catalog and selection.</w:t>
      </w:r>
    </w:p>
    <w:p>
      <w:pPr>
        <w:spacing w:before="120" w:after="60"/>
        <w:jc w:val="center"/>
      </w:pPr>
      <w:r>
        <w:drawing>
          <wp:inline xmlns:a="http://schemas.openxmlformats.org/drawingml/2006/main" xmlns:pic="http://schemas.openxmlformats.org/drawingml/2006/picture">
            <wp:extent cx="5303520" cy="3597203"/>
            <wp:docPr id="16" name="Picture 16"/>
            <wp:cNvGraphicFramePr>
              <a:graphicFrameLocks noChangeAspect="1"/>
            </wp:cNvGraphicFramePr>
            <a:graphic>
              <a:graphicData uri="http://schemas.openxmlformats.org/drawingml/2006/picture">
                <pic:pic>
                  <pic:nvPicPr>
                    <pic:cNvPr id="0" name="image14.png"/>
                    <pic:cNvPicPr/>
                  </pic:nvPicPr>
                  <pic:blipFill>
                    <a:blip r:embed="rId24"/>
                    <a:stretch>
                      <a:fillRect/>
                    </a:stretch>
                  </pic:blipFill>
                  <pic:spPr>
                    <a:xfrm>
                      <a:off x="0" y="0"/>
                      <a:ext cx="5303520" cy="3597203"/>
                    </a:xfrm>
                    <a:prstGeom prst="rect"/>
                  </pic:spPr>
                </pic:pic>
              </a:graphicData>
            </a:graphic>
          </wp:inline>
        </w:drawing>
      </w:r>
    </w:p>
    <w:p>
      <w:pPr>
        <w:spacing w:before="40" w:after="160"/>
        <w:jc w:val="center"/>
      </w:pPr>
      <w:r>
        <w:rPr>
          <w:rFonts w:ascii="Times New Roman" w:hAnsi="Times New Roman"/>
          <w:b/>
          <w:i/>
          <w:color w:val="000000"/>
          <w:sz w:val="21"/>
        </w:rPr>
        <w:t>Fig 8.7 – Weightage-Based Syllabus Roadmap – High, Medium, and Low weightage topic prioritization.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Enables students to explore national competitive examination catalogs, register for target exams, and navigate structured, weightage-prioritized syllabus roadmaps (High, Medium, Low) without omitting any official topics.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Examination Catalog: </w:t>
      </w:r>
      <w:r>
        <w:rPr>
          <w:rFonts w:ascii="Times New Roman" w:hAnsi="Times New Roman"/>
          <w:color w:val="000000"/>
          <w:sz w:val="24"/>
        </w:rPr>
        <w:t>Lists competitive exams (GATE CSE, UPSC, JEE, NEET, CAT) with conducting body details and syllabus links.</w:t>
      </w:r>
    </w:p>
    <w:p>
      <w:pPr>
        <w:pStyle w:val="ListBullet"/>
        <w:spacing w:after="60" w:before="20" w:line="276" w:lineRule="auto"/>
        <w:ind w:left="720" w:hanging="360"/>
        <w:jc w:val="both"/>
      </w:pPr>
      <w:r>
        <w:rPr>
          <w:rFonts w:ascii="Times New Roman" w:hAnsi="Times New Roman"/>
          <w:b/>
          <w:color w:val="000000"/>
          <w:sz w:val="24"/>
        </w:rPr>
        <w:t xml:space="preserve">• Weightage Sorting: </w:t>
      </w:r>
      <w:r>
        <w:rPr>
          <w:rFonts w:ascii="Times New Roman" w:hAnsi="Times New Roman"/>
          <w:color w:val="000000"/>
          <w:sz w:val="24"/>
        </w:rPr>
        <w:t>Categorizes subject chapters and topics into High, Medium, and Low weightage tiers while retaining complete topic coverage.</w:t>
      </w:r>
    </w:p>
    <w:p>
      <w:pPr>
        <w:pStyle w:val="ListBullet"/>
        <w:spacing w:after="60" w:before="20" w:line="276" w:lineRule="auto"/>
        <w:ind w:left="720" w:hanging="360"/>
        <w:jc w:val="both"/>
      </w:pPr>
      <w:r>
        <w:rPr>
          <w:rFonts w:ascii="Times New Roman" w:hAnsi="Times New Roman"/>
          <w:b/>
          <w:color w:val="000000"/>
          <w:sz w:val="24"/>
        </w:rPr>
        <w:t xml:space="preserve">• Search &amp; Filter: </w:t>
      </w:r>
      <w:r>
        <w:rPr>
          <w:rFonts w:ascii="Times New Roman" w:hAnsi="Times New Roman"/>
          <w:color w:val="000000"/>
          <w:sz w:val="24"/>
        </w:rPr>
        <w:t>Allows real-time searching across examination subjects, chapters, and topics.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Fast Catalog Rendering: </w:t>
      </w:r>
      <w:r>
        <w:rPr>
          <w:rFonts w:ascii="Times New Roman" w:hAnsi="Times New Roman"/>
          <w:color w:val="000000"/>
          <w:sz w:val="24"/>
        </w:rPr>
        <w:t>Syllabus trees load within 150ms from optimized embedded Mongoose document structures.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/api/exams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catalog of competitive examinations.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/api/exams/:slug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complete subject, chapter, and topic roadmap for an exam.</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/api/exams/:slug/register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Registers authenticated student for the target exam.</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exams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unique slug index</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slug, name, category, authority, subjects[name, weightage, topics]</w:t>
            </w:r>
          </w:p>
        </w:tc>
      </w:tr>
    </w:tbl>
    <w:p/>
    <w:p>
      <w:pPr>
        <w:spacing w:before="240" w:after="80" w:line="276" w:lineRule="auto"/>
        <w:jc w:val="left"/>
      </w:pPr>
      <w:r>
        <w:rPr>
          <w:rFonts w:ascii="Times New Roman" w:hAnsi="Times New Roman"/>
          <w:b/>
          <w:color w:val="000000"/>
          <w:sz w:val="26"/>
        </w:rPr>
        <w:t>8.5 STUDY PROGRESS &amp; HEATMAP ACTIVITY TRACKING</w:t>
      </w:r>
    </w:p>
    <w:p>
      <w:pPr>
        <w:spacing w:before="120" w:after="60"/>
        <w:jc w:val="center"/>
      </w:pPr>
      <w:r>
        <w:drawing>
          <wp:inline xmlns:a="http://schemas.openxmlformats.org/drawingml/2006/main" xmlns:pic="http://schemas.openxmlformats.org/drawingml/2006/picture">
            <wp:extent cx="5303520" cy="3514208"/>
            <wp:docPr id="17" name="Picture 17"/>
            <wp:cNvGraphicFramePr>
              <a:graphicFrameLocks noChangeAspect="1"/>
            </wp:cNvGraphicFramePr>
            <a:graphic>
              <a:graphicData uri="http://schemas.openxmlformats.org/drawingml/2006/picture">
                <pic:pic>
                  <pic:nvPicPr>
                    <pic:cNvPr id="0" name="image15.png"/>
                    <pic:cNvPicPr/>
                  </pic:nvPicPr>
                  <pic:blipFill>
                    <a:blip r:embed="rId25"/>
                    <a:stretch>
                      <a:fillRect/>
                    </a:stretch>
                  </pic:blipFill>
                  <pic:spPr>
                    <a:xfrm>
                      <a:off x="0" y="0"/>
                      <a:ext cx="5303520" cy="3514208"/>
                    </a:xfrm>
                    <a:prstGeom prst="rect"/>
                  </pic:spPr>
                </pic:pic>
              </a:graphicData>
            </a:graphic>
          </wp:inline>
        </w:drawing>
      </w:r>
    </w:p>
    <w:p>
      <w:pPr>
        <w:spacing w:before="40" w:after="160"/>
        <w:jc w:val="center"/>
      </w:pPr>
      <w:r>
        <w:rPr>
          <w:rFonts w:ascii="Times New Roman" w:hAnsi="Times New Roman"/>
          <w:b/>
          <w:i/>
          <w:color w:val="000000"/>
          <w:sz w:val="21"/>
        </w:rPr>
        <w:t>Fig 8.8 – Syllabus Topic Progress Tracking – Interactive topic completion state management.</w:t>
      </w:r>
    </w:p>
    <w:p>
      <w:pPr>
        <w:spacing w:before="120" w:after="60"/>
        <w:jc w:val="center"/>
      </w:pPr>
      <w:r>
        <w:drawing>
          <wp:inline xmlns:a="http://schemas.openxmlformats.org/drawingml/2006/main" xmlns:pic="http://schemas.openxmlformats.org/drawingml/2006/picture">
            <wp:extent cx="5303520" cy="3369463"/>
            <wp:docPr id="18" name="Picture 18"/>
            <wp:cNvGraphicFramePr>
              <a:graphicFrameLocks noChangeAspect="1"/>
            </wp:cNvGraphicFramePr>
            <a:graphic>
              <a:graphicData uri="http://schemas.openxmlformats.org/drawingml/2006/picture">
                <pic:pic>
                  <pic:nvPicPr>
                    <pic:cNvPr id="0" name="image16.png"/>
                    <pic:cNvPicPr/>
                  </pic:nvPicPr>
                  <pic:blipFill>
                    <a:blip r:embed="rId26"/>
                    <a:stretch>
                      <a:fillRect/>
                    </a:stretch>
                  </pic:blipFill>
                  <pic:spPr>
                    <a:xfrm>
                      <a:off x="0" y="0"/>
                      <a:ext cx="5303520" cy="3369463"/>
                    </a:xfrm>
                    <a:prstGeom prst="rect"/>
                  </pic:spPr>
                </pic:pic>
              </a:graphicData>
            </a:graphic>
          </wp:inline>
        </w:drawing>
      </w:r>
    </w:p>
    <w:p>
      <w:pPr>
        <w:spacing w:before="40" w:after="160"/>
        <w:jc w:val="center"/>
      </w:pPr>
      <w:r>
        <w:rPr>
          <w:rFonts w:ascii="Times New Roman" w:hAnsi="Times New Roman"/>
          <w:b/>
          <w:i/>
          <w:color w:val="000000"/>
          <w:sz w:val="21"/>
        </w:rPr>
        <w:t>Fig 8.9 – Daily Study Streaks &amp; Activity Heatmap – Calendar visualization of student consistency.</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Captures topic completion states, calculates syllabus completion percentages, tracks daily study streaks, and renders a GitHub-style calendar activity heatmap.</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Topic State Toggle: </w:t>
      </w:r>
      <w:r>
        <w:rPr>
          <w:rFonts w:ascii="Times New Roman" w:hAnsi="Times New Roman"/>
          <w:color w:val="000000"/>
          <w:sz w:val="24"/>
        </w:rPr>
        <w:t>Allows students to toggle topics between Pending, In Progress, and Completed states.</w:t>
      </w:r>
    </w:p>
    <w:p>
      <w:pPr>
        <w:pStyle w:val="ListBullet"/>
        <w:spacing w:after="60" w:before="20" w:line="276" w:lineRule="auto"/>
        <w:ind w:left="720" w:hanging="360"/>
        <w:jc w:val="both"/>
      </w:pPr>
      <w:r>
        <w:rPr>
          <w:rFonts w:ascii="Times New Roman" w:hAnsi="Times New Roman"/>
          <w:b/>
          <w:color w:val="000000"/>
          <w:sz w:val="24"/>
        </w:rPr>
        <w:t xml:space="preserve">• Progress Percentage Calculation: </w:t>
      </w:r>
      <w:r>
        <w:rPr>
          <w:rFonts w:ascii="Times New Roman" w:hAnsi="Times New Roman"/>
          <w:color w:val="000000"/>
          <w:sz w:val="24"/>
        </w:rPr>
        <w:t>Automatically recalculates overall and subject-level completion percentages upon state updates.</w:t>
      </w:r>
    </w:p>
    <w:p>
      <w:pPr>
        <w:pStyle w:val="ListBullet"/>
        <w:spacing w:after="60" w:before="20" w:line="276" w:lineRule="auto"/>
        <w:ind w:left="720" w:hanging="360"/>
        <w:jc w:val="both"/>
      </w:pPr>
      <w:r>
        <w:rPr>
          <w:rFonts w:ascii="Times New Roman" w:hAnsi="Times New Roman"/>
          <w:b/>
          <w:color w:val="000000"/>
          <w:sz w:val="24"/>
        </w:rPr>
        <w:t xml:space="preserve">• Streak Counter: </w:t>
      </w:r>
      <w:r>
        <w:rPr>
          <w:rFonts w:ascii="Times New Roman" w:hAnsi="Times New Roman"/>
          <w:color w:val="000000"/>
          <w:sz w:val="24"/>
        </w:rPr>
        <w:t>Tracks consecutive active study days and increments streaks on daily activity.</w:t>
      </w:r>
    </w:p>
    <w:p>
      <w:pPr>
        <w:pStyle w:val="ListBullet"/>
        <w:spacing w:after="60" w:before="20" w:line="276" w:lineRule="auto"/>
        <w:ind w:left="720" w:hanging="360"/>
        <w:jc w:val="both"/>
      </w:pPr>
      <w:r>
        <w:rPr>
          <w:rFonts w:ascii="Times New Roman" w:hAnsi="Times New Roman"/>
          <w:b/>
          <w:color w:val="000000"/>
          <w:sz w:val="24"/>
        </w:rPr>
        <w:t xml:space="preserve">• Calendar Activity Heatmap: </w:t>
      </w:r>
      <w:r>
        <w:rPr>
          <w:rFonts w:ascii="Times New Roman" w:hAnsi="Times New Roman"/>
          <w:color w:val="000000"/>
          <w:sz w:val="24"/>
        </w:rPr>
        <w:t>Visualizes past 365 days of study intensity using color-coded activity tiles.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Atomic Updates: </w:t>
      </w:r>
      <w:r>
        <w:rPr>
          <w:rFonts w:ascii="Times New Roman" w:hAnsi="Times New Roman"/>
          <w:color w:val="000000"/>
          <w:sz w:val="24"/>
        </w:rPr>
        <w:t>Topic state mutations execute atomically to prevent race conditions during rapid checklist clicking.</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/api/progress/:examSlug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Retrieves student's topic completion map and streak metrics.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/api/progress/:examSlug/topic</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Updates topic completion state and recalculates study streak.</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progress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compound index (user, 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examSlug, topicStatus, studyDays, currentStreak</w:t>
            </w:r>
          </w:p>
        </w:tc>
      </w:tr>
    </w:tbl>
    <w:p/>
    <w:p>
      <w:pPr>
        <w:spacing w:before="240" w:after="80" w:line="276" w:lineRule="auto"/>
        <w:jc w:val="left"/>
      </w:pPr>
      <w:r>
        <w:rPr>
          <w:rFonts w:ascii="Times New Roman" w:hAnsi="Times New Roman"/>
          <w:b/>
          <w:color w:val="000000"/>
          <w:sz w:val="26"/>
        </w:rPr>
        <w:t>8.6 COMPUTER-BASED MOCK TESTS &amp; PERFORMANCE ANALYTICS</w:t>
      </w:r>
    </w:p>
    <w:p>
      <w:pPr>
        <w:spacing w:before="120" w:after="60"/>
        <w:jc w:val="center"/>
      </w:pPr>
      <w:r>
        <w:drawing>
          <wp:inline xmlns:a="http://schemas.openxmlformats.org/drawingml/2006/main" xmlns:pic="http://schemas.openxmlformats.org/drawingml/2006/picture">
            <wp:extent cx="5303520" cy="3637671"/>
            <wp:docPr id="19" name="Picture 19"/>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5303520" cy="3637671"/>
                    </a:xfrm>
                    <a:prstGeom prst="rect"/>
                  </pic:spPr>
                </pic:pic>
              </a:graphicData>
            </a:graphic>
          </wp:inline>
        </w:drawing>
      </w:r>
    </w:p>
    <w:p>
      <w:pPr>
        <w:spacing w:before="40" w:after="160"/>
        <w:jc w:val="center"/>
      </w:pPr>
      <w:r>
        <w:rPr>
          <w:rFonts w:ascii="Times New Roman" w:hAnsi="Times New Roman"/>
          <w:b/>
          <w:i/>
          <w:color w:val="000000"/>
          <w:sz w:val="21"/>
        </w:rPr>
        <w:t>Fig 8.10 – Computer-Based Mock Test Interface – Timed examination simulator with question palette.</w:t>
      </w:r>
    </w:p>
    <w:p>
      <w:pPr>
        <w:spacing w:before="120" w:after="60"/>
        <w:jc w:val="center"/>
      </w:pPr>
      <w:r>
        <w:drawing>
          <wp:inline xmlns:a="http://schemas.openxmlformats.org/drawingml/2006/main" xmlns:pic="http://schemas.openxmlformats.org/drawingml/2006/picture">
            <wp:extent cx="5303520" cy="3220643"/>
            <wp:docPr id="20" name="Picture 20"/>
            <wp:cNvGraphicFramePr>
              <a:graphicFrameLocks noChangeAspect="1"/>
            </wp:cNvGraphicFramePr>
            <a:graphic>
              <a:graphicData uri="http://schemas.openxmlformats.org/drawingml/2006/picture">
                <pic:pic>
                  <pic:nvPicPr>
                    <pic:cNvPr id="0" name="image18.png"/>
                    <pic:cNvPicPr/>
                  </pic:nvPicPr>
                  <pic:blipFill>
                    <a:blip r:embed="rId28"/>
                    <a:stretch>
                      <a:fillRect/>
                    </a:stretch>
                  </pic:blipFill>
                  <pic:spPr>
                    <a:xfrm>
                      <a:off x="0" y="0"/>
                      <a:ext cx="5303520" cy="3220643"/>
                    </a:xfrm>
                    <a:prstGeom prst="rect"/>
                  </pic:spPr>
                </pic:pic>
              </a:graphicData>
            </a:graphic>
          </wp:inline>
        </w:drawing>
      </w:r>
    </w:p>
    <w:p>
      <w:pPr>
        <w:spacing w:before="40" w:after="160"/>
        <w:jc w:val="center"/>
      </w:pPr>
      <w:r>
        <w:rPr>
          <w:rFonts w:ascii="Times New Roman" w:hAnsi="Times New Roman"/>
          <w:b/>
          <w:i/>
          <w:color w:val="000000"/>
          <w:sz w:val="21"/>
        </w:rPr>
        <w:t>Fig 8.11 – Mock Test Evaluation &amp; Analytics – Score breakdowns and performance progression.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Simulates realistic computer-based competitive test environments with timer counters, question navigation palettes, instant score computation, and longitudinal performance analytics.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Timed CBT Simulator: </w:t>
      </w:r>
      <w:r>
        <w:rPr>
          <w:rFonts w:ascii="Times New Roman" w:hAnsi="Times New Roman"/>
          <w:color w:val="000000"/>
          <w:sz w:val="24"/>
        </w:rPr>
        <w:t>Presents multiple-choice questions with a synchronized countdown timer and status palette.</w:t>
      </w:r>
    </w:p>
    <w:p>
      <w:pPr>
        <w:pStyle w:val="ListBullet"/>
        <w:spacing w:after="60" w:before="20" w:line="276" w:lineRule="auto"/>
        <w:ind w:left="720" w:hanging="360"/>
        <w:jc w:val="both"/>
      </w:pPr>
      <w:r>
        <w:rPr>
          <w:rFonts w:ascii="Times New Roman" w:hAnsi="Times New Roman"/>
          <w:b/>
          <w:color w:val="000000"/>
          <w:sz w:val="24"/>
        </w:rPr>
        <w:t xml:space="preserve">• Multi-Attempt Tracking: </w:t>
      </w:r>
      <w:r>
        <w:rPr>
          <w:rFonts w:ascii="Times New Roman" w:hAnsi="Times New Roman"/>
          <w:color w:val="000000"/>
          <w:sz w:val="24"/>
        </w:rPr>
        <w:t>Preserves scores and timestamps across multiple attempts, charting performance progression.</w:t>
      </w:r>
    </w:p>
    <w:p>
      <w:pPr>
        <w:pStyle w:val="ListBullet"/>
        <w:spacing w:after="60" w:before="20" w:line="276" w:lineRule="auto"/>
        <w:ind w:left="720" w:hanging="360"/>
        <w:jc w:val="both"/>
      </w:pPr>
      <w:r>
        <w:rPr>
          <w:rFonts w:ascii="Times New Roman" w:hAnsi="Times New Roman"/>
          <w:b/>
          <w:color w:val="000000"/>
          <w:sz w:val="24"/>
        </w:rPr>
        <w:t xml:space="preserve">• Instant Evaluation: </w:t>
      </w:r>
      <w:r>
        <w:rPr>
          <w:rFonts w:ascii="Times New Roman" w:hAnsi="Times New Roman"/>
          <w:color w:val="000000"/>
          <w:sz w:val="24"/>
        </w:rPr>
        <w:t>Computes marks obtained, accuracy percentage, and negative marking adjustments.</w:t>
      </w:r>
    </w:p>
    <w:p>
      <w:pPr>
        <w:pStyle w:val="ListBullet"/>
        <w:spacing w:after="60" w:before="20" w:line="276" w:lineRule="auto"/>
        <w:ind w:left="720" w:hanging="360"/>
        <w:jc w:val="both"/>
      </w:pPr>
      <w:r>
        <w:rPr>
          <w:rFonts w:ascii="Times New Roman" w:hAnsi="Times New Roman"/>
          <w:b/>
          <w:color w:val="000000"/>
          <w:sz w:val="24"/>
        </w:rPr>
        <w:t xml:space="preserve">• Mentor Alert Trigger: </w:t>
      </w:r>
      <w:r>
        <w:rPr>
          <w:rFonts w:ascii="Times New Roman" w:hAnsi="Times New Roman"/>
          <w:color w:val="000000"/>
          <w:sz w:val="24"/>
        </w:rPr>
        <w:t>Dispatches automated performance summaries to the student's assigned mentor upon submission.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Zero Test Data Loss: </w:t>
      </w:r>
      <w:r>
        <w:rPr>
          <w:rFonts w:ascii="Times New Roman" w:hAnsi="Times New Roman"/>
          <w:color w:val="000000"/>
          <w:sz w:val="24"/>
        </w:rPr>
        <w:t>Caches answers locally to survive accidental tab refreshes during examination sessions.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/api/mocks/:examSlug/chapter/:chapterId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Fetches questions for a computer-based mock test.</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/api/mock-attempts/:examSlug/chapter/:chapterId</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Submits test responses, logs scores, and alerts assigned mentor.</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mock_attempts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compound index (user, attemptedAt)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examSlug, mockName, marks, maxMarks, attemptedAt</w:t>
            </w:r>
          </w:p>
        </w:tc>
      </w:tr>
    </w:tbl>
    <w:p/>
    <w:p>
      <w:pPr>
        <w:spacing w:before="240" w:after="80" w:line="276" w:lineRule="auto"/>
        <w:jc w:val="left"/>
      </w:pPr>
      <w:r>
        <w:rPr>
          <w:rFonts w:ascii="Times New Roman" w:hAnsi="Times New Roman"/>
          <w:b/>
          <w:color w:val="000000"/>
          <w:sz w:val="26"/>
        </w:rPr>
        <w:t>8.7 DYNAMIC QUIZ GENERATOR &amp; REVISION FLASHCARDS</w:t>
      </w:r>
    </w:p>
    <w:p>
      <w:pPr>
        <w:spacing w:before="120" w:after="60"/>
        <w:jc w:val="center"/>
      </w:pPr>
      <w:r>
        <w:drawing>
          <wp:inline xmlns:a="http://schemas.openxmlformats.org/drawingml/2006/main" xmlns:pic="http://schemas.openxmlformats.org/drawingml/2006/picture">
            <wp:extent cx="5303520" cy="2682743"/>
            <wp:docPr id="21" name="Picture 21"/>
            <wp:cNvGraphicFramePr>
              <a:graphicFrameLocks noChangeAspect="1"/>
            </wp:cNvGraphicFramePr>
            <a:graphic>
              <a:graphicData uri="http://schemas.openxmlformats.org/drawingml/2006/picture">
                <pic:pic>
                  <pic:nvPicPr>
                    <pic:cNvPr id="0" name="image19.png"/>
                    <pic:cNvPicPr/>
                  </pic:nvPicPr>
                  <pic:blipFill>
                    <a:blip r:embed="rId29"/>
                    <a:stretch>
                      <a:fillRect/>
                    </a:stretch>
                  </pic:blipFill>
                  <pic:spPr>
                    <a:xfrm>
                      <a:off x="0" y="0"/>
                      <a:ext cx="5303520" cy="2682743"/>
                    </a:xfrm>
                    <a:prstGeom prst="rect"/>
                  </pic:spPr>
                </pic:pic>
              </a:graphicData>
            </a:graphic>
          </wp:inline>
        </w:drawing>
      </w:r>
    </w:p>
    <w:p>
      <w:pPr>
        <w:spacing w:before="40" w:after="160"/>
        <w:jc w:val="center"/>
      </w:pPr>
      <w:r>
        <w:rPr>
          <w:rFonts w:ascii="Times New Roman" w:hAnsi="Times New Roman"/>
          <w:b/>
          <w:i/>
          <w:color w:val="000000"/>
          <w:sz w:val="21"/>
        </w:rPr>
        <w:t>Fig 8.12 – Dynamic Quiz Generation &amp; Assessment – Instant topic-specific quiz generation.</w:t>
      </w:r>
    </w:p>
    <w:p>
      <w:pPr>
        <w:spacing w:before="120" w:after="60"/>
        <w:jc w:val="center"/>
      </w:pPr>
      <w:r>
        <w:drawing>
          <wp:inline xmlns:a="http://schemas.openxmlformats.org/drawingml/2006/main" xmlns:pic="http://schemas.openxmlformats.org/drawingml/2006/picture">
            <wp:extent cx="5303520" cy="3200708"/>
            <wp:docPr id="22" name="Picture 22"/>
            <wp:cNvGraphicFramePr>
              <a:graphicFrameLocks noChangeAspect="1"/>
            </wp:cNvGraphicFramePr>
            <a:graphic>
              <a:graphicData uri="http://schemas.openxmlformats.org/drawingml/2006/picture">
                <pic:pic>
                  <pic:nvPicPr>
                    <pic:cNvPr id="0" name="image20.png"/>
                    <pic:cNvPicPr/>
                  </pic:nvPicPr>
                  <pic:blipFill>
                    <a:blip r:embed="rId30"/>
                    <a:stretch>
                      <a:fillRect/>
                    </a:stretch>
                  </pic:blipFill>
                  <pic:spPr>
                    <a:xfrm>
                      <a:off x="0" y="0"/>
                      <a:ext cx="5303520" cy="3200708"/>
                    </a:xfrm>
                    <a:prstGeom prst="rect"/>
                  </pic:spPr>
                </pic:pic>
              </a:graphicData>
            </a:graphic>
          </wp:inline>
        </w:drawing>
      </w:r>
    </w:p>
    <w:p>
      <w:pPr>
        <w:spacing w:before="40" w:after="160"/>
        <w:jc w:val="center"/>
      </w:pPr>
      <w:r>
        <w:rPr>
          <w:rFonts w:ascii="Times New Roman" w:hAnsi="Times New Roman"/>
          <w:b/>
          <w:i/>
          <w:color w:val="000000"/>
          <w:sz w:val="21"/>
        </w:rPr>
        <w:t>Fig 8.13 – Interactive Revision Flashcards – 3D flipping flashcards for concept revision.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quick formative assessments through dynamically generated topic quizzes and interactive 3D-flipping flashcards for rapid formula and theorem revision.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Dynamic Quiz Generation: </w:t>
      </w:r>
      <w:r>
        <w:rPr>
          <w:rFonts w:ascii="Times New Roman" w:hAnsi="Times New Roman"/>
          <w:color w:val="000000"/>
          <w:sz w:val="24"/>
        </w:rPr>
        <w:t>Generates 5-to-10 question topical mini-quizzes on demand with instant feedback.</w:t>
      </w:r>
    </w:p>
    <w:p>
      <w:pPr>
        <w:pStyle w:val="ListBullet"/>
        <w:spacing w:after="60" w:before="20" w:line="276" w:lineRule="auto"/>
        <w:ind w:left="720" w:hanging="360"/>
        <w:jc w:val="both"/>
      </w:pPr>
      <w:r>
        <w:rPr>
          <w:rFonts w:ascii="Times New Roman" w:hAnsi="Times New Roman"/>
          <w:b/>
          <w:color w:val="000000"/>
          <w:sz w:val="24"/>
        </w:rPr>
        <w:t xml:space="preserve">• Interactive Flashcards: </w:t>
      </w:r>
      <w:r>
        <w:rPr>
          <w:rFonts w:ascii="Times New Roman" w:hAnsi="Times New Roman"/>
          <w:color w:val="000000"/>
          <w:sz w:val="24"/>
        </w:rPr>
        <w:t>Renders animated 3D flip cards displaying concepts on front and detailed explanations on back.</w:t>
      </w:r>
    </w:p>
    <w:p>
      <w:pPr>
        <w:pStyle w:val="ListBullet"/>
        <w:spacing w:after="60" w:before="20" w:line="276" w:lineRule="auto"/>
        <w:ind w:left="720" w:hanging="360"/>
        <w:jc w:val="both"/>
      </w:pPr>
      <w:r>
        <w:rPr>
          <w:rFonts w:ascii="Times New Roman" w:hAnsi="Times New Roman"/>
          <w:b/>
          <w:color w:val="000000"/>
          <w:sz w:val="24"/>
        </w:rPr>
        <w:t xml:space="preserve">• Mastery Tracking: </w:t>
      </w:r>
      <w:r>
        <w:rPr>
          <w:rFonts w:ascii="Times New Roman" w:hAnsi="Times New Roman"/>
          <w:color w:val="000000"/>
          <w:sz w:val="24"/>
        </w:rPr>
        <w:t>Allows students to mark flashcards as mastered, filtering unmastered cards for focused review.</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Fluid Animations: </w:t>
      </w:r>
      <w:r>
        <w:rPr>
          <w:rFonts w:ascii="Times New Roman" w:hAnsi="Times New Roman"/>
          <w:color w:val="000000"/>
          <w:sz w:val="24"/>
        </w:rPr>
        <w:t>60 FPS CSS 3D card flipping transitions.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/api/quizzes/generate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Generates dynamic quiz questions for target topic.</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/api/flashcards/:examSlug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Retrieves revision flashcards categorized by subject.</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flashcards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 on 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examSlug, subject, question, answer, masteredBy</w:t>
            </w:r>
          </w:p>
        </w:tc>
      </w:tr>
    </w:tbl>
    <w:p/>
    <w:p>
      <w:pPr>
        <w:spacing w:before="240" w:after="80" w:line="276" w:lineRule="auto"/>
        <w:jc w:val="left"/>
      </w:pPr>
      <w:r>
        <w:rPr>
          <w:rFonts w:ascii="Times New Roman" w:hAnsi="Times New Roman"/>
          <w:b/>
          <w:color w:val="000000"/>
          <w:sz w:val="26"/>
        </w:rPr>
        <w:t>8.8 PEER-TO-PEER RESOURCE MARKETPLACE &amp; BOOK DONATION</w:t>
      </w:r>
    </w:p>
    <w:p>
      <w:pPr>
        <w:spacing w:before="120" w:after="60"/>
        <w:jc w:val="center"/>
      </w:pPr>
      <w:r>
        <w:drawing>
          <wp:inline xmlns:a="http://schemas.openxmlformats.org/drawingml/2006/main" xmlns:pic="http://schemas.openxmlformats.org/drawingml/2006/picture">
            <wp:extent cx="5303520" cy="3400535"/>
            <wp:docPr id="23" name="Picture 23"/>
            <wp:cNvGraphicFramePr>
              <a:graphicFrameLocks noChangeAspect="1"/>
            </wp:cNvGraphicFramePr>
            <a:graphic>
              <a:graphicData uri="http://schemas.openxmlformats.org/drawingml/2006/picture">
                <pic:pic>
                  <pic:nvPicPr>
                    <pic:cNvPr id="0" name="image21.png"/>
                    <pic:cNvPicPr/>
                  </pic:nvPicPr>
                  <pic:blipFill>
                    <a:blip r:embed="rId31"/>
                    <a:stretch>
                      <a:fillRect/>
                    </a:stretch>
                  </pic:blipFill>
                  <pic:spPr>
                    <a:xfrm>
                      <a:off x="0" y="0"/>
                      <a:ext cx="5303520" cy="3400535"/>
                    </a:xfrm>
                    <a:prstGeom prst="rect"/>
                  </pic:spPr>
                </pic:pic>
              </a:graphicData>
            </a:graphic>
          </wp:inline>
        </w:drawing>
      </w:r>
    </w:p>
    <w:p>
      <w:pPr>
        <w:spacing w:before="40" w:after="160"/>
        <w:jc w:val="center"/>
      </w:pPr>
      <w:r>
        <w:rPr>
          <w:rFonts w:ascii="Times New Roman" w:hAnsi="Times New Roman"/>
          <w:b/>
          <w:i/>
          <w:color w:val="000000"/>
          <w:sz w:val="21"/>
        </w:rPr>
        <w:t>Fig 8.14 – Peer-to-Peer Educational Resource Marketplace – Pre-owned reference books and listings.</w:t>
      </w:r>
    </w:p>
    <w:p>
      <w:pPr>
        <w:spacing w:before="120" w:after="60"/>
        <w:jc w:val="center"/>
      </w:pPr>
      <w:r>
        <w:drawing>
          <wp:inline xmlns:a="http://schemas.openxmlformats.org/drawingml/2006/main" xmlns:pic="http://schemas.openxmlformats.org/drawingml/2006/picture">
            <wp:extent cx="5303520" cy="5284735"/>
            <wp:docPr id="24" name="Picture 24"/>
            <wp:cNvGraphicFramePr>
              <a:graphicFrameLocks noChangeAspect="1"/>
            </wp:cNvGraphicFramePr>
            <a:graphic>
              <a:graphicData uri="http://schemas.openxmlformats.org/drawingml/2006/picture">
                <pic:pic>
                  <pic:nvPicPr>
                    <pic:cNvPr id="0" name="image22.png"/>
                    <pic:cNvPicPr/>
                  </pic:nvPicPr>
                  <pic:blipFill>
                    <a:blip r:embed="rId32"/>
                    <a:stretch>
                      <a:fillRect/>
                    </a:stretch>
                  </pic:blipFill>
                  <pic:spPr>
                    <a:xfrm>
                      <a:off x="0" y="0"/>
                      <a:ext cx="5303520" cy="5284735"/>
                    </a:xfrm>
                    <a:prstGeom prst="rect"/>
                  </pic:spPr>
                </pic:pic>
              </a:graphicData>
            </a:graphic>
          </wp:inline>
        </w:drawing>
      </w:r>
    </w:p>
    <w:p>
      <w:pPr>
        <w:spacing w:before="40" w:after="160"/>
        <w:jc w:val="center"/>
      </w:pPr>
      <w:r>
        <w:rPr>
          <w:rFonts w:ascii="Times New Roman" w:hAnsi="Times New Roman"/>
          <w:b/>
          <w:i/>
          <w:color w:val="000000"/>
          <w:sz w:val="21"/>
        </w:rPr>
        <w:t>Fig 8.15 – Educational Book Donation Interface – 100% free physical book sharing.</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Fosters an affordable circular educational resource exchange where students purchase verified second-hand textbooks, list surplus study materials, or donate books to junior aspirants for free.</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Resource Listings: </w:t>
      </w:r>
      <w:r>
        <w:rPr>
          <w:rFonts w:ascii="Times New Roman" w:hAnsi="Times New Roman"/>
          <w:color w:val="000000"/>
          <w:sz w:val="24"/>
        </w:rPr>
        <w:t>Students create listings specifying title, author, exam category, price, and condition (New, Like New, Good, Fair).</w:t>
      </w:r>
    </w:p>
    <w:p>
      <w:pPr>
        <w:pStyle w:val="ListBullet"/>
        <w:spacing w:after="60" w:before="20" w:line="276" w:lineRule="auto"/>
        <w:ind w:left="720" w:hanging="360"/>
        <w:jc w:val="both"/>
      </w:pPr>
      <w:r>
        <w:rPr>
          <w:rFonts w:ascii="Times New Roman" w:hAnsi="Times New Roman"/>
          <w:b/>
          <w:color w:val="000000"/>
          <w:sz w:val="24"/>
        </w:rPr>
        <w:t xml:space="preserve">• Free Book Donations: </w:t>
      </w:r>
      <w:r>
        <w:rPr>
          <w:rFonts w:ascii="Times New Roman" w:hAnsi="Times New Roman"/>
          <w:color w:val="000000"/>
          <w:sz w:val="24"/>
        </w:rPr>
        <w:t>Supports 100% free donation listings (Price: ₹0) claimed on a first-come, first-served basis.</w:t>
      </w:r>
    </w:p>
    <w:p>
      <w:pPr>
        <w:pStyle w:val="ListBullet"/>
        <w:spacing w:after="60" w:before="20" w:line="276" w:lineRule="auto"/>
        <w:ind w:left="720" w:hanging="360"/>
        <w:jc w:val="both"/>
      </w:pPr>
      <w:r>
        <w:rPr>
          <w:rFonts w:ascii="Times New Roman" w:hAnsi="Times New Roman"/>
          <w:b/>
          <w:color w:val="000000"/>
          <w:sz w:val="24"/>
        </w:rPr>
        <w:t xml:space="preserve">• Filtering &amp; Search: </w:t>
      </w:r>
      <w:r>
        <w:rPr>
          <w:rFonts w:ascii="Times New Roman" w:hAnsi="Times New Roman"/>
          <w:color w:val="000000"/>
          <w:sz w:val="24"/>
        </w:rPr>
        <w:t>Filters catalog items by examination, condition, price range, and donation status.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Image Optimization: </w:t>
      </w:r>
      <w:r>
        <w:rPr>
          <w:rFonts w:ascii="Times New Roman" w:hAnsi="Times New Roman"/>
          <w:color w:val="000000"/>
          <w:sz w:val="24"/>
        </w:rPr>
        <w:t>Compresses uploaded book cover photos to under 300KB.</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/api/marketplace/products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active marketplace products with filters.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/api/marketplace/products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Creates a new book resale or donation listing.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/api/marketplace/donations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free community textbook donation listings.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products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examSlug, isDonation, status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title, author, category, price, condition, isDonation, seller, status</w:t>
            </w:r>
          </w:p>
        </w:tc>
      </w:tr>
    </w:tbl>
    <w:p/>
    <w:p>
      <w:pPr>
        <w:spacing w:before="240" w:after="80" w:line="276" w:lineRule="auto"/>
        <w:jc w:val="left"/>
      </w:pPr>
      <w:r>
        <w:rPr>
          <w:rFonts w:ascii="Times New Roman" w:hAnsi="Times New Roman"/>
          <w:b/>
          <w:color w:val="000000"/>
          <w:sz w:val="26"/>
        </w:rPr>
        <w:t>8.9 SHOPPING CART, CHECKOUT &amp; PAYMENT INTEGRATION</w:t>
      </w:r>
    </w:p>
    <w:p>
      <w:pPr>
        <w:spacing w:before="120" w:after="60"/>
        <w:jc w:val="center"/>
      </w:pPr>
      <w:r>
        <w:drawing>
          <wp:inline xmlns:a="http://schemas.openxmlformats.org/drawingml/2006/main" xmlns:pic="http://schemas.openxmlformats.org/drawingml/2006/picture">
            <wp:extent cx="5303520" cy="2161591"/>
            <wp:docPr id="25" name="Picture 25"/>
            <wp:cNvGraphicFramePr>
              <a:graphicFrameLocks noChangeAspect="1"/>
            </wp:cNvGraphicFramePr>
            <a:graphic>
              <a:graphicData uri="http://schemas.openxmlformats.org/drawingml/2006/picture">
                <pic:pic>
                  <pic:nvPicPr>
                    <pic:cNvPr id="0" name="image23.png"/>
                    <pic:cNvPicPr/>
                  </pic:nvPicPr>
                  <pic:blipFill>
                    <a:blip r:embed="rId33"/>
                    <a:stretch>
                      <a:fillRect/>
                    </a:stretch>
                  </pic:blipFill>
                  <pic:spPr>
                    <a:xfrm>
                      <a:off x="0" y="0"/>
                      <a:ext cx="5303520" cy="2161591"/>
                    </a:xfrm>
                    <a:prstGeom prst="rect"/>
                  </pic:spPr>
                </pic:pic>
              </a:graphicData>
            </a:graphic>
          </wp:inline>
        </w:drawing>
      </w:r>
    </w:p>
    <w:p>
      <w:pPr>
        <w:spacing w:before="40" w:after="160"/>
        <w:jc w:val="center"/>
      </w:pPr>
      <w:r>
        <w:rPr>
          <w:rFonts w:ascii="Times New Roman" w:hAnsi="Times New Roman"/>
          <w:b/>
          <w:i/>
          <w:color w:val="000000"/>
          <w:sz w:val="21"/>
        </w:rPr>
        <w:t>Fig 8.16 – Marketplace Shopping Cart – Item quantity adjustment and price subtotal.</w:t>
      </w:r>
    </w:p>
    <w:p>
      <w:pPr>
        <w:spacing w:before="120" w:after="60"/>
        <w:jc w:val="center"/>
      </w:pPr>
      <w:r>
        <w:drawing>
          <wp:inline xmlns:a="http://schemas.openxmlformats.org/drawingml/2006/main" xmlns:pic="http://schemas.openxmlformats.org/drawingml/2006/picture">
            <wp:extent cx="5303520" cy="3228540"/>
            <wp:docPr id="26" name="Picture 26"/>
            <wp:cNvGraphicFramePr>
              <a:graphicFrameLocks noChangeAspect="1"/>
            </wp:cNvGraphicFramePr>
            <a:graphic>
              <a:graphicData uri="http://schemas.openxmlformats.org/drawingml/2006/picture">
                <pic:pic>
                  <pic:nvPicPr>
                    <pic:cNvPr id="0" name="image24.png"/>
                    <pic:cNvPicPr/>
                  </pic:nvPicPr>
                  <pic:blipFill>
                    <a:blip r:embed="rId34"/>
                    <a:stretch>
                      <a:fillRect/>
                    </a:stretch>
                  </pic:blipFill>
                  <pic:spPr>
                    <a:xfrm>
                      <a:off x="0" y="0"/>
                      <a:ext cx="5303520" cy="3228540"/>
                    </a:xfrm>
                    <a:prstGeom prst="rect"/>
                  </pic:spPr>
                </pic:pic>
              </a:graphicData>
            </a:graphic>
          </wp:inline>
        </w:drawing>
      </w:r>
    </w:p>
    <w:p>
      <w:pPr>
        <w:spacing w:before="40" w:after="160"/>
        <w:jc w:val="center"/>
      </w:pPr>
      <w:r>
        <w:rPr>
          <w:rFonts w:ascii="Times New Roman" w:hAnsi="Times New Roman"/>
          <w:b/>
          <w:i/>
          <w:color w:val="000000"/>
          <w:sz w:val="21"/>
        </w:rPr>
        <w:t>Fig 8.17 – Order Checkout &amp; Payment Options – Shipping address and multi-tier payment methods.</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Manages shopping cart persistence, address validation, multi-tier payment selection (Cash on Delivery, UPI, Cards, Net Banking), and secure order generation.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Cart Persistence: </w:t>
      </w:r>
      <w:r>
        <w:rPr>
          <w:rFonts w:ascii="Times New Roman" w:hAnsi="Times New Roman"/>
          <w:color w:val="000000"/>
          <w:sz w:val="24"/>
        </w:rPr>
        <w:t>Retains cart items across browser sessions using localStorage and synchronizes with inventory.</w:t>
      </w:r>
    </w:p>
    <w:p>
      <w:pPr>
        <w:pStyle w:val="ListBullet"/>
        <w:spacing w:after="60" w:before="20" w:line="276" w:lineRule="auto"/>
        <w:ind w:left="720" w:hanging="360"/>
        <w:jc w:val="both"/>
      </w:pPr>
      <w:r>
        <w:rPr>
          <w:rFonts w:ascii="Times New Roman" w:hAnsi="Times New Roman"/>
          <w:b/>
          <w:color w:val="000000"/>
          <w:sz w:val="24"/>
        </w:rPr>
        <w:t xml:space="preserve">• Checkout Form Validation: </w:t>
      </w:r>
      <w:r>
        <w:rPr>
          <w:rFonts w:ascii="Times New Roman" w:hAnsi="Times New Roman"/>
          <w:color w:val="000000"/>
          <w:sz w:val="24"/>
        </w:rPr>
        <w:t>Validates recipient name, street address, postal code, and contact phone number.</w:t>
      </w:r>
    </w:p>
    <w:p>
      <w:pPr>
        <w:pStyle w:val="ListBullet"/>
        <w:spacing w:after="60" w:before="20" w:line="276" w:lineRule="auto"/>
        <w:ind w:left="720" w:hanging="360"/>
        <w:jc w:val="both"/>
      </w:pPr>
      <w:r>
        <w:rPr>
          <w:rFonts w:ascii="Times New Roman" w:hAnsi="Times New Roman"/>
          <w:b/>
          <w:color w:val="000000"/>
          <w:sz w:val="24"/>
        </w:rPr>
        <w:t xml:space="preserve">• Multi-Tier Payments: </w:t>
      </w:r>
      <w:r>
        <w:rPr>
          <w:rFonts w:ascii="Times New Roman" w:hAnsi="Times New Roman"/>
          <w:color w:val="000000"/>
          <w:sz w:val="24"/>
        </w:rPr>
        <w:t>Supports Cash on Delivery (COD), UPI (Google Pay, PhonePe), Credit/Debit Cards, and Net Banking.</w:t>
      </w:r>
    </w:p>
    <w:p>
      <w:pPr>
        <w:pStyle w:val="ListBullet"/>
        <w:spacing w:after="60" w:before="20" w:line="276" w:lineRule="auto"/>
        <w:ind w:left="720" w:hanging="360"/>
        <w:jc w:val="both"/>
      </w:pPr>
      <w:r>
        <w:rPr>
          <w:rFonts w:ascii="Times New Roman" w:hAnsi="Times New Roman"/>
          <w:b/>
          <w:color w:val="000000"/>
          <w:sz w:val="24"/>
        </w:rPr>
        <w:t xml:space="preserve">• Unique Tracking ID: </w:t>
      </w:r>
      <w:r>
        <w:rPr>
          <w:rFonts w:ascii="Times New Roman" w:hAnsi="Times New Roman"/>
          <w:color w:val="000000"/>
          <w:sz w:val="24"/>
        </w:rPr>
        <w:t>Generates human-readable tracking identifiers (e.g. TRK-482910) upon successful order creation.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Transaction Atomicity: </w:t>
      </w:r>
      <w:r>
        <w:rPr>
          <w:rFonts w:ascii="Times New Roman" w:hAnsi="Times New Roman"/>
          <w:color w:val="000000"/>
          <w:sz w:val="24"/>
        </w:rPr>
        <w:t>Decrements product inventory atomically upon order placement.</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/api/orders/checkout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Processes checkout payload, decrements stock, and returns order tracking ID.</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unique trackingId index</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trackingId, user, items, totalAmount, paymentMethod, status, verificationOtp</w:t>
            </w:r>
          </w:p>
        </w:tc>
      </w:tr>
    </w:tbl>
    <w:p/>
    <w:p>
      <w:pPr>
        <w:spacing w:before="240" w:after="80" w:line="276" w:lineRule="auto"/>
        <w:jc w:val="left"/>
      </w:pPr>
      <w:r>
        <w:rPr>
          <w:rFonts w:ascii="Times New Roman" w:hAnsi="Times New Roman"/>
          <w:b/>
          <w:color w:val="000000"/>
          <w:sz w:val="26"/>
        </w:rPr>
        <w:t>8.10 ORDER TRACKING, RETURNS &amp; BUYBACK WORKFLOWS</w:t>
      </w:r>
    </w:p>
    <w:p>
      <w:pPr>
        <w:spacing w:before="120" w:after="60"/>
        <w:jc w:val="center"/>
      </w:pPr>
      <w:r>
        <w:drawing>
          <wp:inline xmlns:a="http://schemas.openxmlformats.org/drawingml/2006/main" xmlns:pic="http://schemas.openxmlformats.org/drawingml/2006/picture">
            <wp:extent cx="5303520" cy="3443705"/>
            <wp:docPr id="27" name="Picture 27"/>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5303520" cy="3443705"/>
                    </a:xfrm>
                    <a:prstGeom prst="rect"/>
                  </pic:spPr>
                </pic:pic>
              </a:graphicData>
            </a:graphic>
          </wp:inline>
        </w:drawing>
      </w:r>
    </w:p>
    <w:p>
      <w:pPr>
        <w:spacing w:before="40" w:after="160"/>
        <w:jc w:val="center"/>
      </w:pPr>
      <w:r>
        <w:rPr>
          <w:rFonts w:ascii="Times New Roman" w:hAnsi="Times New Roman"/>
          <w:b/>
          <w:i/>
          <w:color w:val="000000"/>
          <w:sz w:val="21"/>
        </w:rPr>
        <w:t>Fig 8.18 – Order Tracking Interface – Real-time progress bar with 10-second polling updates.</w:t>
      </w:r>
    </w:p>
    <w:p>
      <w:pPr>
        <w:spacing w:before="120" w:after="60"/>
        <w:jc w:val="center"/>
      </w:pPr>
      <w:r>
        <w:drawing>
          <wp:inline xmlns:a="http://schemas.openxmlformats.org/drawingml/2006/main" xmlns:pic="http://schemas.openxmlformats.org/drawingml/2006/picture">
            <wp:extent cx="5303520" cy="5530721"/>
            <wp:docPr id="28" name="Picture 28"/>
            <wp:cNvGraphicFramePr>
              <a:graphicFrameLocks noChangeAspect="1"/>
            </wp:cNvGraphicFramePr>
            <a:graphic>
              <a:graphicData uri="http://schemas.openxmlformats.org/drawingml/2006/picture">
                <pic:pic>
                  <pic:nvPicPr>
                    <pic:cNvPr id="0" name="image26.png"/>
                    <pic:cNvPicPr/>
                  </pic:nvPicPr>
                  <pic:blipFill>
                    <a:blip r:embed="rId36"/>
                    <a:stretch>
                      <a:fillRect/>
                    </a:stretch>
                  </pic:blipFill>
                  <pic:spPr>
                    <a:xfrm>
                      <a:off x="0" y="0"/>
                      <a:ext cx="5303520" cy="5530721"/>
                    </a:xfrm>
                    <a:prstGeom prst="rect"/>
                  </pic:spPr>
                </pic:pic>
              </a:graphicData>
            </a:graphic>
          </wp:inline>
        </w:drawing>
      </w:r>
    </w:p>
    <w:p>
      <w:pPr>
        <w:spacing w:before="40" w:after="160"/>
        <w:jc w:val="center"/>
      </w:pPr>
      <w:r>
        <w:rPr>
          <w:rFonts w:ascii="Times New Roman" w:hAnsi="Times New Roman"/>
          <w:b/>
          <w:i/>
          <w:color w:val="000000"/>
          <w:sz w:val="21"/>
        </w:rPr>
        <w:t>Fig 8.19 – Return and Buyback Logistics Workflow – Return request interface.</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10-second real-time tracking polling for physical book consignments and manages structured textbook return and buyback workflows.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10-Second Live Polling: </w:t>
      </w:r>
      <w:r>
        <w:rPr>
          <w:rFonts w:ascii="Times New Roman" w:hAnsi="Times New Roman"/>
          <w:color w:val="000000"/>
          <w:sz w:val="24"/>
        </w:rPr>
        <w:t>Client automatically polls order status every 10 seconds, reflecting dispatch updates in real time.</w:t>
      </w:r>
    </w:p>
    <w:p>
      <w:pPr>
        <w:pStyle w:val="ListBullet"/>
        <w:spacing w:after="60" w:before="20" w:line="276" w:lineRule="auto"/>
        <w:ind w:left="720" w:hanging="360"/>
        <w:jc w:val="both"/>
      </w:pPr>
      <w:r>
        <w:rPr>
          <w:rFonts w:ascii="Times New Roman" w:hAnsi="Times New Roman"/>
          <w:b/>
          <w:color w:val="000000"/>
          <w:sz w:val="24"/>
        </w:rPr>
        <w:t xml:space="preserve">• Visual Stepper Progress: </w:t>
      </w:r>
      <w:r>
        <w:rPr>
          <w:rFonts w:ascii="Times New Roman" w:hAnsi="Times New Roman"/>
          <w:color w:val="000000"/>
          <w:sz w:val="24"/>
        </w:rPr>
        <w:t>Displays consignment progression through: Ordered → Dispatched → In Transit → Out for Delivery → Delivered.</w:t>
      </w:r>
    </w:p>
    <w:p>
      <w:pPr>
        <w:pStyle w:val="ListBullet"/>
        <w:spacing w:after="60" w:before="20" w:line="276" w:lineRule="auto"/>
        <w:ind w:left="720" w:hanging="360"/>
        <w:jc w:val="both"/>
      </w:pPr>
      <w:r>
        <w:rPr>
          <w:rFonts w:ascii="Times New Roman" w:hAnsi="Times New Roman"/>
          <w:b/>
          <w:color w:val="000000"/>
          <w:sz w:val="24"/>
        </w:rPr>
        <w:t xml:space="preserve">• Return &amp; Buyback Submission: </w:t>
      </w:r>
      <w:r>
        <w:rPr>
          <w:rFonts w:ascii="Times New Roman" w:hAnsi="Times New Roman"/>
          <w:color w:val="000000"/>
          <w:sz w:val="24"/>
        </w:rPr>
        <w:t>Allows buyers to initiate returns within eligible return windows with reason documentation.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Polling Efficiency: </w:t>
      </w:r>
      <w:r>
        <w:rPr>
          <w:rFonts w:ascii="Times New Roman" w:hAnsi="Times New Roman"/>
          <w:color w:val="000000"/>
          <w:sz w:val="24"/>
        </w:rPr>
        <w:t>Employs conditional HTTP headers and lightweight JSON payloads during status polling.</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/api/orders/track/:trackingId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Public endpoint returning live consignment stage and status.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/api/orders/:id/return</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Submits a textbook return or buyback request.</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return_requests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 on orderId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orderId, user, reason, status, pickupAddress</w:t>
            </w:r>
          </w:p>
        </w:tc>
      </w:tr>
    </w:tbl>
    <w:p/>
    <w:p>
      <w:pPr>
        <w:spacing w:before="240" w:after="80" w:line="276" w:lineRule="auto"/>
        <w:jc w:val="left"/>
      </w:pPr>
      <w:r>
        <w:rPr>
          <w:rFonts w:ascii="Times New Roman" w:hAnsi="Times New Roman"/>
          <w:b/>
          <w:color w:val="000000"/>
          <w:sz w:val="26"/>
        </w:rPr>
        <w:t>8.11 COMMUNITY DISCUSSION, AI STUDY ASSISTANT &amp; MOTIVATION</w:t>
      </w:r>
    </w:p>
    <w:p>
      <w:pPr>
        <w:spacing w:before="120" w:after="60"/>
        <w:jc w:val="center"/>
      </w:pPr>
      <w:r>
        <w:drawing>
          <wp:inline xmlns:a="http://schemas.openxmlformats.org/drawingml/2006/main" xmlns:pic="http://schemas.openxmlformats.org/drawingml/2006/picture">
            <wp:extent cx="5303520" cy="3036751"/>
            <wp:docPr id="29" name="Picture 29"/>
            <wp:cNvGraphicFramePr>
              <a:graphicFrameLocks noChangeAspect="1"/>
            </wp:cNvGraphicFramePr>
            <a:graphic>
              <a:graphicData uri="http://schemas.openxmlformats.org/drawingml/2006/picture">
                <pic:pic>
                  <pic:nvPicPr>
                    <pic:cNvPr id="0" name="image27.png"/>
                    <pic:cNvPicPr/>
                  </pic:nvPicPr>
                  <pic:blipFill>
                    <a:blip r:embed="rId37"/>
                    <a:stretch>
                      <a:fillRect/>
                    </a:stretch>
                  </pic:blipFill>
                  <pic:spPr>
                    <a:xfrm>
                      <a:off x="0" y="0"/>
                      <a:ext cx="5303520" cy="3036751"/>
                    </a:xfrm>
                    <a:prstGeom prst="rect"/>
                  </pic:spPr>
                </pic:pic>
              </a:graphicData>
            </a:graphic>
          </wp:inline>
        </w:drawing>
      </w:r>
    </w:p>
    <w:p>
      <w:pPr>
        <w:spacing w:before="40" w:after="160"/>
        <w:jc w:val="center"/>
      </w:pPr>
      <w:r>
        <w:rPr>
          <w:rFonts w:ascii="Times New Roman" w:hAnsi="Times New Roman"/>
          <w:b/>
          <w:i/>
          <w:color w:val="000000"/>
          <w:sz w:val="21"/>
        </w:rPr>
        <w:t>Fig 8.20 – Student Community Discussion Interface – Question threads with upvotes and replies.</w:t>
      </w:r>
    </w:p>
    <w:p>
      <w:pPr>
        <w:spacing w:before="120" w:after="60"/>
        <w:jc w:val="center"/>
      </w:pPr>
      <w:r>
        <w:drawing>
          <wp:inline xmlns:a="http://schemas.openxmlformats.org/drawingml/2006/main" xmlns:pic="http://schemas.openxmlformats.org/drawingml/2006/picture">
            <wp:extent cx="5303520" cy="3306395"/>
            <wp:docPr id="30" name="Picture 30"/>
            <wp:cNvGraphicFramePr>
              <a:graphicFrameLocks noChangeAspect="1"/>
            </wp:cNvGraphicFramePr>
            <a:graphic>
              <a:graphicData uri="http://schemas.openxmlformats.org/drawingml/2006/picture">
                <pic:pic>
                  <pic:nvPicPr>
                    <pic:cNvPr id="0" name="image28.png"/>
                    <pic:cNvPicPr/>
                  </pic:nvPicPr>
                  <pic:blipFill>
                    <a:blip r:embed="rId38"/>
                    <a:stretch>
                      <a:fillRect/>
                    </a:stretch>
                  </pic:blipFill>
                  <pic:spPr>
                    <a:xfrm>
                      <a:off x="0" y="0"/>
                      <a:ext cx="5303520" cy="3306395"/>
                    </a:xfrm>
                    <a:prstGeom prst="rect"/>
                  </pic:spPr>
                </pic:pic>
              </a:graphicData>
            </a:graphic>
          </wp:inline>
        </w:drawing>
      </w:r>
    </w:p>
    <w:p>
      <w:pPr>
        <w:spacing w:before="40" w:after="160"/>
        <w:jc w:val="center"/>
      </w:pPr>
      <w:r>
        <w:rPr>
          <w:rFonts w:ascii="Times New Roman" w:hAnsi="Times New Roman"/>
          <w:b/>
          <w:i/>
          <w:color w:val="000000"/>
          <w:sz w:val="21"/>
        </w:rPr>
        <w:t>Fig 8.21 – AI-Assisted Study Guidance Chatbot – Interactive AI academic advice.</w:t>
      </w:r>
    </w:p>
    <w:p>
      <w:pPr>
        <w:spacing w:before="120" w:after="60"/>
        <w:jc w:val="center"/>
      </w:pPr>
      <w:r>
        <w:drawing>
          <wp:inline xmlns:a="http://schemas.openxmlformats.org/drawingml/2006/main" xmlns:pic="http://schemas.openxmlformats.org/drawingml/2006/picture">
            <wp:extent cx="5303520" cy="4266519"/>
            <wp:docPr id="31" name="Picture 31"/>
            <wp:cNvGraphicFramePr>
              <a:graphicFrameLocks noChangeAspect="1"/>
            </wp:cNvGraphicFramePr>
            <a:graphic>
              <a:graphicData uri="http://schemas.openxmlformats.org/drawingml/2006/picture">
                <pic:pic>
                  <pic:nvPicPr>
                    <pic:cNvPr id="0" name="image29.png"/>
                    <pic:cNvPicPr/>
                  </pic:nvPicPr>
                  <pic:blipFill>
                    <a:blip r:embed="rId39"/>
                    <a:stretch>
                      <a:fillRect/>
                    </a:stretch>
                  </pic:blipFill>
                  <pic:spPr>
                    <a:xfrm>
                      <a:off x="0" y="0"/>
                      <a:ext cx="5303520" cy="4266519"/>
                    </a:xfrm>
                    <a:prstGeom prst="rect"/>
                  </pic:spPr>
                </pic:pic>
              </a:graphicData>
            </a:graphic>
          </wp:inline>
        </w:drawing>
      </w:r>
    </w:p>
    <w:p>
      <w:pPr>
        <w:spacing w:before="40" w:after="160"/>
        <w:jc w:val="center"/>
      </w:pPr>
      <w:r>
        <w:rPr>
          <w:rFonts w:ascii="Times New Roman" w:hAnsi="Times New Roman"/>
          <w:b/>
          <w:i/>
          <w:color w:val="000000"/>
          <w:sz w:val="21"/>
        </w:rPr>
        <w:t>Fig 8.22 – Daily Motivation Interface – Daily inspirational quotes for exam focus.</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Enhances peer learning through community discussion threads, offers contextual study roadmaps via an AI assistant chatbot, and sustains aspirant motivation through daily curated quotes.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Peer Q&amp;A Forum: </w:t>
      </w:r>
      <w:r>
        <w:rPr>
          <w:rFonts w:ascii="Times New Roman" w:hAnsi="Times New Roman"/>
          <w:color w:val="000000"/>
          <w:sz w:val="24"/>
        </w:rPr>
        <w:t>Students post exam-specific queries, upvote insightful responses, and mark verified solutions.</w:t>
      </w:r>
    </w:p>
    <w:p>
      <w:pPr>
        <w:pStyle w:val="ListBullet"/>
        <w:spacing w:after="60" w:before="20" w:line="276" w:lineRule="auto"/>
        <w:ind w:left="720" w:hanging="360"/>
        <w:jc w:val="both"/>
      </w:pPr>
      <w:r>
        <w:rPr>
          <w:rFonts w:ascii="Times New Roman" w:hAnsi="Times New Roman"/>
          <w:b/>
          <w:color w:val="000000"/>
          <w:sz w:val="24"/>
        </w:rPr>
        <w:t xml:space="preserve">• AI Study Chatbot: </w:t>
      </w:r>
      <w:r>
        <w:rPr>
          <w:rFonts w:ascii="Times New Roman" w:hAnsi="Times New Roman"/>
          <w:color w:val="000000"/>
          <w:sz w:val="24"/>
        </w:rPr>
        <w:t>Answers student queries regarding syllabus coverage, study schedules, and revision tactics.</w:t>
      </w:r>
    </w:p>
    <w:p>
      <w:pPr>
        <w:pStyle w:val="ListBullet"/>
        <w:spacing w:after="60" w:before="20" w:line="276" w:lineRule="auto"/>
        <w:ind w:left="720" w:hanging="360"/>
        <w:jc w:val="both"/>
      </w:pPr>
      <w:r>
        <w:rPr>
          <w:rFonts w:ascii="Times New Roman" w:hAnsi="Times New Roman"/>
          <w:b/>
          <w:color w:val="000000"/>
          <w:sz w:val="24"/>
        </w:rPr>
        <w:t xml:space="preserve">• Daily Inspirational Quotes: </w:t>
      </w:r>
      <w:r>
        <w:rPr>
          <w:rFonts w:ascii="Times New Roman" w:hAnsi="Times New Roman"/>
          <w:color w:val="000000"/>
          <w:sz w:val="24"/>
        </w:rPr>
        <w:t>Serves refreshed inspirational academic quotations on daily login.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Sanitized User Content: </w:t>
      </w:r>
      <w:r>
        <w:rPr>
          <w:rFonts w:ascii="Times New Roman" w:hAnsi="Times New Roman"/>
          <w:color w:val="000000"/>
          <w:sz w:val="24"/>
        </w:rPr>
        <w:t>Sanitizes forum inputs to prevent stored Cross-Site Scripting (XSS).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/api/community/discussions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discussion threads categorized by exam.</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/api/community/discussions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Publishes a new discussion question or query.</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/api/chatbot/message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Processes student query and returns AI roadmap advice.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discussions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examSlug, createdAt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author, examSlug, title, body, upvotes, answers, resolved</w:t>
            </w:r>
          </w:p>
        </w:tc>
      </w:tr>
    </w:tbl>
    <w:p/>
    <w:p>
      <w:pPr>
        <w:spacing w:before="240" w:after="80" w:line="276" w:lineRule="auto"/>
        <w:jc w:val="left"/>
      </w:pPr>
      <w:r>
        <w:rPr>
          <w:rFonts w:ascii="Times New Roman" w:hAnsi="Times New Roman"/>
          <w:b/>
          <w:color w:val="000000"/>
          <w:sz w:val="26"/>
        </w:rPr>
        <w:t>8.12 UNIVERSAL THEME, PALETTE &amp; ACCESSIBILITY CUSTOMIZATION</w:t>
      </w:r>
    </w:p>
    <w:p>
      <w:pPr>
        <w:spacing w:before="120" w:after="60"/>
        <w:jc w:val="center"/>
      </w:pPr>
      <w:r>
        <w:drawing>
          <wp:inline xmlns:a="http://schemas.openxmlformats.org/drawingml/2006/main" xmlns:pic="http://schemas.openxmlformats.org/drawingml/2006/picture">
            <wp:extent cx="5303520" cy="3058622"/>
            <wp:docPr id="32" name="Picture 32"/>
            <wp:cNvGraphicFramePr>
              <a:graphicFrameLocks noChangeAspect="1"/>
            </wp:cNvGraphicFramePr>
            <a:graphic>
              <a:graphicData uri="http://schemas.openxmlformats.org/drawingml/2006/picture">
                <pic:pic>
                  <pic:nvPicPr>
                    <pic:cNvPr id="0" name="image30.png"/>
                    <pic:cNvPicPr/>
                  </pic:nvPicPr>
                  <pic:blipFill>
                    <a:blip r:embed="rId40"/>
                    <a:stretch>
                      <a:fillRect/>
                    </a:stretch>
                  </pic:blipFill>
                  <pic:spPr>
                    <a:xfrm>
                      <a:off x="0" y="0"/>
                      <a:ext cx="5303520" cy="3058622"/>
                    </a:xfrm>
                    <a:prstGeom prst="rect"/>
                  </pic:spPr>
                </pic:pic>
              </a:graphicData>
            </a:graphic>
          </wp:inline>
        </w:drawing>
      </w:r>
    </w:p>
    <w:p>
      <w:pPr>
        <w:spacing w:before="40" w:after="160"/>
        <w:jc w:val="center"/>
      </w:pPr>
      <w:r>
        <w:rPr>
          <w:rFonts w:ascii="Times New Roman" w:hAnsi="Times New Roman"/>
          <w:b/>
          <w:i/>
          <w:color w:val="000000"/>
          <w:sz w:val="21"/>
        </w:rPr>
        <w:t>Fig 8.23 – Theme and Color Palette Customization – Custom button, text, and background colors.</w:t>
      </w:r>
    </w:p>
    <w:p>
      <w:pPr>
        <w:spacing w:before="120" w:after="60"/>
        <w:jc w:val="center"/>
      </w:pPr>
      <w:r>
        <w:drawing>
          <wp:inline xmlns:a="http://schemas.openxmlformats.org/drawingml/2006/main" xmlns:pic="http://schemas.openxmlformats.org/drawingml/2006/picture">
            <wp:extent cx="5303520" cy="1818911"/>
            <wp:docPr id="33" name="Picture 33"/>
            <wp:cNvGraphicFramePr>
              <a:graphicFrameLocks noChangeAspect="1"/>
            </wp:cNvGraphicFramePr>
            <a:graphic>
              <a:graphicData uri="http://schemas.openxmlformats.org/drawingml/2006/picture">
                <pic:pic>
                  <pic:nvPicPr>
                    <pic:cNvPr id="0" name="image31.png"/>
                    <pic:cNvPicPr/>
                  </pic:nvPicPr>
                  <pic:blipFill>
                    <a:blip r:embed="rId41"/>
                    <a:stretch>
                      <a:fillRect/>
                    </a:stretch>
                  </pic:blipFill>
                  <pic:spPr>
                    <a:xfrm>
                      <a:off x="0" y="0"/>
                      <a:ext cx="5303520" cy="1818911"/>
                    </a:xfrm>
                    <a:prstGeom prst="rect"/>
                  </pic:spPr>
                </pic:pic>
              </a:graphicData>
            </a:graphic>
          </wp:inline>
        </w:drawing>
      </w:r>
    </w:p>
    <w:p>
      <w:pPr>
        <w:spacing w:before="40" w:after="160"/>
        <w:jc w:val="center"/>
      </w:pPr>
      <w:r>
        <w:rPr>
          <w:rFonts w:ascii="Times New Roman" w:hAnsi="Times New Roman"/>
          <w:b/>
          <w:i/>
          <w:color w:val="000000"/>
          <w:sz w:val="21"/>
        </w:rPr>
        <w:t>Fig 8.24 – Accessibility and Multi-Language Settings – Font scaling and language selector.</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a universal visual appearance customizer common to all user roles (Student, Mentor, Delivery Partner, Administrator) allowing granular adjustment of button colors, text colors, background colors, dark/light modes, font scaling, and multi-language translations.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Full Color Customizer: </w:t>
      </w:r>
      <w:r>
        <w:rPr>
          <w:rFonts w:ascii="Times New Roman" w:hAnsi="Times New Roman"/>
          <w:color w:val="000000"/>
          <w:sz w:val="24"/>
        </w:rPr>
        <w:t>Users independently customize button colors, text colors, and background theme colors via color pickers.</w:t>
      </w:r>
    </w:p>
    <w:p>
      <w:pPr>
        <w:pStyle w:val="ListBullet"/>
        <w:spacing w:after="60" w:before="20" w:line="276" w:lineRule="auto"/>
        <w:ind w:left="720" w:hanging="360"/>
        <w:jc w:val="both"/>
      </w:pPr>
      <w:r>
        <w:rPr>
          <w:rFonts w:ascii="Times New Roman" w:hAnsi="Times New Roman"/>
          <w:b/>
          <w:color w:val="000000"/>
          <w:sz w:val="24"/>
        </w:rPr>
        <w:t xml:space="preserve">• Dark &amp; Light Modes: </w:t>
      </w:r>
      <w:r>
        <w:rPr>
          <w:rFonts w:ascii="Times New Roman" w:hAnsi="Times New Roman"/>
          <w:color w:val="000000"/>
          <w:sz w:val="24"/>
        </w:rPr>
        <w:t>One-click toggle between optimized high-contrast light and dark visual themes.</w:t>
      </w:r>
    </w:p>
    <w:p>
      <w:pPr>
        <w:pStyle w:val="ListBullet"/>
        <w:spacing w:after="60" w:before="20" w:line="276" w:lineRule="auto"/>
        <w:ind w:left="720" w:hanging="360"/>
        <w:jc w:val="both"/>
      </w:pPr>
      <w:r>
        <w:rPr>
          <w:rFonts w:ascii="Times New Roman" w:hAnsi="Times New Roman"/>
          <w:b/>
          <w:color w:val="000000"/>
          <w:sz w:val="24"/>
        </w:rPr>
        <w:t xml:space="preserve">• Font Size Scaling: </w:t>
      </w:r>
      <w:r>
        <w:rPr>
          <w:rFonts w:ascii="Times New Roman" w:hAnsi="Times New Roman"/>
          <w:color w:val="000000"/>
          <w:sz w:val="24"/>
        </w:rPr>
        <w:t>Scales application typography across Small, Medium, and Large sizing presets.</w:t>
      </w:r>
    </w:p>
    <w:p>
      <w:pPr>
        <w:pStyle w:val="ListBullet"/>
        <w:spacing w:after="60" w:before="20" w:line="276" w:lineRule="auto"/>
        <w:ind w:left="720" w:hanging="360"/>
        <w:jc w:val="both"/>
      </w:pPr>
      <w:r>
        <w:rPr>
          <w:rFonts w:ascii="Times New Roman" w:hAnsi="Times New Roman"/>
          <w:b/>
          <w:color w:val="000000"/>
          <w:sz w:val="24"/>
        </w:rPr>
        <w:t xml:space="preserve">• Multi-Language Localization: </w:t>
      </w:r>
      <w:r>
        <w:rPr>
          <w:rFonts w:ascii="Times New Roman" w:hAnsi="Times New Roman"/>
          <w:color w:val="000000"/>
          <w:sz w:val="24"/>
        </w:rPr>
        <w:t>Translates interface labels across English, Tamil, and Hindi.</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Universal Preference Persistence: </w:t>
      </w:r>
      <w:r>
        <w:rPr>
          <w:rFonts w:ascii="Times New Roman" w:hAnsi="Times New Roman"/>
          <w:color w:val="000000"/>
          <w:sz w:val="24"/>
        </w:rPr>
        <w:t>Preferences persist across sessions in the User document and apply immediately via CSS variables.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/api/users/preferences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Saves theme, palette, font size, and language settings to user profile.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embedded preferences sub-document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preferences.theme, preferences.palette, preferences.fontSize, preferences.lang</w:t>
            </w:r>
          </w:p>
        </w:tc>
      </w:tr>
    </w:tbl>
    <w:p/>
    <w:p>
      <w:pPr>
        <w:spacing w:before="240" w:after="80" w:line="276" w:lineRule="auto"/>
        <w:jc w:val="left"/>
      </w:pPr>
      <w:r>
        <w:rPr>
          <w:rFonts w:ascii="Times New Roman" w:hAnsi="Times New Roman"/>
          <w:b/>
          <w:color w:val="000000"/>
          <w:sz w:val="26"/>
        </w:rPr>
        <w:t>8.13 ACADEMIC MENTOR PORTAL &amp; AUTOMATED WHATSAPP ALERTS</w:t>
      </w:r>
    </w:p>
    <w:p>
      <w:pPr>
        <w:spacing w:before="120" w:after="60"/>
        <w:jc w:val="center"/>
      </w:pPr>
      <w:r>
        <w:drawing>
          <wp:inline xmlns:a="http://schemas.openxmlformats.org/drawingml/2006/main" xmlns:pic="http://schemas.openxmlformats.org/drawingml/2006/picture">
            <wp:extent cx="5303520" cy="2502909"/>
            <wp:docPr id="34" name="Picture 34"/>
            <wp:cNvGraphicFramePr>
              <a:graphicFrameLocks noChangeAspect="1"/>
            </wp:cNvGraphicFramePr>
            <a:graphic>
              <a:graphicData uri="http://schemas.openxmlformats.org/drawingml/2006/picture">
                <pic:pic>
                  <pic:nvPicPr>
                    <pic:cNvPr id="0" name="image32.png"/>
                    <pic:cNvPicPr/>
                  </pic:nvPicPr>
                  <pic:blipFill>
                    <a:blip r:embed="rId42"/>
                    <a:stretch>
                      <a:fillRect/>
                    </a:stretch>
                  </pic:blipFill>
                  <pic:spPr>
                    <a:xfrm>
                      <a:off x="0" y="0"/>
                      <a:ext cx="5303520" cy="2502909"/>
                    </a:xfrm>
                    <a:prstGeom prst="rect"/>
                  </pic:spPr>
                </pic:pic>
              </a:graphicData>
            </a:graphic>
          </wp:inline>
        </w:drawing>
      </w:r>
    </w:p>
    <w:p>
      <w:pPr>
        <w:spacing w:before="40" w:after="160"/>
        <w:jc w:val="center"/>
      </w:pPr>
      <w:r>
        <w:rPr>
          <w:rFonts w:ascii="Times New Roman" w:hAnsi="Times New Roman"/>
          <w:b/>
          <w:i/>
          <w:color w:val="000000"/>
          <w:sz w:val="21"/>
        </w:rPr>
        <w:t>Fig 8.25 – Automated Academic Mentor Notifications – Real-time progress notifications.</w:t>
      </w:r>
    </w:p>
    <w:p>
      <w:pPr>
        <w:spacing w:before="120" w:after="60"/>
        <w:jc w:val="center"/>
      </w:pPr>
      <w:r>
        <w:drawing>
          <wp:inline xmlns:a="http://schemas.openxmlformats.org/drawingml/2006/main" xmlns:pic="http://schemas.openxmlformats.org/drawingml/2006/picture">
            <wp:extent cx="5303520" cy="2415769"/>
            <wp:docPr id="35" name="Picture 35"/>
            <wp:cNvGraphicFramePr>
              <a:graphicFrameLocks noChangeAspect="1"/>
            </wp:cNvGraphicFramePr>
            <a:graphic>
              <a:graphicData uri="http://schemas.openxmlformats.org/drawingml/2006/picture">
                <pic:pic>
                  <pic:nvPicPr>
                    <pic:cNvPr id="0" name="image33.png"/>
                    <pic:cNvPicPr/>
                  </pic:nvPicPr>
                  <pic:blipFill>
                    <a:blip r:embed="rId43"/>
                    <a:stretch>
                      <a:fillRect/>
                    </a:stretch>
                  </pic:blipFill>
                  <pic:spPr>
                    <a:xfrm>
                      <a:off x="0" y="0"/>
                      <a:ext cx="5303520" cy="2415769"/>
                    </a:xfrm>
                    <a:prstGeom prst="rect"/>
                  </pic:spPr>
                </pic:pic>
              </a:graphicData>
            </a:graphic>
          </wp:inline>
        </w:drawing>
      </w:r>
    </w:p>
    <w:p>
      <w:pPr>
        <w:spacing w:before="40" w:after="160"/>
        <w:jc w:val="center"/>
      </w:pPr>
      <w:r>
        <w:rPr>
          <w:rFonts w:ascii="Times New Roman" w:hAnsi="Times New Roman"/>
          <w:b/>
          <w:i/>
          <w:color w:val="000000"/>
          <w:sz w:val="21"/>
        </w:rPr>
        <w:t>Fig 8.26 – Longitudinal Student Progress Analytics – Weekly, monthly, and yearly performance curves.</w:t>
      </w:r>
    </w:p>
    <w:p>
      <w:pPr>
        <w:spacing w:before="120" w:after="60"/>
        <w:jc w:val="center"/>
      </w:pPr>
      <w:r>
        <w:drawing>
          <wp:inline xmlns:a="http://schemas.openxmlformats.org/drawingml/2006/main" xmlns:pic="http://schemas.openxmlformats.org/drawingml/2006/picture">
            <wp:extent cx="5303520" cy="4138640"/>
            <wp:docPr id="36" name="Picture 36"/>
            <wp:cNvGraphicFramePr>
              <a:graphicFrameLocks noChangeAspect="1"/>
            </wp:cNvGraphicFramePr>
            <a:graphic>
              <a:graphicData uri="http://schemas.openxmlformats.org/drawingml/2006/picture">
                <pic:pic>
                  <pic:nvPicPr>
                    <pic:cNvPr id="0" name="image34.png"/>
                    <pic:cNvPicPr/>
                  </pic:nvPicPr>
                  <pic:blipFill>
                    <a:blip r:embed="rId44"/>
                    <a:stretch>
                      <a:fillRect/>
                    </a:stretch>
                  </pic:blipFill>
                  <pic:spPr>
                    <a:xfrm>
                      <a:off x="0" y="0"/>
                      <a:ext cx="5303520" cy="4138640"/>
                    </a:xfrm>
                    <a:prstGeom prst="rect"/>
                  </pic:spPr>
                </pic:pic>
              </a:graphicData>
            </a:graphic>
          </wp:inline>
        </w:drawing>
      </w:r>
    </w:p>
    <w:p>
      <w:pPr>
        <w:spacing w:before="40" w:after="160"/>
        <w:jc w:val="center"/>
      </w:pPr>
      <w:r>
        <w:rPr>
          <w:rFonts w:ascii="Times New Roman" w:hAnsi="Times New Roman"/>
          <w:b/>
          <w:i/>
          <w:color w:val="000000"/>
          <w:sz w:val="21"/>
        </w:rPr>
        <w:t>Fig 8.27 – Identification of Students Requiring Academic Support – Lagging student detection.</w:t>
      </w:r>
    </w:p>
    <w:p>
      <w:pPr>
        <w:spacing w:before="120" w:after="60"/>
        <w:jc w:val="center"/>
      </w:pPr>
      <w:r>
        <w:drawing>
          <wp:inline xmlns:a="http://schemas.openxmlformats.org/drawingml/2006/main" xmlns:pic="http://schemas.openxmlformats.org/drawingml/2006/picture">
            <wp:extent cx="5303520" cy="3721768"/>
            <wp:docPr id="37" name="Picture 37"/>
            <wp:cNvGraphicFramePr>
              <a:graphicFrameLocks noChangeAspect="1"/>
            </wp:cNvGraphicFramePr>
            <a:graphic>
              <a:graphicData uri="http://schemas.openxmlformats.org/drawingml/2006/picture">
                <pic:pic>
                  <pic:nvPicPr>
                    <pic:cNvPr id="0" name="image35.png"/>
                    <pic:cNvPicPr/>
                  </pic:nvPicPr>
                  <pic:blipFill>
                    <a:blip r:embed="rId45"/>
                    <a:stretch>
                      <a:fillRect/>
                    </a:stretch>
                  </pic:blipFill>
                  <pic:spPr>
                    <a:xfrm>
                      <a:off x="0" y="0"/>
                      <a:ext cx="5303520" cy="3721768"/>
                    </a:xfrm>
                    <a:prstGeom prst="rect"/>
                  </pic:spPr>
                </pic:pic>
              </a:graphicData>
            </a:graphic>
          </wp:inline>
        </w:drawing>
      </w:r>
    </w:p>
    <w:p>
      <w:pPr>
        <w:spacing w:before="40" w:after="160"/>
        <w:jc w:val="center"/>
      </w:pPr>
      <w:r>
        <w:rPr>
          <w:rFonts w:ascii="Times New Roman" w:hAnsi="Times New Roman"/>
          <w:b/>
          <w:i/>
          <w:color w:val="000000"/>
          <w:sz w:val="21"/>
        </w:rPr>
        <w:t>Fig 8.28 – Direct Academic Mentorship Communication – Mentorship messaging.</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Equips academic mentors with tools to supervise assigned students, inspect longitudinal analytics curves, detect lagging performance, dispatch guidance, and receive automated WhatsApp, SMS, and email alerts on student activity.</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Assigned Students View: </w:t>
      </w:r>
      <w:r>
        <w:rPr>
          <w:rFonts w:ascii="Times New Roman" w:hAnsi="Times New Roman"/>
          <w:color w:val="000000"/>
          <w:sz w:val="24"/>
        </w:rPr>
        <w:t>Mentors inspect all students assigned to them by the administrator, including active syllabus percentages.</w:t>
      </w:r>
    </w:p>
    <w:p>
      <w:pPr>
        <w:pStyle w:val="ListBullet"/>
        <w:spacing w:after="60" w:before="20" w:line="276" w:lineRule="auto"/>
        <w:ind w:left="720" w:hanging="360"/>
        <w:jc w:val="both"/>
      </w:pPr>
      <w:r>
        <w:rPr>
          <w:rFonts w:ascii="Times New Roman" w:hAnsi="Times New Roman"/>
          <w:b/>
          <w:color w:val="000000"/>
          <w:sz w:val="24"/>
        </w:rPr>
        <w:t xml:space="preserve">• Automated WhatsApp Alerts: </w:t>
      </w:r>
      <w:r>
        <w:rPr>
          <w:rFonts w:ascii="Times New Roman" w:hAnsi="Times New Roman"/>
          <w:color w:val="000000"/>
          <w:sz w:val="24"/>
        </w:rPr>
        <w:t>Whenever a student attempts a mock test or logs in, an automated alert with performance metrics and a direct click-to-chat WhatsApp link is sent to the mentor.</w:t>
      </w:r>
    </w:p>
    <w:p>
      <w:pPr>
        <w:pStyle w:val="ListBullet"/>
        <w:spacing w:after="60" w:before="20" w:line="276" w:lineRule="auto"/>
        <w:ind w:left="720" w:hanging="360"/>
        <w:jc w:val="both"/>
      </w:pPr>
      <w:r>
        <w:rPr>
          <w:rFonts w:ascii="Times New Roman" w:hAnsi="Times New Roman"/>
          <w:b/>
          <w:color w:val="000000"/>
          <w:sz w:val="24"/>
        </w:rPr>
        <w:t xml:space="preserve">• Longitudinal Analytics: </w:t>
      </w:r>
      <w:r>
        <w:rPr>
          <w:rFonts w:ascii="Times New Roman" w:hAnsi="Times New Roman"/>
          <w:color w:val="000000"/>
          <w:sz w:val="24"/>
        </w:rPr>
        <w:t>Mentors review weekly, monthly, and yearly syllabus completion and mock test trajectories per student.</w:t>
      </w:r>
    </w:p>
    <w:p>
      <w:pPr>
        <w:pStyle w:val="ListBullet"/>
        <w:spacing w:after="60" w:before="20" w:line="276" w:lineRule="auto"/>
        <w:ind w:left="720" w:hanging="360"/>
        <w:jc w:val="both"/>
      </w:pPr>
      <w:r>
        <w:rPr>
          <w:rFonts w:ascii="Times New Roman" w:hAnsi="Times New Roman"/>
          <w:b/>
          <w:color w:val="000000"/>
          <w:sz w:val="24"/>
        </w:rPr>
        <w:t xml:space="preserve">• Lagging Student Detection: </w:t>
      </w:r>
      <w:r>
        <w:rPr>
          <w:rFonts w:ascii="Times New Roman" w:hAnsi="Times New Roman"/>
          <w:color w:val="000000"/>
          <w:sz w:val="24"/>
        </w:rPr>
        <w:t>The system flags students whose study velocity falls below recommended milestones.</w:t>
      </w:r>
    </w:p>
    <w:p>
      <w:pPr>
        <w:pStyle w:val="ListBullet"/>
        <w:spacing w:after="60" w:before="20" w:line="276" w:lineRule="auto"/>
        <w:ind w:left="720" w:hanging="360"/>
        <w:jc w:val="both"/>
      </w:pPr>
      <w:r>
        <w:rPr>
          <w:rFonts w:ascii="Times New Roman" w:hAnsi="Times New Roman"/>
          <w:b/>
          <w:color w:val="000000"/>
          <w:sz w:val="24"/>
        </w:rPr>
        <w:t xml:space="preserve">• Direct Mentorship Messaging: </w:t>
      </w:r>
      <w:r>
        <w:rPr>
          <w:rFonts w:ascii="Times New Roman" w:hAnsi="Times New Roman"/>
          <w:color w:val="000000"/>
          <w:sz w:val="24"/>
        </w:rPr>
        <w:t>Mentors send direct motivation and guidance via WhatsApp and SMS.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Real-Time Dispatch: </w:t>
      </w:r>
      <w:r>
        <w:rPr>
          <w:rFonts w:ascii="Times New Roman" w:hAnsi="Times New Roman"/>
          <w:color w:val="000000"/>
          <w:sz w:val="24"/>
        </w:rPr>
        <w:t>Alerts dispatch within 3 seconds of student action without human administrative intervention.</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/api/mentor/students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Retrieves assigned students with syllabus completion rates and scores.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/api/mentor/students/:id/analytics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longitudinal weekly/monthly/yearly progress curves.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/api/mentor/message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Dispatches direct motivational message to student via WhatsApp/SMS.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mentor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mentor, assignedStudents, whatsappNumber, phone</w:t>
            </w:r>
          </w:p>
        </w:tc>
      </w:tr>
    </w:tbl>
    <w:p/>
    <w:p>
      <w:pPr>
        <w:spacing w:before="240" w:after="80" w:line="276" w:lineRule="auto"/>
        <w:jc w:val="left"/>
      </w:pPr>
      <w:r>
        <w:rPr>
          <w:rFonts w:ascii="Times New Roman" w:hAnsi="Times New Roman"/>
          <w:b/>
          <w:color w:val="000000"/>
          <w:sz w:val="26"/>
        </w:rPr>
        <w:t>8.14 DELIVERY PARTNER CONSOLE &amp; 4-DIGIT OTP VERIFICATION</w:t>
      </w:r>
    </w:p>
    <w:p>
      <w:pPr>
        <w:spacing w:before="120" w:after="60"/>
        <w:jc w:val="center"/>
      </w:pPr>
      <w:r>
        <w:drawing>
          <wp:inline xmlns:a="http://schemas.openxmlformats.org/drawingml/2006/main" xmlns:pic="http://schemas.openxmlformats.org/drawingml/2006/picture">
            <wp:extent cx="5303520" cy="2835376"/>
            <wp:docPr id="38" name="Picture 38"/>
            <wp:cNvGraphicFramePr>
              <a:graphicFrameLocks noChangeAspect="1"/>
            </wp:cNvGraphicFramePr>
            <a:graphic>
              <a:graphicData uri="http://schemas.openxmlformats.org/drawingml/2006/picture">
                <pic:pic>
                  <pic:nvPicPr>
                    <pic:cNvPr id="0" name="image36.png"/>
                    <pic:cNvPicPr/>
                  </pic:nvPicPr>
                  <pic:blipFill>
                    <a:blip r:embed="rId46"/>
                    <a:stretch>
                      <a:fillRect/>
                    </a:stretch>
                  </pic:blipFill>
                  <pic:spPr>
                    <a:xfrm>
                      <a:off x="0" y="0"/>
                      <a:ext cx="5303520" cy="2835376"/>
                    </a:xfrm>
                    <a:prstGeom prst="rect"/>
                  </pic:spPr>
                </pic:pic>
              </a:graphicData>
            </a:graphic>
          </wp:inline>
        </w:drawing>
      </w:r>
    </w:p>
    <w:p>
      <w:pPr>
        <w:spacing w:before="40" w:after="160"/>
        <w:jc w:val="center"/>
      </w:pPr>
      <w:r>
        <w:rPr>
          <w:rFonts w:ascii="Times New Roman" w:hAnsi="Times New Roman"/>
          <w:b/>
          <w:i/>
          <w:color w:val="000000"/>
          <w:sz w:val="21"/>
        </w:rPr>
        <w:t>Fig 8.29 – Delivery Partner Consignment Dashboard – Assigned shipments and recipient details.</w:t>
      </w:r>
    </w:p>
    <w:p>
      <w:pPr>
        <w:spacing w:before="120" w:after="60"/>
        <w:jc w:val="center"/>
      </w:pPr>
      <w:r>
        <w:drawing>
          <wp:inline xmlns:a="http://schemas.openxmlformats.org/drawingml/2006/main" xmlns:pic="http://schemas.openxmlformats.org/drawingml/2006/picture">
            <wp:extent cx="5303520" cy="2737773"/>
            <wp:docPr id="39" name="Picture 39"/>
            <wp:cNvGraphicFramePr>
              <a:graphicFrameLocks noChangeAspect="1"/>
            </wp:cNvGraphicFramePr>
            <a:graphic>
              <a:graphicData uri="http://schemas.openxmlformats.org/drawingml/2006/picture">
                <pic:pic>
                  <pic:nvPicPr>
                    <pic:cNvPr id="0" name="image37.png"/>
                    <pic:cNvPicPr/>
                  </pic:nvPicPr>
                  <pic:blipFill>
                    <a:blip r:embed="rId47"/>
                    <a:stretch>
                      <a:fillRect/>
                    </a:stretch>
                  </pic:blipFill>
                  <pic:spPr>
                    <a:xfrm>
                      <a:off x="0" y="0"/>
                      <a:ext cx="5303520" cy="2737773"/>
                    </a:xfrm>
                    <a:prstGeom prst="rect"/>
                  </pic:spPr>
                </pic:pic>
              </a:graphicData>
            </a:graphic>
          </wp:inline>
        </w:drawing>
      </w:r>
    </w:p>
    <w:p>
      <w:pPr>
        <w:spacing w:before="40" w:after="160"/>
        <w:jc w:val="center"/>
      </w:pPr>
      <w:r>
        <w:rPr>
          <w:rFonts w:ascii="Times New Roman" w:hAnsi="Times New Roman"/>
          <w:b/>
          <w:i/>
          <w:color w:val="000000"/>
          <w:sz w:val="21"/>
        </w:rPr>
        <w:t>Fig 8.30 – Order Lifecycle &amp; Delivery Status Management – Order status progression.</w:t>
      </w:r>
    </w:p>
    <w:p>
      <w:pPr>
        <w:spacing w:before="120" w:after="60"/>
        <w:jc w:val="center"/>
      </w:pPr>
      <w:r>
        <w:drawing>
          <wp:inline xmlns:a="http://schemas.openxmlformats.org/drawingml/2006/main" xmlns:pic="http://schemas.openxmlformats.org/drawingml/2006/picture">
            <wp:extent cx="5303520" cy="2782755"/>
            <wp:docPr id="40" name="Picture 40"/>
            <wp:cNvGraphicFramePr>
              <a:graphicFrameLocks noChangeAspect="1"/>
            </wp:cNvGraphicFramePr>
            <a:graphic>
              <a:graphicData uri="http://schemas.openxmlformats.org/drawingml/2006/picture">
                <pic:pic>
                  <pic:nvPicPr>
                    <pic:cNvPr id="0" name="image38.png"/>
                    <pic:cNvPicPr/>
                  </pic:nvPicPr>
                  <pic:blipFill>
                    <a:blip r:embed="rId48"/>
                    <a:stretch>
                      <a:fillRect/>
                    </a:stretch>
                  </pic:blipFill>
                  <pic:spPr>
                    <a:xfrm>
                      <a:off x="0" y="0"/>
                      <a:ext cx="5303520" cy="2782755"/>
                    </a:xfrm>
                    <a:prstGeom prst="rect"/>
                  </pic:spPr>
                </pic:pic>
              </a:graphicData>
            </a:graphic>
          </wp:inline>
        </w:drawing>
      </w:r>
    </w:p>
    <w:p>
      <w:pPr>
        <w:spacing w:before="40" w:after="160"/>
        <w:jc w:val="center"/>
      </w:pPr>
      <w:r>
        <w:rPr>
          <w:rFonts w:ascii="Times New Roman" w:hAnsi="Times New Roman"/>
          <w:b/>
          <w:i/>
          <w:color w:val="000000"/>
          <w:sz w:val="21"/>
        </w:rPr>
        <w:t>Fig 8.31 – Secure Delivery Confirmation Using OTP – 4-digit verification OTP prompt.</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Enables delivery personnel to manage assigned consignments, advance fulfillment stages, and confirm physical deliveries or donation pickups using mandatory 4-digit OTP verification.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Consignment Dashboard: </w:t>
      </w:r>
      <w:r>
        <w:rPr>
          <w:rFonts w:ascii="Times New Roman" w:hAnsi="Times New Roman"/>
          <w:color w:val="000000"/>
          <w:sz w:val="24"/>
        </w:rPr>
        <w:t>Displays shipments assigned to the authenticated delivery partner with recipient name, address, and phone number.</w:t>
      </w:r>
    </w:p>
    <w:p>
      <w:pPr>
        <w:pStyle w:val="ListBullet"/>
        <w:spacing w:after="60" w:before="20" w:line="276" w:lineRule="auto"/>
        <w:ind w:left="720" w:hanging="360"/>
        <w:jc w:val="both"/>
      </w:pPr>
      <w:r>
        <w:rPr>
          <w:rFonts w:ascii="Times New Roman" w:hAnsi="Times New Roman"/>
          <w:b/>
          <w:color w:val="000000"/>
          <w:sz w:val="24"/>
        </w:rPr>
        <w:t xml:space="preserve">• Stage Transitions: </w:t>
      </w:r>
      <w:r>
        <w:rPr>
          <w:rFonts w:ascii="Times New Roman" w:hAnsi="Times New Roman"/>
          <w:color w:val="000000"/>
          <w:sz w:val="24"/>
        </w:rPr>
        <w:t>Advances consignments through: Ordered → Dispatched → In Transit → Out for Delivery → Delivered.</w:t>
      </w:r>
    </w:p>
    <w:p>
      <w:pPr>
        <w:pStyle w:val="ListBullet"/>
        <w:spacing w:after="60" w:before="20" w:line="276" w:lineRule="auto"/>
        <w:ind w:left="720" w:hanging="360"/>
        <w:jc w:val="both"/>
      </w:pPr>
      <w:r>
        <w:rPr>
          <w:rFonts w:ascii="Times New Roman" w:hAnsi="Times New Roman"/>
          <w:b/>
          <w:color w:val="000000"/>
          <w:sz w:val="24"/>
        </w:rPr>
        <w:t xml:space="preserve">• Mandatory 4-Digit OTP Verification: </w:t>
      </w:r>
      <w:r>
        <w:rPr>
          <w:rFonts w:ascii="Times New Roman" w:hAnsi="Times New Roman"/>
          <w:color w:val="000000"/>
          <w:sz w:val="24"/>
        </w:rPr>
        <w:t>Delivery partners cannot complete a delivery without entering the recipient's 4-digit OTP, preventing fraudulent handovers.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Cryptographic Validation: </w:t>
      </w:r>
      <w:r>
        <w:rPr>
          <w:rFonts w:ascii="Times New Roman" w:hAnsi="Times New Roman"/>
          <w:color w:val="000000"/>
          <w:sz w:val="24"/>
        </w:rPr>
        <w:t>OTPs are validated through constant-time string comparisons to prevent timing attacks.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/api/delivery/orders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consignments assigned to authenticated delivery partner.</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/api/delivery/orders/:id/status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Advances delivery stage; validates 4-digit OTP before marking Delivered.</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assignedPartner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assignedPartner, status, verificationOtp, deliveryAddress</w:t>
            </w:r>
          </w:p>
        </w:tc>
      </w:tr>
    </w:tbl>
    <w:p/>
    <w:p>
      <w:pPr>
        <w:spacing w:before="240" w:after="80" w:line="276" w:lineRule="auto"/>
        <w:jc w:val="left"/>
      </w:pPr>
      <w:r>
        <w:rPr>
          <w:rFonts w:ascii="Times New Roman" w:hAnsi="Times New Roman"/>
          <w:b/>
          <w:color w:val="000000"/>
          <w:sz w:val="26"/>
        </w:rPr>
        <w:t>8.15 SYSTEM ADMINISTRATION &amp; MULTI-CHANNEL COMMUNICATION ENGINE</w:t>
      </w:r>
    </w:p>
    <w:p>
      <w:pPr>
        <w:spacing w:before="120" w:after="60"/>
        <w:jc w:val="center"/>
      </w:pPr>
      <w:r>
        <w:drawing>
          <wp:inline xmlns:a="http://schemas.openxmlformats.org/drawingml/2006/main" xmlns:pic="http://schemas.openxmlformats.org/drawingml/2006/picture">
            <wp:extent cx="5303520" cy="2807746"/>
            <wp:docPr id="41" name="Picture 41"/>
            <wp:cNvGraphicFramePr>
              <a:graphicFrameLocks noChangeAspect="1"/>
            </wp:cNvGraphicFramePr>
            <a:graphic>
              <a:graphicData uri="http://schemas.openxmlformats.org/drawingml/2006/picture">
                <pic:pic>
                  <pic:nvPicPr>
                    <pic:cNvPr id="0" name="image39.png"/>
                    <pic:cNvPicPr/>
                  </pic:nvPicPr>
                  <pic:blipFill>
                    <a:blip r:embed="rId49"/>
                    <a:stretch>
                      <a:fillRect/>
                    </a:stretch>
                  </pic:blipFill>
                  <pic:spPr>
                    <a:xfrm>
                      <a:off x="0" y="0"/>
                      <a:ext cx="5303520" cy="2807746"/>
                    </a:xfrm>
                    <a:prstGeom prst="rect"/>
                  </pic:spPr>
                </pic:pic>
              </a:graphicData>
            </a:graphic>
          </wp:inline>
        </w:drawing>
      </w:r>
    </w:p>
    <w:p>
      <w:pPr>
        <w:spacing w:before="40" w:after="160"/>
        <w:jc w:val="center"/>
      </w:pPr>
      <w:r>
        <w:rPr>
          <w:rFonts w:ascii="Times New Roman" w:hAnsi="Times New Roman"/>
          <w:b/>
          <w:i/>
          <w:color w:val="000000"/>
          <w:sz w:val="21"/>
        </w:rPr>
        <w:t>Fig 8.32 – Administrative User Account Management – User governance and role assignment.</w:t>
      </w:r>
    </w:p>
    <w:p>
      <w:pPr>
        <w:spacing w:before="120" w:after="60"/>
        <w:jc w:val="center"/>
      </w:pPr>
      <w:r>
        <w:drawing>
          <wp:inline xmlns:a="http://schemas.openxmlformats.org/drawingml/2006/main" xmlns:pic="http://schemas.openxmlformats.org/drawingml/2006/picture">
            <wp:extent cx="5303520" cy="3202554"/>
            <wp:docPr id="42" name="Picture 42"/>
            <wp:cNvGraphicFramePr>
              <a:graphicFrameLocks noChangeAspect="1"/>
            </wp:cNvGraphicFramePr>
            <a:graphic>
              <a:graphicData uri="http://schemas.openxmlformats.org/drawingml/2006/picture">
                <pic:pic>
                  <pic:nvPicPr>
                    <pic:cNvPr id="0" name="image40.png"/>
                    <pic:cNvPicPr/>
                  </pic:nvPicPr>
                  <pic:blipFill>
                    <a:blip r:embed="rId50"/>
                    <a:stretch>
                      <a:fillRect/>
                    </a:stretch>
                  </pic:blipFill>
                  <pic:spPr>
                    <a:xfrm>
                      <a:off x="0" y="0"/>
                      <a:ext cx="5303520" cy="3202554"/>
                    </a:xfrm>
                    <a:prstGeom prst="rect"/>
                  </pic:spPr>
                </pic:pic>
              </a:graphicData>
            </a:graphic>
          </wp:inline>
        </w:drawing>
      </w:r>
    </w:p>
    <w:p>
      <w:pPr>
        <w:spacing w:before="40" w:after="160"/>
        <w:jc w:val="center"/>
      </w:pPr>
      <w:r>
        <w:rPr>
          <w:rFonts w:ascii="Times New Roman" w:hAnsi="Times New Roman"/>
          <w:b/>
          <w:i/>
          <w:color w:val="000000"/>
          <w:sz w:val="21"/>
        </w:rPr>
        <w:t>Fig 8.33 – Academic Mentor Allocation Interface – Linking mentors with students.</w:t>
      </w:r>
    </w:p>
    <w:p>
      <w:pPr>
        <w:spacing w:before="120" w:after="60"/>
        <w:jc w:val="center"/>
      </w:pPr>
      <w:r>
        <w:drawing>
          <wp:inline xmlns:a="http://schemas.openxmlformats.org/drawingml/2006/main" xmlns:pic="http://schemas.openxmlformats.org/drawingml/2006/picture">
            <wp:extent cx="5303520" cy="3314700"/>
            <wp:docPr id="43" name="Picture 43"/>
            <wp:cNvGraphicFramePr>
              <a:graphicFrameLocks noChangeAspect="1"/>
            </wp:cNvGraphicFramePr>
            <a:graphic>
              <a:graphicData uri="http://schemas.openxmlformats.org/drawingml/2006/picture">
                <pic:pic>
                  <pic:nvPicPr>
                    <pic:cNvPr id="0" name="image41.png"/>
                    <pic:cNvPicPr/>
                  </pic:nvPicPr>
                  <pic:blipFill>
                    <a:blip r:embed="rId51"/>
                    <a:stretch>
                      <a:fillRect/>
                    </a:stretch>
                  </pic:blipFill>
                  <pic:spPr>
                    <a:xfrm>
                      <a:off x="0" y="0"/>
                      <a:ext cx="5303520" cy="3314700"/>
                    </a:xfrm>
                    <a:prstGeom prst="rect"/>
                  </pic:spPr>
                </pic:pic>
              </a:graphicData>
            </a:graphic>
          </wp:inline>
        </w:drawing>
      </w:r>
    </w:p>
    <w:p>
      <w:pPr>
        <w:spacing w:before="40" w:after="160"/>
        <w:jc w:val="center"/>
      </w:pPr>
      <w:r>
        <w:rPr>
          <w:rFonts w:ascii="Times New Roman" w:hAnsi="Times New Roman"/>
          <w:b/>
          <w:i/>
          <w:color w:val="000000"/>
          <w:sz w:val="21"/>
        </w:rPr>
        <w:t>Fig 8.34 – Examination Catalog &amp; Syllabus Administration – Syllabus curriculum editor.</w:t>
      </w:r>
    </w:p>
    <w:p>
      <w:pPr>
        <w:spacing w:before="120" w:after="60"/>
        <w:jc w:val="center"/>
      </w:pPr>
      <w:r>
        <w:drawing>
          <wp:inline xmlns:a="http://schemas.openxmlformats.org/drawingml/2006/main" xmlns:pic="http://schemas.openxmlformats.org/drawingml/2006/picture">
            <wp:extent cx="5303520" cy="2423712"/>
            <wp:docPr id="44" name="Picture 44"/>
            <wp:cNvGraphicFramePr>
              <a:graphicFrameLocks noChangeAspect="1"/>
            </wp:cNvGraphicFramePr>
            <a:graphic>
              <a:graphicData uri="http://schemas.openxmlformats.org/drawingml/2006/picture">
                <pic:pic>
                  <pic:nvPicPr>
                    <pic:cNvPr id="0" name="image42.png"/>
                    <pic:cNvPicPr/>
                  </pic:nvPicPr>
                  <pic:blipFill>
                    <a:blip r:embed="rId52"/>
                    <a:stretch>
                      <a:fillRect/>
                    </a:stretch>
                  </pic:blipFill>
                  <pic:spPr>
                    <a:xfrm>
                      <a:off x="0" y="0"/>
                      <a:ext cx="5303520" cy="2423712"/>
                    </a:xfrm>
                    <a:prstGeom prst="rect"/>
                  </pic:spPr>
                </pic:pic>
              </a:graphicData>
            </a:graphic>
          </wp:inline>
        </w:drawing>
      </w:r>
    </w:p>
    <w:p>
      <w:pPr>
        <w:spacing w:before="40" w:after="160"/>
        <w:jc w:val="center"/>
      </w:pPr>
      <w:r>
        <w:rPr>
          <w:rFonts w:ascii="Times New Roman" w:hAnsi="Times New Roman"/>
          <w:b/>
          <w:i/>
          <w:color w:val="000000"/>
          <w:sz w:val="21"/>
        </w:rPr>
        <w:t>Fig 8.35 – Order &amp; Fulfillment Monitoring – Order transactions and consignment monitoring.</w:t>
      </w:r>
    </w:p>
    <w:p>
      <w:pPr>
        <w:spacing w:before="120" w:after="60"/>
        <w:jc w:val="center"/>
      </w:pPr>
      <w:r>
        <w:drawing>
          <wp:inline xmlns:a="http://schemas.openxmlformats.org/drawingml/2006/main" xmlns:pic="http://schemas.openxmlformats.org/drawingml/2006/picture">
            <wp:extent cx="5303520" cy="1724680"/>
            <wp:docPr id="45" name="Picture 45"/>
            <wp:cNvGraphicFramePr>
              <a:graphicFrameLocks noChangeAspect="1"/>
            </wp:cNvGraphicFramePr>
            <a:graphic>
              <a:graphicData uri="http://schemas.openxmlformats.org/drawingml/2006/picture">
                <pic:pic>
                  <pic:nvPicPr>
                    <pic:cNvPr id="0" name="image43.png"/>
                    <pic:cNvPicPr/>
                  </pic:nvPicPr>
                  <pic:blipFill>
                    <a:blip r:embed="rId53"/>
                    <a:stretch>
                      <a:fillRect/>
                    </a:stretch>
                  </pic:blipFill>
                  <pic:spPr>
                    <a:xfrm>
                      <a:off x="0" y="0"/>
                      <a:ext cx="5303520" cy="1724680"/>
                    </a:xfrm>
                    <a:prstGeom prst="rect"/>
                  </pic:spPr>
                </pic:pic>
              </a:graphicData>
            </a:graphic>
          </wp:inline>
        </w:drawing>
      </w:r>
    </w:p>
    <w:p>
      <w:pPr>
        <w:spacing w:before="40" w:after="160"/>
        <w:jc w:val="center"/>
      </w:pPr>
      <w:r>
        <w:rPr>
          <w:rFonts w:ascii="Times New Roman" w:hAnsi="Times New Roman"/>
          <w:b/>
          <w:i/>
          <w:color w:val="000000"/>
          <w:sz w:val="21"/>
        </w:rPr>
        <w:t>Fig 8.36 – Email Communication Module – Official emails dispatched from prepcycle@gmail.com.</w:t>
      </w:r>
    </w:p>
    <w:p>
      <w:pPr>
        <w:spacing w:before="120" w:after="60"/>
        <w:jc w:val="center"/>
      </w:pPr>
      <w:r>
        <w:drawing>
          <wp:inline xmlns:a="http://schemas.openxmlformats.org/drawingml/2006/main" xmlns:pic="http://schemas.openxmlformats.org/drawingml/2006/picture">
            <wp:extent cx="5303520" cy="2775552"/>
            <wp:docPr id="46" name="Picture 46"/>
            <wp:cNvGraphicFramePr>
              <a:graphicFrameLocks noChangeAspect="1"/>
            </wp:cNvGraphicFramePr>
            <a:graphic>
              <a:graphicData uri="http://schemas.openxmlformats.org/drawingml/2006/picture">
                <pic:pic>
                  <pic:nvPicPr>
                    <pic:cNvPr id="0" name="image44.png"/>
                    <pic:cNvPicPr/>
                  </pic:nvPicPr>
                  <pic:blipFill>
                    <a:blip r:embed="rId54"/>
                    <a:stretch>
                      <a:fillRect/>
                    </a:stretch>
                  </pic:blipFill>
                  <pic:spPr>
                    <a:xfrm>
                      <a:off x="0" y="0"/>
                      <a:ext cx="5303520" cy="2775552"/>
                    </a:xfrm>
                    <a:prstGeom prst="rect"/>
                  </pic:spPr>
                </pic:pic>
              </a:graphicData>
            </a:graphic>
          </wp:inline>
        </w:drawing>
      </w:r>
    </w:p>
    <w:p>
      <w:pPr>
        <w:spacing w:before="40" w:after="160"/>
        <w:jc w:val="center"/>
      </w:pPr>
      <w:r>
        <w:rPr>
          <w:rFonts w:ascii="Times New Roman" w:hAnsi="Times New Roman"/>
          <w:b/>
          <w:i/>
          <w:color w:val="000000"/>
          <w:sz w:val="21"/>
        </w:rPr>
        <w:t>Fig 8.37 – WhatsApp Communication Module – Direct administrative messaging via WhatsApp.</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Equips administrators with full operational oversight of users, mentor allocations, exam catalogs, order fulfillment, return policies, and an active multi-channel communication engine operating via Email, WhatsApp, SMS, and in-app feeds.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User Governance: </w:t>
      </w:r>
      <w:r>
        <w:rPr>
          <w:rFonts w:ascii="Times New Roman" w:hAnsi="Times New Roman"/>
          <w:color w:val="000000"/>
          <w:sz w:val="24"/>
        </w:rPr>
        <w:t>Audit, activate, deactivate, and inspect all Student, Mentor, Delivery, and Admin accounts.</w:t>
      </w:r>
    </w:p>
    <w:p>
      <w:pPr>
        <w:pStyle w:val="ListBullet"/>
        <w:spacing w:after="60" w:before="20" w:line="276" w:lineRule="auto"/>
        <w:ind w:left="720" w:hanging="360"/>
        <w:jc w:val="both"/>
      </w:pPr>
      <w:r>
        <w:rPr>
          <w:rFonts w:ascii="Times New Roman" w:hAnsi="Times New Roman"/>
          <w:b/>
          <w:color w:val="000000"/>
          <w:sz w:val="24"/>
        </w:rPr>
        <w:t xml:space="preserve">• Mentor Allocation: </w:t>
      </w:r>
      <w:r>
        <w:rPr>
          <w:rFonts w:ascii="Times New Roman" w:hAnsi="Times New Roman"/>
          <w:color w:val="000000"/>
          <w:sz w:val="24"/>
        </w:rPr>
        <w:t>Assign or reassign students to designated academic mentors, establishing supervisory linkages.</w:t>
      </w:r>
    </w:p>
    <w:p>
      <w:pPr>
        <w:pStyle w:val="ListBullet"/>
        <w:spacing w:after="60" w:before="20" w:line="276" w:lineRule="auto"/>
        <w:ind w:left="720" w:hanging="360"/>
        <w:jc w:val="both"/>
      </w:pPr>
      <w:r>
        <w:rPr>
          <w:rFonts w:ascii="Times New Roman" w:hAnsi="Times New Roman"/>
          <w:b/>
          <w:color w:val="000000"/>
          <w:sz w:val="24"/>
        </w:rPr>
        <w:t xml:space="preserve">• Active Communication Engine: </w:t>
      </w:r>
      <w:r>
        <w:rPr>
          <w:rFonts w:ascii="Times New Roman" w:hAnsi="Times New Roman"/>
          <w:color w:val="000000"/>
          <w:sz w:val="24"/>
        </w:rPr>
        <w:t>Admins compose and send active Emails (dispatched from prepcycle@gmail.com), WhatsApp messages, and SMS notifications directly from the platform.</w:t>
      </w:r>
    </w:p>
    <w:p>
      <w:pPr>
        <w:pStyle w:val="ListBullet"/>
        <w:spacing w:after="60" w:before="20" w:line="276" w:lineRule="auto"/>
        <w:ind w:left="720" w:hanging="360"/>
        <w:jc w:val="both"/>
      </w:pPr>
      <w:r>
        <w:rPr>
          <w:rFonts w:ascii="Times New Roman" w:hAnsi="Times New Roman"/>
          <w:b/>
          <w:color w:val="000000"/>
          <w:sz w:val="24"/>
        </w:rPr>
        <w:t xml:space="preserve">• Catalog &amp; Order Oversight: </w:t>
      </w:r>
      <w:r>
        <w:rPr>
          <w:rFonts w:ascii="Times New Roman" w:hAnsi="Times New Roman"/>
          <w:color w:val="000000"/>
          <w:sz w:val="24"/>
        </w:rPr>
        <w:t>Create and edit competitive examinations, update syllabus roadmaps, and monitor consignment progress.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High Throughput: </w:t>
      </w:r>
      <w:r>
        <w:rPr>
          <w:rFonts w:ascii="Times New Roman" w:hAnsi="Times New Roman"/>
          <w:color w:val="000000"/>
          <w:sz w:val="24"/>
        </w:rPr>
        <w:t>Processes multi-channel notification batches through asynchronous background queues without blocking admin UI.</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/api/admin/users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Lists all registered accounts with role filters and account status.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/api/admin/assign-mentor</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Links a student account to a designated academic mentor.</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/api/admin/communicate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Dispatches an active Email, WhatsApp message, or SMS to target users.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/api/admin/analytics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Aggregates total students, mock attempts, active orders, and mentor coverage.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communication_logs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channel, timestamp</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channel, messageType, recipient, subject, content, status</w:t>
            </w:r>
          </w:p>
        </w:tc>
      </w:tr>
    </w:tbl>
    <w:p/>
    <w:p>
      <w:pPr>
        <w:spacing w:before="240" w:after="80" w:line="276" w:lineRule="auto"/>
        <w:jc w:val="left"/>
      </w:pPr>
      <w:r>
        <w:rPr>
          <w:rFonts w:ascii="Times New Roman" w:hAnsi="Times New Roman"/>
          <w:b/>
          <w:color w:val="000000"/>
          <w:sz w:val="26"/>
        </w:rPr>
        <w:t>8.16 ROLE-WISE USER INTERFACES</w:t>
      </w:r>
    </w:p>
    <w:p>
      <w:pPr>
        <w:spacing w:after="100" w:before="0" w:line="276" w:lineRule="auto"/>
        <w:ind w:firstLine="720"/>
        <w:jc w:val="both"/>
      </w:pPr>
      <w:r>
        <w:rPr>
          <w:rFonts w:ascii="Times New Roman" w:hAnsi="Times New Roman"/>
          <w:color w:val="000000"/>
          <w:sz w:val="24"/>
        </w:rPr>
        <w:t>This section presents the specialized role-based user interfaces designed for the four operational stakeholders of the platform: Student, Academic Mentor, Delivery Partner, and System Administrator. Each role interface provides a focused set of functional capabilities and telemetry displays tailored to the user's operational workflows.</w:t>
      </w:r>
    </w:p>
    <w:p>
      <w:pPr>
        <w:spacing w:before="160" w:after="60" w:line="276" w:lineRule="auto"/>
        <w:jc w:val="left"/>
      </w:pPr>
      <w:r>
        <w:rPr>
          <w:rFonts w:ascii="Times New Roman" w:hAnsi="Times New Roman"/>
          <w:b/>
          <w:i/>
          <w:color w:val="000000"/>
          <w:sz w:val="24"/>
        </w:rPr>
        <w:t>8.16.1 Student Role Interfaces</w:t>
      </w:r>
    </w:p>
    <w:p>
      <w:pPr>
        <w:spacing w:after="100" w:before="0" w:line="276" w:lineRule="auto"/>
        <w:ind w:firstLine="720"/>
        <w:jc w:val="both"/>
      </w:pPr>
      <w:r>
        <w:rPr>
          <w:rFonts w:ascii="Times New Roman" w:hAnsi="Times New Roman"/>
          <w:color w:val="000000"/>
          <w:sz w:val="24"/>
        </w:rPr>
        <w:t>The Student workspace provides an integrated learning, assessment, and resource exchange environment. Students explore competitive examination roadmaps, track syllabus completion percentages, maintain daily study streaks, participate in timed computer-based mock tests, generate dynamic quizzes, revise with interactive flashcards, buy and sell second-hand textbooks, claim free book donations, track physical orders, and engage in peer discussions:</w:t>
      </w:r>
    </w:p>
    <w:p>
      <w:pPr>
        <w:spacing w:before="120" w:after="60"/>
        <w:jc w:val="center"/>
      </w:pPr>
      <w:r>
        <w:drawing>
          <wp:inline xmlns:a="http://schemas.openxmlformats.org/drawingml/2006/main" xmlns:pic="http://schemas.openxmlformats.org/drawingml/2006/picture">
            <wp:extent cx="5303520" cy="2825395"/>
            <wp:docPr id="47" name="Picture 47"/>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5303520" cy="2825395"/>
                    </a:xfrm>
                    <a:prstGeom prst="rect"/>
                  </pic:spPr>
                </pic:pic>
              </a:graphicData>
            </a:graphic>
          </wp:inline>
        </w:drawing>
      </w:r>
    </w:p>
    <w:p>
      <w:pPr>
        <w:spacing w:before="40" w:after="160"/>
        <w:jc w:val="center"/>
      </w:pPr>
      <w:r>
        <w:rPr>
          <w:rFonts w:ascii="Times New Roman" w:hAnsi="Times New Roman"/>
          <w:b/>
          <w:i/>
          <w:color w:val="000000"/>
          <w:sz w:val="21"/>
        </w:rPr>
        <w:t>Fig 8.38 – Student Dashboard – Central learning overview with recently accessed exams and streak metrics.</w:t>
      </w:r>
    </w:p>
    <w:p>
      <w:pPr>
        <w:spacing w:before="120" w:after="60"/>
        <w:jc w:val="center"/>
      </w:pPr>
      <w:r>
        <w:drawing>
          <wp:inline xmlns:a="http://schemas.openxmlformats.org/drawingml/2006/main" xmlns:pic="http://schemas.openxmlformats.org/drawingml/2006/picture">
            <wp:extent cx="5303520" cy="3172833"/>
            <wp:docPr id="48" name="Picture 48"/>
            <wp:cNvGraphicFramePr>
              <a:graphicFrameLocks noChangeAspect="1"/>
            </wp:cNvGraphicFramePr>
            <a:graphic>
              <a:graphicData uri="http://schemas.openxmlformats.org/drawingml/2006/picture">
                <pic:pic>
                  <pic:nvPicPr>
                    <pic:cNvPr id="0" name="image13.png"/>
                    <pic:cNvPicPr/>
                  </pic:nvPicPr>
                  <pic:blipFill>
                    <a:blip r:embed="rId23"/>
                    <a:stretch>
                      <a:fillRect/>
                    </a:stretch>
                  </pic:blipFill>
                  <pic:spPr>
                    <a:xfrm>
                      <a:off x="0" y="0"/>
                      <a:ext cx="5303520" cy="3172833"/>
                    </a:xfrm>
                    <a:prstGeom prst="rect"/>
                  </pic:spPr>
                </pic:pic>
              </a:graphicData>
            </a:graphic>
          </wp:inline>
        </w:drawing>
      </w:r>
    </w:p>
    <w:p>
      <w:pPr>
        <w:spacing w:before="40" w:after="160"/>
        <w:jc w:val="center"/>
      </w:pPr>
      <w:r>
        <w:rPr>
          <w:rFonts w:ascii="Times New Roman" w:hAnsi="Times New Roman"/>
          <w:b/>
          <w:i/>
          <w:color w:val="000000"/>
          <w:sz w:val="21"/>
        </w:rPr>
        <w:t>Fig 8.39 – Exam Explorer &amp; Selection – Browsing national competitive exam catalogs.</w:t>
      </w:r>
    </w:p>
    <w:p>
      <w:pPr>
        <w:spacing w:before="120" w:after="60"/>
        <w:jc w:val="center"/>
      </w:pPr>
      <w:r>
        <w:drawing>
          <wp:inline xmlns:a="http://schemas.openxmlformats.org/drawingml/2006/main" xmlns:pic="http://schemas.openxmlformats.org/drawingml/2006/picture">
            <wp:extent cx="5303520" cy="3597203"/>
            <wp:docPr id="49" name="Picture 49"/>
            <wp:cNvGraphicFramePr>
              <a:graphicFrameLocks noChangeAspect="1"/>
            </wp:cNvGraphicFramePr>
            <a:graphic>
              <a:graphicData uri="http://schemas.openxmlformats.org/drawingml/2006/picture">
                <pic:pic>
                  <pic:nvPicPr>
                    <pic:cNvPr id="0" name="image14.png"/>
                    <pic:cNvPicPr/>
                  </pic:nvPicPr>
                  <pic:blipFill>
                    <a:blip r:embed="rId24"/>
                    <a:stretch>
                      <a:fillRect/>
                    </a:stretch>
                  </pic:blipFill>
                  <pic:spPr>
                    <a:xfrm>
                      <a:off x="0" y="0"/>
                      <a:ext cx="5303520" cy="3597203"/>
                    </a:xfrm>
                    <a:prstGeom prst="rect"/>
                  </pic:spPr>
                </pic:pic>
              </a:graphicData>
            </a:graphic>
          </wp:inline>
        </w:drawing>
      </w:r>
    </w:p>
    <w:p>
      <w:pPr>
        <w:spacing w:before="40" w:after="160"/>
        <w:jc w:val="center"/>
      </w:pPr>
      <w:r>
        <w:rPr>
          <w:rFonts w:ascii="Times New Roman" w:hAnsi="Times New Roman"/>
          <w:b/>
          <w:i/>
          <w:color w:val="000000"/>
          <w:sz w:val="21"/>
        </w:rPr>
        <w:t>Fig 8.40 – Syllabus Roadmap View – Weightage-prioritized chapters and topics.</w:t>
      </w:r>
    </w:p>
    <w:p>
      <w:pPr>
        <w:spacing w:before="120" w:after="60"/>
        <w:jc w:val="center"/>
      </w:pPr>
      <w:r>
        <w:drawing>
          <wp:inline xmlns:a="http://schemas.openxmlformats.org/drawingml/2006/main" xmlns:pic="http://schemas.openxmlformats.org/drawingml/2006/picture">
            <wp:extent cx="5303520" cy="3637671"/>
            <wp:docPr id="50" name="Picture 50"/>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5303520" cy="3637671"/>
                    </a:xfrm>
                    <a:prstGeom prst="rect"/>
                  </pic:spPr>
                </pic:pic>
              </a:graphicData>
            </a:graphic>
          </wp:inline>
        </w:drawing>
      </w:r>
    </w:p>
    <w:p>
      <w:pPr>
        <w:spacing w:before="40" w:after="160"/>
        <w:jc w:val="center"/>
      </w:pPr>
      <w:r>
        <w:rPr>
          <w:rFonts w:ascii="Times New Roman" w:hAnsi="Times New Roman"/>
          <w:b/>
          <w:i/>
          <w:color w:val="000000"/>
          <w:sz w:val="21"/>
        </w:rPr>
        <w:t>Fig 8.41 – Computer-Based Mock Test Simulator – Realistic timed examination environment.</w:t>
      </w:r>
    </w:p>
    <w:p>
      <w:pPr>
        <w:spacing w:before="120" w:after="60"/>
        <w:jc w:val="center"/>
      </w:pPr>
      <w:r>
        <w:drawing>
          <wp:inline xmlns:a="http://schemas.openxmlformats.org/drawingml/2006/main" xmlns:pic="http://schemas.openxmlformats.org/drawingml/2006/picture">
            <wp:extent cx="5303520" cy="3400535"/>
            <wp:docPr id="51" name="Picture 51"/>
            <wp:cNvGraphicFramePr>
              <a:graphicFrameLocks noChangeAspect="1"/>
            </wp:cNvGraphicFramePr>
            <a:graphic>
              <a:graphicData uri="http://schemas.openxmlformats.org/drawingml/2006/picture">
                <pic:pic>
                  <pic:nvPicPr>
                    <pic:cNvPr id="0" name="image21.png"/>
                    <pic:cNvPicPr/>
                  </pic:nvPicPr>
                  <pic:blipFill>
                    <a:blip r:embed="rId31"/>
                    <a:stretch>
                      <a:fillRect/>
                    </a:stretch>
                  </pic:blipFill>
                  <pic:spPr>
                    <a:xfrm>
                      <a:off x="0" y="0"/>
                      <a:ext cx="5303520" cy="3400535"/>
                    </a:xfrm>
                    <a:prstGeom prst="rect"/>
                  </pic:spPr>
                </pic:pic>
              </a:graphicData>
            </a:graphic>
          </wp:inline>
        </w:drawing>
      </w:r>
    </w:p>
    <w:p>
      <w:pPr>
        <w:spacing w:before="40" w:after="160"/>
        <w:jc w:val="center"/>
      </w:pPr>
      <w:r>
        <w:rPr>
          <w:rFonts w:ascii="Times New Roman" w:hAnsi="Times New Roman"/>
          <w:b/>
          <w:i/>
          <w:color w:val="000000"/>
          <w:sz w:val="21"/>
        </w:rPr>
        <w:t>Fig 8.42 – Peer-to-Peer Marketplace – Educational textbook resale and donation listings.</w:t>
      </w:r>
    </w:p>
    <w:p>
      <w:pPr>
        <w:spacing w:before="160" w:after="60" w:line="276" w:lineRule="auto"/>
        <w:jc w:val="left"/>
      </w:pPr>
      <w:r>
        <w:rPr>
          <w:rFonts w:ascii="Times New Roman" w:hAnsi="Times New Roman"/>
          <w:b/>
          <w:i/>
          <w:color w:val="000000"/>
          <w:sz w:val="24"/>
        </w:rPr>
        <w:t>8.16.2 Academic Mentor Role Interfaces</w:t>
      </w:r>
    </w:p>
    <w:p>
      <w:pPr>
        <w:spacing w:after="100" w:before="0" w:line="276" w:lineRule="auto"/>
        <w:ind w:firstLine="720"/>
        <w:jc w:val="both"/>
      </w:pPr>
      <w:r>
        <w:rPr>
          <w:rFonts w:ascii="Times New Roman" w:hAnsi="Times New Roman"/>
          <w:color w:val="000000"/>
          <w:sz w:val="24"/>
        </w:rPr>
        <w:t>The Academic Mentor portal provides supervisory oversight of assigned students. Mentors review student preparation velocity, inspect longitudinal weekly, monthly, and yearly analytics curves, detect lagging indicators, initiate direct guidance via WhatsApp or SMS, and receive real-time automated progress alerts upon student mock test submissions or daily logins:</w:t>
      </w:r>
    </w:p>
    <w:p>
      <w:pPr>
        <w:spacing w:before="120" w:after="60"/>
        <w:jc w:val="center"/>
      </w:pPr>
      <w:r>
        <w:drawing>
          <wp:inline xmlns:a="http://schemas.openxmlformats.org/drawingml/2006/main" xmlns:pic="http://schemas.openxmlformats.org/drawingml/2006/picture">
            <wp:extent cx="5303520" cy="2474236"/>
            <wp:docPr id="52" name="Picture 52"/>
            <wp:cNvGraphicFramePr>
              <a:graphicFrameLocks noChangeAspect="1"/>
            </wp:cNvGraphicFramePr>
            <a:graphic>
              <a:graphicData uri="http://schemas.openxmlformats.org/drawingml/2006/picture">
                <pic:pic>
                  <pic:nvPicPr>
                    <pic:cNvPr id="0" name="image11.png"/>
                    <pic:cNvPicPr/>
                  </pic:nvPicPr>
                  <pic:blipFill>
                    <a:blip r:embed="rId21"/>
                    <a:stretch>
                      <a:fillRect/>
                    </a:stretch>
                  </pic:blipFill>
                  <pic:spPr>
                    <a:xfrm>
                      <a:off x="0" y="0"/>
                      <a:ext cx="5303520" cy="2474236"/>
                    </a:xfrm>
                    <a:prstGeom prst="rect"/>
                  </pic:spPr>
                </pic:pic>
              </a:graphicData>
            </a:graphic>
          </wp:inline>
        </w:drawing>
      </w:r>
    </w:p>
    <w:p>
      <w:pPr>
        <w:spacing w:before="40" w:after="160"/>
        <w:jc w:val="center"/>
      </w:pPr>
      <w:r>
        <w:rPr>
          <w:rFonts w:ascii="Times New Roman" w:hAnsi="Times New Roman"/>
          <w:b/>
          <w:i/>
          <w:color w:val="000000"/>
          <w:sz w:val="21"/>
        </w:rPr>
        <w:t>Fig 8.43 – Academic Mentor Dashboard – Overview of assigned students and preparation progress.</w:t>
      </w:r>
    </w:p>
    <w:p>
      <w:pPr>
        <w:spacing w:before="120" w:after="60"/>
        <w:jc w:val="center"/>
      </w:pPr>
      <w:r>
        <w:drawing>
          <wp:inline xmlns:a="http://schemas.openxmlformats.org/drawingml/2006/main" xmlns:pic="http://schemas.openxmlformats.org/drawingml/2006/picture">
            <wp:extent cx="5303520" cy="2415769"/>
            <wp:docPr id="53" name="Picture 53"/>
            <wp:cNvGraphicFramePr>
              <a:graphicFrameLocks noChangeAspect="1"/>
            </wp:cNvGraphicFramePr>
            <a:graphic>
              <a:graphicData uri="http://schemas.openxmlformats.org/drawingml/2006/picture">
                <pic:pic>
                  <pic:nvPicPr>
                    <pic:cNvPr id="0" name="image33.png"/>
                    <pic:cNvPicPr/>
                  </pic:nvPicPr>
                  <pic:blipFill>
                    <a:blip r:embed="rId43"/>
                    <a:stretch>
                      <a:fillRect/>
                    </a:stretch>
                  </pic:blipFill>
                  <pic:spPr>
                    <a:xfrm>
                      <a:off x="0" y="0"/>
                      <a:ext cx="5303520" cy="2415769"/>
                    </a:xfrm>
                    <a:prstGeom prst="rect"/>
                  </pic:spPr>
                </pic:pic>
              </a:graphicData>
            </a:graphic>
          </wp:inline>
        </w:drawing>
      </w:r>
    </w:p>
    <w:p>
      <w:pPr>
        <w:spacing w:before="40" w:after="160"/>
        <w:jc w:val="center"/>
      </w:pPr>
      <w:r>
        <w:rPr>
          <w:rFonts w:ascii="Times New Roman" w:hAnsi="Times New Roman"/>
          <w:b/>
          <w:i/>
          <w:color w:val="000000"/>
          <w:sz w:val="21"/>
        </w:rPr>
        <w:t>Fig 8.44 – Longitudinal Student Progress Curves – Detailed study trajectories and score analysis.</w:t>
      </w:r>
    </w:p>
    <w:p>
      <w:pPr>
        <w:spacing w:before="120" w:after="60"/>
        <w:jc w:val="center"/>
      </w:pPr>
      <w:r>
        <w:drawing>
          <wp:inline xmlns:a="http://schemas.openxmlformats.org/drawingml/2006/main" xmlns:pic="http://schemas.openxmlformats.org/drawingml/2006/picture">
            <wp:extent cx="5303520" cy="4138640"/>
            <wp:docPr id="54" name="Picture 54"/>
            <wp:cNvGraphicFramePr>
              <a:graphicFrameLocks noChangeAspect="1"/>
            </wp:cNvGraphicFramePr>
            <a:graphic>
              <a:graphicData uri="http://schemas.openxmlformats.org/drawingml/2006/picture">
                <pic:pic>
                  <pic:nvPicPr>
                    <pic:cNvPr id="0" name="image34.png"/>
                    <pic:cNvPicPr/>
                  </pic:nvPicPr>
                  <pic:blipFill>
                    <a:blip r:embed="rId44"/>
                    <a:stretch>
                      <a:fillRect/>
                    </a:stretch>
                  </pic:blipFill>
                  <pic:spPr>
                    <a:xfrm>
                      <a:off x="0" y="0"/>
                      <a:ext cx="5303520" cy="4138640"/>
                    </a:xfrm>
                    <a:prstGeom prst="rect"/>
                  </pic:spPr>
                </pic:pic>
              </a:graphicData>
            </a:graphic>
          </wp:inline>
        </w:drawing>
      </w:r>
    </w:p>
    <w:p>
      <w:pPr>
        <w:spacing w:before="40" w:after="160"/>
        <w:jc w:val="center"/>
      </w:pPr>
      <w:r>
        <w:rPr>
          <w:rFonts w:ascii="Times New Roman" w:hAnsi="Times New Roman"/>
          <w:b/>
          <w:i/>
          <w:color w:val="000000"/>
          <w:sz w:val="21"/>
        </w:rPr>
        <w:t>Fig 8.45 – Lagging Student Identification Panel – Proactive detection of students requiring academic intervention.</w:t>
      </w:r>
    </w:p>
    <w:p>
      <w:pPr>
        <w:spacing w:before="160" w:after="60" w:line="276" w:lineRule="auto"/>
        <w:jc w:val="left"/>
      </w:pPr>
      <w:r>
        <w:rPr>
          <w:rFonts w:ascii="Times New Roman" w:hAnsi="Times New Roman"/>
          <w:b/>
          <w:i/>
          <w:color w:val="000000"/>
          <w:sz w:val="24"/>
        </w:rPr>
        <w:t>8.16.3 Delivery Partner Role Interfaces</w:t>
      </w:r>
    </w:p>
    <w:p>
      <w:pPr>
        <w:spacing w:after="100" w:before="0" w:line="276" w:lineRule="auto"/>
        <w:ind w:firstLine="720"/>
        <w:jc w:val="both"/>
      </w:pPr>
      <w:r>
        <w:rPr>
          <w:rFonts w:ascii="Times New Roman" w:hAnsi="Times New Roman"/>
          <w:color w:val="000000"/>
          <w:sz w:val="24"/>
        </w:rPr>
        <w:t>The Delivery Partner console coordinates physical doorstep textbook deliveries, return pickups, and donation transfers. Delivery personnel manage assigned consignments, advance delivery stages through structured lifecycle transitions, and confirm handovers using mandatory recipient 4-digit OTP verification:</w:t>
      </w:r>
    </w:p>
    <w:p>
      <w:pPr>
        <w:spacing w:before="120" w:after="60"/>
        <w:jc w:val="center"/>
      </w:pPr>
      <w:r>
        <w:drawing>
          <wp:inline xmlns:a="http://schemas.openxmlformats.org/drawingml/2006/main" xmlns:pic="http://schemas.openxmlformats.org/drawingml/2006/picture">
            <wp:extent cx="5303520" cy="3293124"/>
            <wp:docPr id="55" name="Picture 55"/>
            <wp:cNvGraphicFramePr>
              <a:graphicFrameLocks noChangeAspect="1"/>
            </wp:cNvGraphicFramePr>
            <a:graphic>
              <a:graphicData uri="http://schemas.openxmlformats.org/drawingml/2006/picture">
                <pic:pic>
                  <pic:nvPicPr>
                    <pic:cNvPr id="0" name="image12.png"/>
                    <pic:cNvPicPr/>
                  </pic:nvPicPr>
                  <pic:blipFill>
                    <a:blip r:embed="rId22"/>
                    <a:stretch>
                      <a:fillRect/>
                    </a:stretch>
                  </pic:blipFill>
                  <pic:spPr>
                    <a:xfrm>
                      <a:off x="0" y="0"/>
                      <a:ext cx="5303520" cy="3293124"/>
                    </a:xfrm>
                    <a:prstGeom prst="rect"/>
                  </pic:spPr>
                </pic:pic>
              </a:graphicData>
            </a:graphic>
          </wp:inline>
        </w:drawing>
      </w:r>
    </w:p>
    <w:p>
      <w:pPr>
        <w:spacing w:before="40" w:after="160"/>
        <w:jc w:val="center"/>
      </w:pPr>
      <w:r>
        <w:rPr>
          <w:rFonts w:ascii="Times New Roman" w:hAnsi="Times New Roman"/>
          <w:b/>
          <w:i/>
          <w:color w:val="000000"/>
          <w:sz w:val="21"/>
        </w:rPr>
        <w:t>Fig 8.46 – Delivery Partner Dashboard – Overview of active consignments and routes.</w:t>
      </w:r>
    </w:p>
    <w:p>
      <w:pPr>
        <w:spacing w:before="120" w:after="60"/>
        <w:jc w:val="center"/>
      </w:pPr>
      <w:r>
        <w:drawing>
          <wp:inline xmlns:a="http://schemas.openxmlformats.org/drawingml/2006/main" xmlns:pic="http://schemas.openxmlformats.org/drawingml/2006/picture">
            <wp:extent cx="5303520" cy="2835376"/>
            <wp:docPr id="56" name="Picture 56"/>
            <wp:cNvGraphicFramePr>
              <a:graphicFrameLocks noChangeAspect="1"/>
            </wp:cNvGraphicFramePr>
            <a:graphic>
              <a:graphicData uri="http://schemas.openxmlformats.org/drawingml/2006/picture">
                <pic:pic>
                  <pic:nvPicPr>
                    <pic:cNvPr id="0" name="image36.png"/>
                    <pic:cNvPicPr/>
                  </pic:nvPicPr>
                  <pic:blipFill>
                    <a:blip r:embed="rId46"/>
                    <a:stretch>
                      <a:fillRect/>
                    </a:stretch>
                  </pic:blipFill>
                  <pic:spPr>
                    <a:xfrm>
                      <a:off x="0" y="0"/>
                      <a:ext cx="5303520" cy="2835376"/>
                    </a:xfrm>
                    <a:prstGeom prst="rect"/>
                  </pic:spPr>
                </pic:pic>
              </a:graphicData>
            </a:graphic>
          </wp:inline>
        </w:drawing>
      </w:r>
    </w:p>
    <w:p>
      <w:pPr>
        <w:spacing w:before="40" w:after="160"/>
        <w:jc w:val="center"/>
      </w:pPr>
      <w:r>
        <w:rPr>
          <w:rFonts w:ascii="Times New Roman" w:hAnsi="Times New Roman"/>
          <w:b/>
          <w:i/>
          <w:color w:val="000000"/>
          <w:sz w:val="21"/>
        </w:rPr>
        <w:t>Fig 8.47 – Consignment Shipment Manifest – Detailed recipient contact and address information.</w:t>
      </w:r>
    </w:p>
    <w:p>
      <w:pPr>
        <w:spacing w:before="120" w:after="60"/>
        <w:jc w:val="center"/>
      </w:pPr>
      <w:r>
        <w:drawing>
          <wp:inline xmlns:a="http://schemas.openxmlformats.org/drawingml/2006/main" xmlns:pic="http://schemas.openxmlformats.org/drawingml/2006/picture">
            <wp:extent cx="5303520" cy="2782755"/>
            <wp:docPr id="57" name="Picture 57"/>
            <wp:cNvGraphicFramePr>
              <a:graphicFrameLocks noChangeAspect="1"/>
            </wp:cNvGraphicFramePr>
            <a:graphic>
              <a:graphicData uri="http://schemas.openxmlformats.org/drawingml/2006/picture">
                <pic:pic>
                  <pic:nvPicPr>
                    <pic:cNvPr id="0" name="image38.png"/>
                    <pic:cNvPicPr/>
                  </pic:nvPicPr>
                  <pic:blipFill>
                    <a:blip r:embed="rId48"/>
                    <a:stretch>
                      <a:fillRect/>
                    </a:stretch>
                  </pic:blipFill>
                  <pic:spPr>
                    <a:xfrm>
                      <a:off x="0" y="0"/>
                      <a:ext cx="5303520" cy="2782755"/>
                    </a:xfrm>
                    <a:prstGeom prst="rect"/>
                  </pic:spPr>
                </pic:pic>
              </a:graphicData>
            </a:graphic>
          </wp:inline>
        </w:drawing>
      </w:r>
    </w:p>
    <w:p>
      <w:pPr>
        <w:spacing w:before="40" w:after="160"/>
        <w:jc w:val="center"/>
      </w:pPr>
      <w:r>
        <w:rPr>
          <w:rFonts w:ascii="Times New Roman" w:hAnsi="Times New Roman"/>
          <w:b/>
          <w:i/>
          <w:color w:val="000000"/>
          <w:sz w:val="21"/>
        </w:rPr>
        <w:t>Fig 8.48 – 4-Digit OTP Verification Screen – Secure delivery handover confirmation.</w:t>
      </w:r>
    </w:p>
    <w:p>
      <w:pPr>
        <w:spacing w:before="160" w:after="60" w:line="276" w:lineRule="auto"/>
        <w:jc w:val="left"/>
      </w:pPr>
      <w:r>
        <w:rPr>
          <w:rFonts w:ascii="Times New Roman" w:hAnsi="Times New Roman"/>
          <w:b/>
          <w:i/>
          <w:color w:val="000000"/>
          <w:sz w:val="24"/>
        </w:rPr>
        <w:t>8.16.4 System Administrator Role Interfaces</w:t>
      </w:r>
    </w:p>
    <w:p>
      <w:pPr>
        <w:spacing w:after="100" w:before="0" w:line="276" w:lineRule="auto"/>
        <w:ind w:firstLine="720"/>
        <w:jc w:val="both"/>
      </w:pPr>
      <w:r>
        <w:rPr>
          <w:rFonts w:ascii="Times New Roman" w:hAnsi="Times New Roman"/>
          <w:color w:val="000000"/>
          <w:sz w:val="24"/>
        </w:rPr>
        <w:t>The Administrator console equips platform managers with complete operational authority over user accounts, mentor allocations, examination catalogs, order tracking, and an active multi-channel communication engine operating via Email (prepcycle@gmail.com), WhatsApp, and SMS:</w:t>
      </w:r>
    </w:p>
    <w:p>
      <w:pPr>
        <w:spacing w:before="120" w:after="60"/>
        <w:jc w:val="center"/>
      </w:pPr>
      <w:r>
        <w:drawing>
          <wp:inline xmlns:a="http://schemas.openxmlformats.org/drawingml/2006/main" xmlns:pic="http://schemas.openxmlformats.org/drawingml/2006/picture">
            <wp:extent cx="5303520" cy="2679411"/>
            <wp:docPr id="58" name="Picture 58"/>
            <wp:cNvGraphicFramePr>
              <a:graphicFrameLocks noChangeAspect="1"/>
            </wp:cNvGraphicFramePr>
            <a:graphic>
              <a:graphicData uri="http://schemas.openxmlformats.org/drawingml/2006/picture">
                <pic:pic>
                  <pic:nvPicPr>
                    <pic:cNvPr id="0" name="image10.png"/>
                    <pic:cNvPicPr/>
                  </pic:nvPicPr>
                  <pic:blipFill>
                    <a:blip r:embed="rId20"/>
                    <a:stretch>
                      <a:fillRect/>
                    </a:stretch>
                  </pic:blipFill>
                  <pic:spPr>
                    <a:xfrm>
                      <a:off x="0" y="0"/>
                      <a:ext cx="5303520" cy="2679411"/>
                    </a:xfrm>
                    <a:prstGeom prst="rect"/>
                  </pic:spPr>
                </pic:pic>
              </a:graphicData>
            </a:graphic>
          </wp:inline>
        </w:drawing>
      </w:r>
    </w:p>
    <w:p>
      <w:pPr>
        <w:spacing w:before="40" w:after="160"/>
        <w:jc w:val="center"/>
      </w:pPr>
      <w:r>
        <w:rPr>
          <w:rFonts w:ascii="Times New Roman" w:hAnsi="Times New Roman"/>
          <w:b/>
          <w:i/>
          <w:color w:val="000000"/>
          <w:sz w:val="21"/>
        </w:rPr>
        <w:t>Fig 8.49 – System Administration Console – Platform-wide operational statistics and user telemetry.</w:t>
      </w:r>
    </w:p>
    <w:p>
      <w:pPr>
        <w:spacing w:before="120" w:after="60"/>
        <w:jc w:val="center"/>
      </w:pPr>
      <w:r>
        <w:drawing>
          <wp:inline xmlns:a="http://schemas.openxmlformats.org/drawingml/2006/main" xmlns:pic="http://schemas.openxmlformats.org/drawingml/2006/picture">
            <wp:extent cx="5303520" cy="2807746"/>
            <wp:docPr id="59" name="Picture 59"/>
            <wp:cNvGraphicFramePr>
              <a:graphicFrameLocks noChangeAspect="1"/>
            </wp:cNvGraphicFramePr>
            <a:graphic>
              <a:graphicData uri="http://schemas.openxmlformats.org/drawingml/2006/picture">
                <pic:pic>
                  <pic:nvPicPr>
                    <pic:cNvPr id="0" name="image39.png"/>
                    <pic:cNvPicPr/>
                  </pic:nvPicPr>
                  <pic:blipFill>
                    <a:blip r:embed="rId49"/>
                    <a:stretch>
                      <a:fillRect/>
                    </a:stretch>
                  </pic:blipFill>
                  <pic:spPr>
                    <a:xfrm>
                      <a:off x="0" y="0"/>
                      <a:ext cx="5303520" cy="2807746"/>
                    </a:xfrm>
                    <a:prstGeom prst="rect"/>
                  </pic:spPr>
                </pic:pic>
              </a:graphicData>
            </a:graphic>
          </wp:inline>
        </w:drawing>
      </w:r>
    </w:p>
    <w:p>
      <w:pPr>
        <w:spacing w:before="40" w:after="160"/>
        <w:jc w:val="center"/>
      </w:pPr>
      <w:r>
        <w:rPr>
          <w:rFonts w:ascii="Times New Roman" w:hAnsi="Times New Roman"/>
          <w:b/>
          <w:i/>
          <w:color w:val="000000"/>
          <w:sz w:val="21"/>
        </w:rPr>
        <w:t>Fig 8.50 – User Account Management – Role-based user auditing and permission configuration.</w:t>
      </w:r>
    </w:p>
    <w:p>
      <w:pPr>
        <w:spacing w:before="120" w:after="60"/>
        <w:jc w:val="center"/>
      </w:pPr>
      <w:r>
        <w:drawing>
          <wp:inline xmlns:a="http://schemas.openxmlformats.org/drawingml/2006/main" xmlns:pic="http://schemas.openxmlformats.org/drawingml/2006/picture">
            <wp:extent cx="5303520" cy="3202554"/>
            <wp:docPr id="60" name="Picture 60"/>
            <wp:cNvGraphicFramePr>
              <a:graphicFrameLocks noChangeAspect="1"/>
            </wp:cNvGraphicFramePr>
            <a:graphic>
              <a:graphicData uri="http://schemas.openxmlformats.org/drawingml/2006/picture">
                <pic:pic>
                  <pic:nvPicPr>
                    <pic:cNvPr id="0" name="image40.png"/>
                    <pic:cNvPicPr/>
                  </pic:nvPicPr>
                  <pic:blipFill>
                    <a:blip r:embed="rId50"/>
                    <a:stretch>
                      <a:fillRect/>
                    </a:stretch>
                  </pic:blipFill>
                  <pic:spPr>
                    <a:xfrm>
                      <a:off x="0" y="0"/>
                      <a:ext cx="5303520" cy="3202554"/>
                    </a:xfrm>
                    <a:prstGeom prst="rect"/>
                  </pic:spPr>
                </pic:pic>
              </a:graphicData>
            </a:graphic>
          </wp:inline>
        </w:drawing>
      </w:r>
    </w:p>
    <w:p>
      <w:pPr>
        <w:spacing w:before="40" w:after="160"/>
        <w:jc w:val="center"/>
      </w:pPr>
      <w:r>
        <w:rPr>
          <w:rFonts w:ascii="Times New Roman" w:hAnsi="Times New Roman"/>
          <w:b/>
          <w:i/>
          <w:color w:val="000000"/>
          <w:sz w:val="21"/>
        </w:rPr>
        <w:t>Fig 8.51 – Academic Mentor Allocation – Dynamic linking of mentors with enrolled students.</w:t>
      </w:r>
    </w:p>
    <w:p>
      <w:pPr>
        <w:spacing w:before="120" w:after="60"/>
        <w:jc w:val="center"/>
      </w:pPr>
      <w:r>
        <w:drawing>
          <wp:inline xmlns:a="http://schemas.openxmlformats.org/drawingml/2006/main" xmlns:pic="http://schemas.openxmlformats.org/drawingml/2006/picture">
            <wp:extent cx="5303520" cy="1724680"/>
            <wp:docPr id="61" name="Picture 61"/>
            <wp:cNvGraphicFramePr>
              <a:graphicFrameLocks noChangeAspect="1"/>
            </wp:cNvGraphicFramePr>
            <a:graphic>
              <a:graphicData uri="http://schemas.openxmlformats.org/drawingml/2006/picture">
                <pic:pic>
                  <pic:nvPicPr>
                    <pic:cNvPr id="0" name="image43.png"/>
                    <pic:cNvPicPr/>
                  </pic:nvPicPr>
                  <pic:blipFill>
                    <a:blip r:embed="rId53"/>
                    <a:stretch>
                      <a:fillRect/>
                    </a:stretch>
                  </pic:blipFill>
                  <pic:spPr>
                    <a:xfrm>
                      <a:off x="0" y="0"/>
                      <a:ext cx="5303520" cy="1724680"/>
                    </a:xfrm>
                    <a:prstGeom prst="rect"/>
                  </pic:spPr>
                </pic:pic>
              </a:graphicData>
            </a:graphic>
          </wp:inline>
        </w:drawing>
      </w:r>
    </w:p>
    <w:p>
      <w:pPr>
        <w:spacing w:before="40" w:after="160"/>
        <w:jc w:val="center"/>
      </w:pPr>
      <w:r>
        <w:rPr>
          <w:rFonts w:ascii="Times New Roman" w:hAnsi="Times New Roman"/>
          <w:b/>
          <w:i/>
          <w:color w:val="000000"/>
          <w:sz w:val="21"/>
        </w:rPr>
        <w:t>Fig 8.52 – Multi-Channel Email Dispatcher – Official email communication from prepcycle@gmail.com.</w:t>
      </w:r>
    </w:p>
    <w:p>
      <w:pPr>
        <w:spacing w:before="120" w:after="60"/>
        <w:jc w:val="center"/>
      </w:pPr>
      <w:r>
        <w:drawing>
          <wp:inline xmlns:a="http://schemas.openxmlformats.org/drawingml/2006/main" xmlns:pic="http://schemas.openxmlformats.org/drawingml/2006/picture">
            <wp:extent cx="5303520" cy="2775552"/>
            <wp:docPr id="62" name="Picture 62"/>
            <wp:cNvGraphicFramePr>
              <a:graphicFrameLocks noChangeAspect="1"/>
            </wp:cNvGraphicFramePr>
            <a:graphic>
              <a:graphicData uri="http://schemas.openxmlformats.org/drawingml/2006/picture">
                <pic:pic>
                  <pic:nvPicPr>
                    <pic:cNvPr id="0" name="image44.png"/>
                    <pic:cNvPicPr/>
                  </pic:nvPicPr>
                  <pic:blipFill>
                    <a:blip r:embed="rId54"/>
                    <a:stretch>
                      <a:fillRect/>
                    </a:stretch>
                  </pic:blipFill>
                  <pic:spPr>
                    <a:xfrm>
                      <a:off x="0" y="0"/>
                      <a:ext cx="5303520" cy="2775552"/>
                    </a:xfrm>
                    <a:prstGeom prst="rect"/>
                  </pic:spPr>
                </pic:pic>
              </a:graphicData>
            </a:graphic>
          </wp:inline>
        </w:drawing>
      </w:r>
    </w:p>
    <w:p>
      <w:pPr>
        <w:spacing w:before="40" w:after="160"/>
        <w:jc w:val="center"/>
      </w:pPr>
      <w:r>
        <w:rPr>
          <w:rFonts w:ascii="Times New Roman" w:hAnsi="Times New Roman"/>
          <w:b/>
          <w:i/>
          <w:color w:val="000000"/>
          <w:sz w:val="21"/>
        </w:rPr>
        <w:t>Fig 8.53 – Multi-Channel WhatsApp Dispatcher – Real-time administrative messaging via WhatsApp.</w:t>
      </w:r>
    </w:p>
    <w:p>
      <w:r>
        <w:br w:type="page"/>
      </w:r>
    </w:p>
    <w:p>
      <w:pPr>
        <w:spacing w:before="320" w:after="200" w:line="276" w:lineRule="auto"/>
        <w:jc w:val="center"/>
      </w:pPr>
      <w:r>
        <w:rPr>
          <w:rFonts w:ascii="Times New Roman" w:hAnsi="Times New Roman"/>
          <w:b/>
          <w:color w:val="000000"/>
          <w:sz w:val="32"/>
        </w:rPr>
        <w:t>CHAPTER 9</w:t>
        <w:br/>
        <w:t>CONCLUSION</w:t>
      </w:r>
    </w:p>
    <w:p>
      <w:pPr>
        <w:spacing w:after="100" w:before="0" w:line="276" w:lineRule="auto"/>
        <w:ind w:firstLine="720"/>
        <w:jc w:val="both"/>
      </w:pPr>
      <w:r>
        <w:rPr>
          <w:rFonts w:ascii="Times New Roman" w:hAnsi="Times New Roman"/>
          <w:color w:val="000000"/>
          <w:sz w:val="24"/>
        </w:rPr>
        <w:t>In conclusion, the Multi-Exam Preparation and Resource Exchange Platform (PrepCycle) provides a robust, scalable, and user-centric solution addressing the key challenges of competitive examination preparation and educational resource scarcity. By uniting multi-tier syllabus exploration, weightage-based roadmaps, continuous mock test tracking, automated academic mentorship via real-time WhatsApp alerts, a circular textbook marketplace, and doorstep logistics with OTP verification, the system replaces fragmented, manual workflows with an integrated, data-driven web environment.</w:t>
      </w:r>
    </w:p>
    <w:p>
      <w:pPr>
        <w:spacing w:after="100" w:before="0" w:line="276" w:lineRule="auto"/>
        <w:ind w:firstLine="720"/>
        <w:jc w:val="both"/>
      </w:pPr>
      <w:r>
        <w:rPr>
          <w:rFonts w:ascii="Times New Roman" w:hAnsi="Times New Roman"/>
          <w:color w:val="000000"/>
          <w:sz w:val="24"/>
        </w:rPr>
        <w:t>The application was architected following modern full-stack engineering standards utilizing React.js with Vite for the frontend presentation tier, Node.js with Express.js for the RESTful API service tier, and MongoDB with Mongoose for resilient, scalable NoSQL document persistence. JWT authentication, salted bcrypt password encryption, role-based access control across four distinct user roles, request rate limiting, and HTTP security headers ensure enterprise-grade security.</w:t>
      </w:r>
    </w:p>
    <w:p>
      <w:pPr>
        <w:spacing w:after="100" w:before="0" w:line="276" w:lineRule="auto"/>
        <w:ind w:firstLine="720"/>
        <w:jc w:val="both"/>
      </w:pPr>
      <w:r>
        <w:rPr>
          <w:rFonts w:ascii="Times New Roman" w:hAnsi="Times New Roman"/>
          <w:color w:val="000000"/>
          <w:sz w:val="24"/>
        </w:rPr>
        <w:t>Students benefit from structured roadmaps, streak motivation, and affordable textbooks; Academic Mentors maintain continuous supervisory oversight with automated alerts; Delivery Partners manage consignments with cryptographic OTP verification; and Administrators govern the platform with an active multi-channel communication engine. The completed platform demonstrates how modern web technologies can optimize academic learning, reduce educational expenditure through circular textbook sharing, and improve examination performance outcomes.</w:t>
      </w:r>
    </w:p>
    <w:p>
      <w:pPr>
        <w:spacing w:before="240" w:after="80" w:line="276" w:lineRule="auto"/>
        <w:jc w:val="left"/>
      </w:pPr>
      <w:r>
        <w:rPr>
          <w:rFonts w:ascii="Times New Roman" w:hAnsi="Times New Roman"/>
          <w:b/>
          <w:color w:val="000000"/>
          <w:sz w:val="26"/>
        </w:rPr>
        <w:t>9.1 Future Enhancements</w:t>
      </w:r>
    </w:p>
    <w:p>
      <w:pPr>
        <w:pStyle w:val="ListBullet"/>
        <w:spacing w:after="60" w:before="20" w:line="276" w:lineRule="auto"/>
        <w:ind w:left="720" w:hanging="360"/>
        <w:jc w:val="both"/>
      </w:pPr>
      <w:r>
        <w:rPr>
          <w:rFonts w:ascii="Times New Roman" w:hAnsi="Times New Roman"/>
          <w:b/>
          <w:color w:val="000000"/>
          <w:sz w:val="24"/>
        </w:rPr>
        <w:t xml:space="preserve">• Machine Learning Question Recommendations: </w:t>
      </w:r>
      <w:r>
        <w:rPr>
          <w:rFonts w:ascii="Times New Roman" w:hAnsi="Times New Roman"/>
          <w:color w:val="000000"/>
          <w:sz w:val="24"/>
        </w:rPr>
        <w:t>Integrating adaptive learning algorithms that dynamically generate practice questions based on a student's historical error patterns and weak syllabus domains.</w:t>
      </w:r>
    </w:p>
    <w:p>
      <w:pPr>
        <w:pStyle w:val="ListBullet"/>
        <w:spacing w:after="60" w:before="20" w:line="276" w:lineRule="auto"/>
        <w:ind w:left="720" w:hanging="360"/>
        <w:jc w:val="both"/>
      </w:pPr>
      <w:r>
        <w:rPr>
          <w:rFonts w:ascii="Times New Roman" w:hAnsi="Times New Roman"/>
          <w:b/>
          <w:color w:val="000000"/>
          <w:sz w:val="24"/>
        </w:rPr>
        <w:t xml:space="preserve">• Native Mobile Application: </w:t>
      </w:r>
      <w:r>
        <w:rPr>
          <w:rFonts w:ascii="Times New Roman" w:hAnsi="Times New Roman"/>
          <w:color w:val="000000"/>
          <w:sz w:val="24"/>
        </w:rPr>
        <w:t>Developing cross-platform mobile clients using React Native to offer push notifications and offline study mode.</w:t>
      </w:r>
    </w:p>
    <w:p>
      <w:pPr>
        <w:pStyle w:val="ListBullet"/>
        <w:spacing w:after="60" w:before="20" w:line="276" w:lineRule="auto"/>
        <w:ind w:left="720" w:hanging="360"/>
        <w:jc w:val="both"/>
      </w:pPr>
      <w:r>
        <w:rPr>
          <w:rFonts w:ascii="Times New Roman" w:hAnsi="Times New Roman"/>
          <w:b/>
          <w:color w:val="000000"/>
          <w:sz w:val="24"/>
        </w:rPr>
        <w:t xml:space="preserve">• Live Proctoring for Mock Tests: </w:t>
      </w:r>
      <w:r>
        <w:rPr>
          <w:rFonts w:ascii="Times New Roman" w:hAnsi="Times New Roman"/>
          <w:color w:val="000000"/>
          <w:sz w:val="24"/>
        </w:rPr>
        <w:t>Incorporating AI-assisted webcam proctoring to conduct authenticated national-level mock tests.</w:t>
      </w:r>
    </w:p>
    <w:p>
      <w:pPr>
        <w:pStyle w:val="ListBullet"/>
        <w:spacing w:after="60" w:before="20" w:line="276" w:lineRule="auto"/>
        <w:ind w:left="720" w:hanging="360"/>
        <w:jc w:val="both"/>
      </w:pPr>
      <w:r>
        <w:rPr>
          <w:rFonts w:ascii="Times New Roman" w:hAnsi="Times New Roman"/>
          <w:b/>
          <w:color w:val="000000"/>
          <w:sz w:val="24"/>
        </w:rPr>
        <w:t xml:space="preserve">• Geolocation Route Optimization: </w:t>
      </w:r>
      <w:r>
        <w:rPr>
          <w:rFonts w:ascii="Times New Roman" w:hAnsi="Times New Roman"/>
          <w:color w:val="000000"/>
          <w:sz w:val="24"/>
        </w:rPr>
        <w:t>Implementing GPS routing algorithms for delivery partners to optimize multi-stop book delivery runs.</w:t>
      </w:r>
    </w:p>
    <w:p>
      <w:r>
        <w:br w:type="page"/>
      </w:r>
    </w:p>
    <w:p>
      <w:pPr>
        <w:spacing w:before="320" w:after="200" w:line="276" w:lineRule="auto"/>
        <w:jc w:val="center"/>
      </w:pPr>
      <w:r>
        <w:rPr>
          <w:rFonts w:ascii="Times New Roman" w:hAnsi="Times New Roman"/>
          <w:b/>
          <w:color w:val="000000"/>
          <w:sz w:val="32"/>
        </w:rPr>
        <w:t>CHAPTER 10</w:t>
        <w:br/>
        <w:t>REFERENCES</w:t>
      </w:r>
    </w:p>
    <w:p>
      <w:pPr>
        <w:spacing w:after="160" w:line="276" w:lineRule="auto"/>
        <w:ind w:left="720" w:hanging="720"/>
        <w:jc w:val="both"/>
      </w:pPr>
      <w:r>
        <w:rPr>
          <w:rFonts w:ascii="Times New Roman" w:hAnsi="Times New Roman"/>
          <w:sz w:val="22"/>
        </w:rPr>
        <w:t>1. V. Subramanian, "Full Stack Web Development with React and Node.js: Architectural Patterns and Best Practices," IEEE Transactions on Learning Technologies, vol. 15, no. 3, pp. 312–326, 2022.</w:t>
      </w:r>
    </w:p>
    <w:p>
      <w:pPr>
        <w:spacing w:after="160" w:line="276" w:lineRule="auto"/>
        <w:ind w:left="720" w:hanging="720"/>
        <w:jc w:val="both"/>
      </w:pPr>
      <w:r>
        <w:rPr>
          <w:rFonts w:ascii="Times New Roman" w:hAnsi="Times New Roman"/>
          <w:sz w:val="22"/>
        </w:rPr>
        <w:t>2. K. Patel and R. Sharma, "Role-Based Access Control and Tokenized Security in Modern Web Architectures," International Journal of Computer Applications, vol. 182, no. 45, pp. 28–35, 2021.</w:t>
      </w:r>
    </w:p>
    <w:p>
      <w:pPr>
        <w:spacing w:after="160" w:line="276" w:lineRule="auto"/>
        <w:ind w:left="720" w:hanging="720"/>
        <w:jc w:val="both"/>
      </w:pPr>
      <w:r>
        <w:rPr>
          <w:rFonts w:ascii="Times New Roman" w:hAnsi="Times New Roman"/>
          <w:sz w:val="22"/>
        </w:rPr>
        <w:t>3. M. Banka and D. Chitra, "Design and Evaluation of Adaptive Computer-Based Examination Platforms for Competitive Testing," Journal of Educational Computing Research, vol. 59, no. 6, pp. 1140–1162, 2021.</w:t>
      </w:r>
    </w:p>
    <w:p>
      <w:pPr>
        <w:spacing w:after="160" w:line="276" w:lineRule="auto"/>
        <w:ind w:left="720" w:hanging="720"/>
        <w:jc w:val="both"/>
      </w:pPr>
      <w:r>
        <w:rPr>
          <w:rFonts w:ascii="Times New Roman" w:hAnsi="Times New Roman"/>
          <w:sz w:val="22"/>
        </w:rPr>
        <w:t>4. A. Kumar and S. Sengupta, "Circular Economy in Academic Resources: Peer-to-Peer Educational Material Redistribution Networks," Sustainability in Higher Education, vol. 24, no. 2, pp. 88–104, 2023.</w:t>
      </w:r>
    </w:p>
    <w:p>
      <w:pPr>
        <w:spacing w:after="160" w:line="276" w:lineRule="auto"/>
        <w:ind w:left="720" w:hanging="720"/>
        <w:jc w:val="both"/>
      </w:pPr>
      <w:r>
        <w:rPr>
          <w:rFonts w:ascii="Times New Roman" w:hAnsi="Times New Roman"/>
          <w:sz w:val="22"/>
        </w:rPr>
        <w:t>5. T. H. Cormen, C. E. Leiserson, R. L. Rivest, and C. Stein, Introduction to Algorithms, 4th ed. Cambridge, MA, USA: MIT Press, 2022.</w:t>
      </w:r>
    </w:p>
    <w:p>
      <w:pPr>
        <w:spacing w:after="160" w:line="276" w:lineRule="auto"/>
        <w:ind w:left="720" w:hanging="720"/>
        <w:jc w:val="both"/>
      </w:pPr>
      <w:r>
        <w:rPr>
          <w:rFonts w:ascii="Times New Roman" w:hAnsi="Times New Roman"/>
          <w:sz w:val="22"/>
        </w:rPr>
        <w:t>6. E. Gamma, R. Helm, R. Johnson, and J. Vlissides, Design Patterns: Elements of Reusable Object-Oriented Software. Reading, MA, USA: Addison-Wesley, 1994.</w:t>
      </w:r>
    </w:p>
    <w:p>
      <w:pPr>
        <w:spacing w:after="160" w:line="276" w:lineRule="auto"/>
        <w:ind w:left="720" w:hanging="720"/>
        <w:jc w:val="both"/>
      </w:pPr>
      <w:r>
        <w:rPr>
          <w:rFonts w:ascii="Times New Roman" w:hAnsi="Times New Roman"/>
          <w:sz w:val="22"/>
        </w:rPr>
        <w:t>7. World Wide Web Consortium, "Web Content Accessibility Guidelines (WCAG) 2.1," W3C Recommendation, 2018. [Online]. Available: https://www.w3.org/TR/WCAG21/</w:t>
      </w:r>
    </w:p>
    <w:p>
      <w:pPr>
        <w:spacing w:after="160" w:line="276" w:lineRule="auto"/>
        <w:ind w:left="720" w:hanging="720"/>
        <w:jc w:val="both"/>
      </w:pPr>
      <w:r>
        <w:rPr>
          <w:rFonts w:ascii="Times New Roman" w:hAnsi="Times New Roman"/>
          <w:sz w:val="22"/>
        </w:rPr>
        <w:t>8. MongoDB Inc., "MongoDB Architecture Guide: Scalable NoSQL Document Persistence and Sharding," MongoDB Technical Documentation, 2024. [Online]. Available: https://www.mongodb.com/docs/</w:t>
      </w:r>
    </w:p>
    <w:sectPr w:rsidR="00FC693F" w:rsidRPr="0006063C" w:rsidSect="00034616">
      <w:footerReference w:type="default" r:id="rId10"/>
      <w:pgSz w:w="11909" w:h="16834"/>
      <w:pgMar w:top="1440" w:right="1440" w:bottom="1440" w:left="1800"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