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rFonts w:ascii="Times New Roman" w:hAnsi="Times New Roman"/>
          <w:b/>
          <w:color w:val="000000"/>
          <w:sz w:val="36"/>
        </w:rPr>
        <w:t>MULTI-EXAM PREPARATION AND RESOURCE EXCHANGE PLATFORM</w:t>
      </w:r>
    </w:p>
    <w:p>
      <w:pPr>
        <w:spacing w:after="800"/>
        <w:jc w:val="center"/>
      </w:pPr>
      <w:r>
        <w:rPr>
          <w:rFonts w:ascii="Times New Roman" w:hAnsi="Times New Roman"/>
          <w:b/>
          <w:sz w:val="28"/>
        </w:rPr>
        <w:t>23CS54C – MODERN WEB TECHNOLOGIES</w:t>
      </w:r>
    </w:p>
    <w:p>
      <w:pPr>
        <w:spacing w:after="400"/>
        <w:jc w:val="center"/>
      </w:pPr>
      <w:r>
        <w:rPr>
          <w:rFonts w:ascii="Times New Roman" w:hAnsi="Times New Roman"/>
          <w:b/>
          <w:i/>
          <w:sz w:val="26"/>
        </w:rPr>
        <w:t>Submitted by</w:t>
      </w:r>
    </w:p>
    <w:p>
      <w:pPr>
        <w:spacing w:after="960"/>
        <w:jc w:val="center"/>
      </w:pPr>
      <w:r>
        <w:rPr>
          <w:rFonts w:ascii="Times New Roman" w:hAnsi="Times New Roman"/>
          <w:b/>
          <w:sz w:val="26"/>
        </w:rPr>
        <w:t>HARENI T 24104005</w:t>
      </w:r>
    </w:p>
    <w:p>
      <w:pPr>
        <w:spacing w:before="400" w:after="120"/>
        <w:jc w:val="center"/>
      </w:pPr>
      <w:r>
        <w:rPr>
          <w:rFonts w:ascii="Times New Roman" w:hAnsi="Times New Roman"/>
          <w:i/>
          <w:sz w:val="24"/>
        </w:rPr>
        <w:t>In partial fulfillment for the award of the degree</w:t>
        <w:br/>
        <w:t>of</w:t>
        <w:br/>
      </w:r>
      <w:r>
        <w:rPr>
          <w:rFonts w:ascii="Times New Roman" w:hAnsi="Times New Roman"/>
          <w:b/>
          <w:sz w:val="26"/>
        </w:rPr>
        <w:t>BACHELOR OF ENGINEERING</w:t>
        <w:br/>
        <w:t>in</w:t>
        <w:br/>
        <w:t>COMPUTER SCIENCE AND ENGINEERING</w:t>
      </w:r>
    </w:p>
    <w:p>
      <w:pPr>
        <w:spacing w:before="1280" w:after="720"/>
        <w:jc w:val="center"/>
      </w:pPr>
      <w:r>
        <w:rPr>
          <w:rFonts w:ascii="Times New Roman" w:hAnsi="Times New Roman"/>
          <w:b/>
          <w:sz w:val="28"/>
        </w:rPr>
        <w:t>NATIONAL ENGINEERING COLLEGE</w:t>
        <w:br/>
      </w:r>
      <w:r>
        <w:rPr>
          <w:rFonts w:ascii="Times New Roman" w:hAnsi="Times New Roman"/>
          <w:b/>
          <w:sz w:val="24"/>
        </w:rPr>
        <w:t>(An Autonomous Institution affiliated to Anna University, Chennai)</w:t>
        <w:br/>
        <w:t>K.R.NAGAR, KOVILPATTI - 628503</w:t>
        <w:br/>
        <w:br/>
        <w:t>OCTOBER - 2026</w:t>
      </w:r>
    </w:p>
    <w:p>
      <w:r>
        <w:br w:type="page"/>
      </w:r>
    </w:p>
    <w:p>
      <w:pPr>
        <w:spacing w:before="480" w:after="120"/>
        <w:jc w:val="center"/>
      </w:pPr>
      <w:r>
        <w:rPr>
          <w:rFonts w:ascii="Times New Roman" w:hAnsi="Times New Roman"/>
          <w:b/>
          <w:sz w:val="28"/>
        </w:rPr>
        <w:t>NATIONAL ENGINEERING COLLEGE</w:t>
        <w:br/>
      </w:r>
      <w:r>
        <w:rPr>
          <w:rFonts w:ascii="Times New Roman" w:hAnsi="Times New Roman"/>
          <w:b/>
          <w:sz w:val="24"/>
        </w:rPr>
        <w:t>(An Autonomous Institution affiliated to Anna University, Chennai)</w:t>
        <w:br/>
        <w:t>K.R.NAGAR, KOVILPATTI - 628503</w:t>
      </w:r>
    </w:p>
    <w:p>
      <w:pPr>
        <w:spacing w:before="800" w:after="600"/>
        <w:jc w:val="center"/>
      </w:pPr>
      <w:r>
        <w:rPr>
          <w:rFonts w:ascii="Times New Roman" w:hAnsi="Times New Roman"/>
          <w:b/>
          <w:sz w:val="28"/>
        </w:rPr>
        <w:t>BONAFIDE CERTIFICATE</w:t>
      </w:r>
    </w:p>
    <w:p>
      <w:pPr>
        <w:spacing w:line="384" w:lineRule="auto" w:after="1440"/>
        <w:ind w:firstLine="720"/>
        <w:jc w:val="both"/>
      </w:pPr>
      <w:r>
        <w:rPr>
          <w:rFonts w:ascii="Times New Roman" w:hAnsi="Times New Roman"/>
          <w:sz w:val="24"/>
        </w:rPr>
        <w:t xml:space="preserve">This is to certify that this project report, </w:t>
      </w:r>
      <w:r>
        <w:rPr>
          <w:rFonts w:ascii="Times New Roman" w:hAnsi="Times New Roman"/>
          <w:b/>
          <w:sz w:val="24"/>
        </w:rPr>
        <w:t>“MULTI-EXAM PREPARATION AND RESOURCE EXCHANGE PLATFORM”</w:t>
      </w:r>
      <w:r>
        <w:rPr>
          <w:rFonts w:ascii="Times New Roman" w:hAnsi="Times New Roman"/>
          <w:sz w:val="24"/>
        </w:rPr>
        <w:t xml:space="preserve">, is the bonafide work of </w:t>
      </w:r>
      <w:r>
        <w:rPr>
          <w:rFonts w:ascii="Times New Roman" w:hAnsi="Times New Roman"/>
          <w:b/>
          <w:sz w:val="24"/>
        </w:rPr>
        <w:t>T HARENI (24104005)</w:t>
      </w:r>
      <w:r>
        <w:rPr>
          <w:rFonts w:ascii="Times New Roman" w:hAnsi="Times New Roman"/>
          <w:sz w:val="24"/>
        </w:rPr>
        <w:t xml:space="preserve"> who carried out the project work under my supervision.</w:t>
      </w:r>
    </w:p>
    <w:p>
      <w:pPr>
        <w:spacing w:after="1280"/>
        <w:jc w:val="right"/>
      </w:pPr>
      <w:r>
        <w:rPr>
          <w:rFonts w:ascii="Times New Roman" w:hAnsi="Times New Roman"/>
          <w:b/>
          <w:sz w:val="24"/>
        </w:rPr>
        <w:t>Course Instructor/Guide</w:t>
      </w:r>
    </w:p>
    <w:p>
      <w:pPr>
        <w:spacing w:line="312" w:lineRule="auto" w:after="960"/>
        <w:jc w:val="both"/>
      </w:pPr>
      <w:r>
        <w:rPr>
          <w:rFonts w:ascii="Times New Roman" w:hAnsi="Times New Roman"/>
          <w:sz w:val="22"/>
        </w:rPr>
        <w:t>Submitted to the 23CS54C – MODERN WEB TECHNOLOGIES Viva-Voce examination held at National Engineering College, K.R.Nagar, Kovilpatti on ___________________</w:t>
      </w:r>
    </w:p>
    <w:tbl>
      <w:tblPr>
        <w:tblW w:type="auto" w:w="0"/>
        <w:jc w:val="center"/>
        <w:tblLook w:firstColumn="1" w:firstRow="1" w:lastColumn="0" w:lastRow="0" w:noHBand="0" w:noVBand="1" w:val="04A0"/>
        <w:tblBorders>
          <w:top w:val="single" w:sz="6" w:space="0" w:color="FFFFFF"/>
          <w:bottom w:val="single" w:sz="6" w:space="0" w:color="FFFFFF"/>
          <w:insideH w:val="single" w:sz="4" w:space="0" w:color="FFFFFF"/>
          <w:insideV w:val="none"/>
          <w:left w:val="none"/>
          <w:right w:val="none"/>
        </w:tblBorders>
      </w:tblPr>
      <w:tblGrid>
        <w:gridCol w:w="4334"/>
        <w:gridCol w:w="4334"/>
      </w:tblGrid>
      <w:tr>
        <w:tc>
          <w:tcPr>
            <w:tcW w:type="dxa" w:w="4320"/>
          </w:tcPr>
          <w:p>
            <w:pPr>
              <w:jc w:val="left"/>
            </w:pPr>
            <w:r>
              <w:rPr>
                <w:rFonts w:ascii="Times New Roman" w:hAnsi="Times New Roman"/>
                <w:b/>
                <w:sz w:val="24"/>
              </w:rPr>
              <w:t>_____________________</w:t>
              <w:br/>
              <w:t>Internal Examiner</w:t>
            </w:r>
          </w:p>
        </w:tc>
        <w:tc>
          <w:tcPr>
            <w:tcW w:type="dxa" w:w="4320"/>
          </w:tcPr>
          <w:p>
            <w:pPr>
              <w:jc w:val="right"/>
            </w:pPr>
            <w:r>
              <w:rPr>
                <w:rFonts w:ascii="Times New Roman" w:hAnsi="Times New Roman"/>
                <w:b/>
                <w:sz w:val="24"/>
              </w:rPr>
              <w:t>_____________________</w:t>
              <w:br/>
              <w:t>Co Examiner</w:t>
            </w:r>
          </w:p>
        </w:tc>
      </w:tr>
    </w:tbl>
    <w:p>
      <w:r>
        <w:br w:type="page"/>
      </w:r>
    </w:p>
    <w:p>
      <w:pPr>
        <w:spacing w:before="360" w:after="480"/>
        <w:jc w:val="center"/>
      </w:pPr>
      <w:r>
        <w:rPr>
          <w:rFonts w:ascii="Times New Roman" w:hAnsi="Times New Roman"/>
          <w:b/>
          <w:sz w:val="30"/>
        </w:rPr>
        <w:t>TABLE OF CONTENTS</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none"/>
          <w:left w:val="none"/>
          <w:right w:val="none"/>
        </w:tblBorders>
      </w:tblPr>
      <w:tblGrid>
        <w:gridCol w:w="2890"/>
        <w:gridCol w:w="2890"/>
        <w:gridCol w:w="2890"/>
      </w:tblGrid>
      <w:tr>
        <w:tc>
          <w:tcPr>
            <w:tcW w:type="dxa" w:w="1584"/>
            <w:shd w:fill="EAEAEA"/>
            <w:tcMar>
              <w:top w:w="80" w:type="dxa"/>
              <w:bottom w:w="80" w:type="dxa"/>
              <w:left w:w="100" w:type="dxa"/>
              <w:right w:w="100" w:type="dxa"/>
            </w:tcMar>
          </w:tcPr>
          <w:p>
            <w:r>
              <w:rPr>
                <w:rFonts w:ascii="Times New Roman" w:hAnsi="Times New Roman"/>
                <w:b/>
                <w:color w:val="000000"/>
                <w:sz w:val="21"/>
              </w:rPr>
              <w:t>CH NO</w:t>
            </w:r>
          </w:p>
        </w:tc>
        <w:tc>
          <w:tcPr>
            <w:tcW w:type="dxa" w:w="6480"/>
            <w:shd w:fill="EAEAEA"/>
            <w:tcMar>
              <w:top w:w="80" w:type="dxa"/>
              <w:bottom w:w="80" w:type="dxa"/>
              <w:left w:w="100" w:type="dxa"/>
              <w:right w:w="100" w:type="dxa"/>
            </w:tcMar>
          </w:tcPr>
          <w:p>
            <w:r>
              <w:rPr>
                <w:rFonts w:ascii="Times New Roman" w:hAnsi="Times New Roman"/>
                <w:b/>
                <w:color w:val="000000"/>
                <w:sz w:val="21"/>
              </w:rPr>
              <w:t>TITLE</w:t>
            </w:r>
          </w:p>
        </w:tc>
        <w:tc>
          <w:tcPr>
            <w:tcW w:type="dxa" w:w="1440"/>
            <w:shd w:fill="EAEAEA"/>
            <w:tcMar>
              <w:top w:w="80" w:type="dxa"/>
              <w:bottom w:w="80" w:type="dxa"/>
              <w:left w:w="100" w:type="dxa"/>
              <w:right w:w="100" w:type="dxa"/>
            </w:tcMar>
          </w:tcPr>
          <w:p>
            <w:r>
              <w:rPr>
                <w:rFonts w:ascii="Times New Roman" w:hAnsi="Times New Roman"/>
                <w:b/>
                <w:color w:val="000000"/>
                <w:sz w:val="21"/>
              </w:rPr>
              <w:t>PAGE NO</w:t>
            </w:r>
          </w:p>
        </w:tc>
      </w:tr>
      <w:tr>
        <w:tc>
          <w:tcPr>
            <w:tcW w:type="dxa" w:w="2890"/>
            <w:shd w:fill="FFFFFF"/>
            <w:tcMar>
              <w:top w:w="60" w:type="dxa"/>
              <w:bottom w:w="60" w:type="dxa"/>
              <w:left w:w="100" w:type="dxa"/>
              <w:right w:w="100" w:type="dxa"/>
            </w:tcMar>
          </w:tcPr>
          <w:p>
            <w:pPr>
              <w:jc w:val="center"/>
            </w:pPr>
            <w:r>
              <w:rPr>
                <w:rFonts w:ascii="Times New Roman" w:hAnsi="Times New Roman"/>
                <w:b/>
                <w:color w:val="000000"/>
                <w:sz w:val="20"/>
              </w:rPr>
              <w:t>1</w:t>
            </w:r>
          </w:p>
        </w:tc>
        <w:tc>
          <w:tcPr>
            <w:tcW w:type="dxa" w:w="2890"/>
            <w:shd w:fill="FFFFFF"/>
            <w:tcMar>
              <w:top w:w="60" w:type="dxa"/>
              <w:bottom w:w="60" w:type="dxa"/>
              <w:left w:w="100" w:type="dxa"/>
              <w:right w:w="100" w:type="dxa"/>
            </w:tcMar>
          </w:tcPr>
          <w:p>
            <w:r>
              <w:rPr>
                <w:rFonts w:ascii="Times New Roman" w:hAnsi="Times New Roman"/>
                <w:b/>
                <w:color w:val="000000"/>
                <w:sz w:val="20"/>
              </w:rPr>
              <w:t>INTRODUCTION</w:t>
            </w:r>
          </w:p>
        </w:tc>
        <w:tc>
          <w:tcPr>
            <w:tcW w:type="dxa" w:w="2890"/>
            <w:shd w:fill="FFFFFF"/>
            <w:tcMar>
              <w:top w:w="60" w:type="dxa"/>
              <w:bottom w:w="60" w:type="dxa"/>
              <w:left w:w="100" w:type="dxa"/>
              <w:right w:w="100" w:type="dxa"/>
            </w:tcMar>
          </w:tcPr>
          <w:p>
            <w:pPr>
              <w:jc w:val="center"/>
            </w:pPr>
            <w:r>
              <w:rPr>
                <w:rFonts w:ascii="Times New Roman" w:hAnsi="Times New Roman"/>
                <w:b/>
                <w:color w:val="000000"/>
                <w:sz w:val="20"/>
              </w:rPr>
              <w:t>3</w:t>
            </w:r>
          </w:p>
        </w:tc>
      </w:tr>
      <w:tr>
        <w:tc>
          <w:tcPr>
            <w:tcW w:type="dxa" w:w="2890"/>
            <w:shd w:fill="F9F9F9"/>
            <w:tcMar>
              <w:top w:w="60" w:type="dxa"/>
              <w:bottom w:w="60" w:type="dxa"/>
              <w:left w:w="100" w:type="dxa"/>
              <w:right w:w="100" w:type="dxa"/>
            </w:tcMar>
          </w:tcPr>
          <w:p>
            <w:pPr>
              <w:jc w:val="center"/>
            </w:pPr>
            <w:r>
              <w:rPr>
                <w:rFonts w:ascii="Times New Roman" w:hAnsi="Times New Roman"/>
                <w:b/>
                <w:color w:val="000000"/>
                <w:sz w:val="20"/>
              </w:rPr>
              <w:t>2</w:t>
            </w:r>
          </w:p>
        </w:tc>
        <w:tc>
          <w:tcPr>
            <w:tcW w:type="dxa" w:w="2890"/>
            <w:shd w:fill="F9F9F9"/>
            <w:tcMar>
              <w:top w:w="60" w:type="dxa"/>
              <w:bottom w:w="60" w:type="dxa"/>
              <w:left w:w="100" w:type="dxa"/>
              <w:right w:w="100" w:type="dxa"/>
            </w:tcMar>
          </w:tcPr>
          <w:p>
            <w:r>
              <w:rPr>
                <w:rFonts w:ascii="Times New Roman" w:hAnsi="Times New Roman"/>
                <w:b/>
                <w:color w:val="000000"/>
                <w:sz w:val="20"/>
              </w:rPr>
              <w:t>OBJECTIVES</w:t>
            </w:r>
          </w:p>
        </w:tc>
        <w:tc>
          <w:tcPr>
            <w:tcW w:type="dxa" w:w="2890"/>
            <w:shd w:fill="F9F9F9"/>
            <w:tcMar>
              <w:top w:w="60" w:type="dxa"/>
              <w:bottom w:w="60" w:type="dxa"/>
              <w:left w:w="100" w:type="dxa"/>
              <w:right w:w="100" w:type="dxa"/>
            </w:tcMar>
          </w:tcPr>
          <w:p>
            <w:pPr>
              <w:jc w:val="center"/>
            </w:pPr>
            <w:r>
              <w:rPr>
                <w:rFonts w:ascii="Times New Roman" w:hAnsi="Times New Roman"/>
                <w:b/>
                <w:color w:val="000000"/>
                <w:sz w:val="20"/>
              </w:rPr>
              <w:t>4</w:t>
            </w:r>
          </w:p>
        </w:tc>
      </w:tr>
      <w:tr>
        <w:tc>
          <w:tcPr>
            <w:tcW w:type="dxa" w:w="2890"/>
            <w:shd w:fill="FFFFFF"/>
            <w:tcMar>
              <w:top w:w="60" w:type="dxa"/>
              <w:bottom w:w="60" w:type="dxa"/>
              <w:left w:w="100" w:type="dxa"/>
              <w:right w:w="100" w:type="dxa"/>
            </w:tcMar>
          </w:tcPr>
          <w:p>
            <w:pPr>
              <w:jc w:val="center"/>
            </w:pPr>
            <w:r>
              <w:rPr>
                <w:rFonts w:ascii="Times New Roman" w:hAnsi="Times New Roman"/>
                <w:b/>
                <w:color w:val="000000"/>
                <w:sz w:val="20"/>
              </w:rPr>
              <w:t>3</w:t>
            </w:r>
          </w:p>
        </w:tc>
        <w:tc>
          <w:tcPr>
            <w:tcW w:type="dxa" w:w="2890"/>
            <w:shd w:fill="FFFFFF"/>
            <w:tcMar>
              <w:top w:w="60" w:type="dxa"/>
              <w:bottom w:w="60" w:type="dxa"/>
              <w:left w:w="100" w:type="dxa"/>
              <w:right w:w="100" w:type="dxa"/>
            </w:tcMar>
          </w:tcPr>
          <w:p>
            <w:r>
              <w:rPr>
                <w:rFonts w:ascii="Times New Roman" w:hAnsi="Times New Roman"/>
                <w:b/>
                <w:color w:val="000000"/>
                <w:sz w:val="20"/>
              </w:rPr>
              <w:t>DESCRIPTION &amp; ACCESS PERMISSION OF ROLES</w:t>
            </w:r>
          </w:p>
        </w:tc>
        <w:tc>
          <w:tcPr>
            <w:tcW w:type="dxa" w:w="2890"/>
            <w:shd w:fill="FFFFFF"/>
            <w:tcMar>
              <w:top w:w="60" w:type="dxa"/>
              <w:bottom w:w="60" w:type="dxa"/>
              <w:left w:w="100" w:type="dxa"/>
              <w:right w:w="100" w:type="dxa"/>
            </w:tcMar>
          </w:tcPr>
          <w:p>
            <w:pPr>
              <w:jc w:val="center"/>
            </w:pPr>
            <w:r>
              <w:rPr>
                <w:rFonts w:ascii="Times New Roman" w:hAnsi="Times New Roman"/>
                <w:b/>
                <w:color w:val="000000"/>
                <w:sz w:val="20"/>
              </w:rPr>
              <w:t>5</w:t>
            </w:r>
          </w:p>
        </w:tc>
      </w:tr>
      <w:tr>
        <w:tc>
          <w:tcPr>
            <w:tcW w:type="dxa" w:w="2890"/>
            <w:shd w:fill="F9F9F9"/>
            <w:tcMar>
              <w:top w:w="60" w:type="dxa"/>
              <w:bottom w:w="60" w:type="dxa"/>
              <w:left w:w="100" w:type="dxa"/>
              <w:right w:w="100" w:type="dxa"/>
            </w:tcMar>
          </w:tcPr>
          <w:p>
            <w:pPr>
              <w:jc w:val="center"/>
            </w:pPr>
            <w:r>
              <w:rPr>
                <w:rFonts w:ascii="Times New Roman" w:hAnsi="Times New Roman"/>
                <w:b/>
                <w:color w:val="000000"/>
                <w:sz w:val="20"/>
              </w:rPr>
              <w:t>4</w:t>
            </w:r>
          </w:p>
        </w:tc>
        <w:tc>
          <w:tcPr>
            <w:tcW w:type="dxa" w:w="2890"/>
            <w:shd w:fill="F9F9F9"/>
            <w:tcMar>
              <w:top w:w="60" w:type="dxa"/>
              <w:bottom w:w="60" w:type="dxa"/>
              <w:left w:w="100" w:type="dxa"/>
              <w:right w:w="100" w:type="dxa"/>
            </w:tcMar>
          </w:tcPr>
          <w:p>
            <w:r>
              <w:rPr>
                <w:rFonts w:ascii="Times New Roman" w:hAnsi="Times New Roman"/>
                <w:b/>
                <w:color w:val="000000"/>
                <w:sz w:val="20"/>
              </w:rPr>
              <w:t>CLASS DIAGRAM</w:t>
            </w:r>
          </w:p>
        </w:tc>
        <w:tc>
          <w:tcPr>
            <w:tcW w:type="dxa" w:w="2890"/>
            <w:shd w:fill="F9F9F9"/>
            <w:tcMar>
              <w:top w:w="60" w:type="dxa"/>
              <w:bottom w:w="60" w:type="dxa"/>
              <w:left w:w="100" w:type="dxa"/>
              <w:right w:w="100" w:type="dxa"/>
            </w:tcMar>
          </w:tcPr>
          <w:p>
            <w:pPr>
              <w:jc w:val="center"/>
            </w:pPr>
            <w:r>
              <w:rPr>
                <w:rFonts w:ascii="Times New Roman" w:hAnsi="Times New Roman"/>
                <w:b/>
                <w:color w:val="000000"/>
                <w:sz w:val="20"/>
              </w:rPr>
              <w:t>7</w:t>
            </w:r>
          </w:p>
        </w:tc>
      </w:tr>
      <w:tr>
        <w:tc>
          <w:tcPr>
            <w:tcW w:type="dxa" w:w="2890"/>
            <w:shd w:fill="FFFFFF"/>
            <w:tcMar>
              <w:top w:w="60" w:type="dxa"/>
              <w:bottom w:w="60" w:type="dxa"/>
              <w:left w:w="100" w:type="dxa"/>
              <w:right w:w="100" w:type="dxa"/>
            </w:tcMar>
          </w:tcPr>
          <w:p>
            <w:pPr>
              <w:jc w:val="center"/>
            </w:pPr>
            <w:r>
              <w:rPr>
                <w:rFonts w:ascii="Times New Roman" w:hAnsi="Times New Roman"/>
                <w:b/>
                <w:color w:val="000000"/>
                <w:sz w:val="20"/>
              </w:rPr>
              <w:t>5</w:t>
            </w:r>
          </w:p>
        </w:tc>
        <w:tc>
          <w:tcPr>
            <w:tcW w:type="dxa" w:w="2890"/>
            <w:shd w:fill="FFFFFF"/>
            <w:tcMar>
              <w:top w:w="60" w:type="dxa"/>
              <w:bottom w:w="60" w:type="dxa"/>
              <w:left w:w="100" w:type="dxa"/>
              <w:right w:w="100" w:type="dxa"/>
            </w:tcMar>
          </w:tcPr>
          <w:p>
            <w:r>
              <w:rPr>
                <w:rFonts w:ascii="Times New Roman" w:hAnsi="Times New Roman"/>
                <w:b/>
                <w:color w:val="000000"/>
                <w:sz w:val="20"/>
              </w:rPr>
              <w:t>TABLE STRUCTURES / SCHEMA SPECIFICATIONS</w:t>
            </w:r>
          </w:p>
        </w:tc>
        <w:tc>
          <w:tcPr>
            <w:tcW w:type="dxa" w:w="2890"/>
            <w:shd w:fill="FFFFFF"/>
            <w:tcMar>
              <w:top w:w="60" w:type="dxa"/>
              <w:bottom w:w="60" w:type="dxa"/>
              <w:left w:w="100" w:type="dxa"/>
              <w:right w:w="100" w:type="dxa"/>
            </w:tcMar>
          </w:tcPr>
          <w:p>
            <w:pPr>
              <w:jc w:val="center"/>
            </w:pPr>
            <w:r>
              <w:rPr>
                <w:rFonts w:ascii="Times New Roman" w:hAnsi="Times New Roman"/>
                <w:b/>
                <w:color w:val="000000"/>
                <w:sz w:val="20"/>
              </w:rPr>
              <w:t>8</w:t>
            </w:r>
          </w:p>
        </w:tc>
      </w:tr>
      <w:tr>
        <w:tc>
          <w:tcPr>
            <w:tcW w:type="dxa" w:w="2890"/>
            <w:shd w:fill="F9F9F9"/>
            <w:tcMar>
              <w:top w:w="60" w:type="dxa"/>
              <w:bottom w:w="60" w:type="dxa"/>
              <w:left w:w="100" w:type="dxa"/>
              <w:right w:w="100" w:type="dxa"/>
            </w:tcMar>
          </w:tcPr>
          <w:p>
            <w:pPr>
              <w:jc w:val="center"/>
            </w:pPr>
            <w:r>
              <w:rPr>
                <w:rFonts w:ascii="Times New Roman" w:hAnsi="Times New Roman"/>
                <w:b/>
                <w:color w:val="000000"/>
                <w:sz w:val="20"/>
              </w:rPr>
              <w:t>6</w:t>
            </w:r>
          </w:p>
        </w:tc>
        <w:tc>
          <w:tcPr>
            <w:tcW w:type="dxa" w:w="2890"/>
            <w:shd w:fill="F9F9F9"/>
            <w:tcMar>
              <w:top w:w="60" w:type="dxa"/>
              <w:bottom w:w="60" w:type="dxa"/>
              <w:left w:w="100" w:type="dxa"/>
              <w:right w:w="100" w:type="dxa"/>
            </w:tcMar>
          </w:tcPr>
          <w:p>
            <w:r>
              <w:rPr>
                <w:rFonts w:ascii="Times New Roman" w:hAnsi="Times New Roman"/>
                <w:b/>
                <w:color w:val="000000"/>
                <w:sz w:val="20"/>
              </w:rPr>
              <w:t>ER DIAGRAM</w:t>
            </w:r>
          </w:p>
        </w:tc>
        <w:tc>
          <w:tcPr>
            <w:tcW w:type="dxa" w:w="2890"/>
            <w:shd w:fill="F9F9F9"/>
            <w:tcMar>
              <w:top w:w="60" w:type="dxa"/>
              <w:bottom w:w="60" w:type="dxa"/>
              <w:left w:w="100" w:type="dxa"/>
              <w:right w:w="100" w:type="dxa"/>
            </w:tcMar>
          </w:tcPr>
          <w:p>
            <w:pPr>
              <w:jc w:val="center"/>
            </w:pPr>
            <w:r>
              <w:rPr>
                <w:rFonts w:ascii="Times New Roman" w:hAnsi="Times New Roman"/>
                <w:b/>
                <w:color w:val="000000"/>
                <w:sz w:val="20"/>
              </w:rPr>
              <w:t>17</w:t>
            </w:r>
          </w:p>
        </w:tc>
      </w:tr>
      <w:tr>
        <w:tc>
          <w:tcPr>
            <w:tcW w:type="dxa" w:w="2890"/>
            <w:shd w:fill="FFFFFF"/>
            <w:tcMar>
              <w:top w:w="60" w:type="dxa"/>
              <w:bottom w:w="60" w:type="dxa"/>
              <w:left w:w="100" w:type="dxa"/>
              <w:right w:w="100" w:type="dxa"/>
            </w:tcMar>
          </w:tcPr>
          <w:p>
            <w:pPr>
              <w:jc w:val="center"/>
            </w:pPr>
            <w:r>
              <w:rPr>
                <w:rFonts w:ascii="Times New Roman" w:hAnsi="Times New Roman"/>
                <w:b/>
                <w:color w:val="000000"/>
                <w:sz w:val="20"/>
              </w:rPr>
              <w:t>7</w:t>
            </w:r>
          </w:p>
        </w:tc>
        <w:tc>
          <w:tcPr>
            <w:tcW w:type="dxa" w:w="2890"/>
            <w:shd w:fill="FFFFFF"/>
            <w:tcMar>
              <w:top w:w="60" w:type="dxa"/>
              <w:bottom w:w="60" w:type="dxa"/>
              <w:left w:w="100" w:type="dxa"/>
              <w:right w:w="100" w:type="dxa"/>
            </w:tcMar>
          </w:tcPr>
          <w:p>
            <w:r>
              <w:rPr>
                <w:rFonts w:ascii="Times New Roman" w:hAnsi="Times New Roman"/>
                <w:b/>
                <w:color w:val="000000"/>
                <w:sz w:val="20"/>
              </w:rPr>
              <w:t>TECH STACK &amp; ARCHITECTURE OVERVIEW</w:t>
            </w:r>
          </w:p>
        </w:tc>
        <w:tc>
          <w:tcPr>
            <w:tcW w:type="dxa" w:w="2890"/>
            <w:shd w:fill="FFFFFF"/>
            <w:tcMar>
              <w:top w:w="60" w:type="dxa"/>
              <w:bottom w:w="60" w:type="dxa"/>
              <w:left w:w="100" w:type="dxa"/>
              <w:right w:w="100" w:type="dxa"/>
            </w:tcMar>
          </w:tcPr>
          <w:p>
            <w:pPr>
              <w:jc w:val="center"/>
            </w:pPr>
            <w:r>
              <w:rPr>
                <w:rFonts w:ascii="Times New Roman" w:hAnsi="Times New Roman"/>
                <w:b/>
                <w:color w:val="000000"/>
                <w:sz w:val="20"/>
              </w:rPr>
              <w:t>19</w:t>
            </w:r>
          </w:p>
        </w:tc>
      </w:tr>
      <w:tr>
        <w:tc>
          <w:tcPr>
            <w:tcW w:type="dxa" w:w="2890"/>
            <w:shd w:fill="F9F9F9"/>
            <w:tcMar>
              <w:top w:w="60" w:type="dxa"/>
              <w:bottom w:w="60" w:type="dxa"/>
              <w:left w:w="100" w:type="dxa"/>
              <w:right w:w="100" w:type="dxa"/>
            </w:tcMar>
          </w:tcPr>
          <w:p>
            <w:pPr>
              <w:jc w:val="center"/>
            </w:pPr>
            <w:r>
              <w:rPr>
                <w:rFonts w:ascii="Times New Roman" w:hAnsi="Times New Roman"/>
                <w:b/>
                <w:color w:val="000000"/>
                <w:sz w:val="20"/>
              </w:rPr>
              <w:t>8</w:t>
            </w:r>
          </w:p>
        </w:tc>
        <w:tc>
          <w:tcPr>
            <w:tcW w:type="dxa" w:w="2890"/>
            <w:shd w:fill="F9F9F9"/>
            <w:tcMar>
              <w:top w:w="60" w:type="dxa"/>
              <w:bottom w:w="60" w:type="dxa"/>
              <w:left w:w="100" w:type="dxa"/>
              <w:right w:w="100" w:type="dxa"/>
            </w:tcMar>
          </w:tcPr>
          <w:p>
            <w:r>
              <w:rPr>
                <w:rFonts w:ascii="Times New Roman" w:hAnsi="Times New Roman"/>
                <w:b/>
                <w:color w:val="000000"/>
                <w:sz w:val="20"/>
              </w:rPr>
              <w:t>MODULES</w:t>
            </w:r>
          </w:p>
        </w:tc>
        <w:tc>
          <w:tcPr>
            <w:tcW w:type="dxa" w:w="2890"/>
            <w:shd w:fill="F9F9F9"/>
            <w:tcMar>
              <w:top w:w="60" w:type="dxa"/>
              <w:bottom w:w="60" w:type="dxa"/>
              <w:left w:w="100" w:type="dxa"/>
              <w:right w:w="100" w:type="dxa"/>
            </w:tcMar>
          </w:tcPr>
          <w:p>
            <w:pPr>
              <w:jc w:val="center"/>
            </w:pPr>
            <w:r>
              <w:rPr>
                <w:rFonts w:ascii="Times New Roman" w:hAnsi="Times New Roman"/>
                <w:b/>
                <w:color w:val="000000"/>
                <w:sz w:val="20"/>
              </w:rPr>
              <w:t>20</w:t>
            </w:r>
          </w:p>
        </w:tc>
      </w:tr>
      <w:tr>
        <w:tc>
          <w:tcPr>
            <w:tcW w:type="dxa" w:w="2890"/>
            <w:shd w:fill="FFFFFF"/>
            <w:tcMar>
              <w:top w:w="60" w:type="dxa"/>
              <w:bottom w:w="60" w:type="dxa"/>
              <w:left w:w="100" w:type="dxa"/>
              <w:right w:w="100" w:type="dxa"/>
            </w:tcMar>
          </w:tcPr>
          <w:p>
            <w:pPr>
              <w:jc w:val="center"/>
            </w:pPr>
            <w:r>
              <w:rPr>
                <w:rFonts w:ascii="Times New Roman" w:hAnsi="Times New Roman"/>
                <w:color w:val="000000"/>
                <w:sz w:val="20"/>
              </w:rPr>
            </w:r>
          </w:p>
        </w:tc>
        <w:tc>
          <w:tcPr>
            <w:tcW w:type="dxa" w:w="2890"/>
            <w:shd w:fill="FFFFFF"/>
            <w:tcMar>
              <w:top w:w="60" w:type="dxa"/>
              <w:bottom w:w="60" w:type="dxa"/>
              <w:left w:w="100" w:type="dxa"/>
              <w:right w:w="100" w:type="dxa"/>
            </w:tcMar>
          </w:tcPr>
          <w:p>
            <w:r>
              <w:rPr>
                <w:rFonts w:ascii="Times New Roman" w:hAnsi="Times New Roman"/>
                <w:color w:val="000000"/>
                <w:sz w:val="20"/>
              </w:rPr>
              <w:t>8.1 Project Structure (Backend &amp; Frontend Organization)</w:t>
            </w:r>
          </w:p>
        </w:tc>
        <w:tc>
          <w:tcPr>
            <w:tcW w:type="dxa" w:w="2890"/>
            <w:shd w:fill="FFFFFF"/>
            <w:tcMar>
              <w:top w:w="60" w:type="dxa"/>
              <w:bottom w:w="60" w:type="dxa"/>
              <w:left w:w="100" w:type="dxa"/>
              <w:right w:w="100" w:type="dxa"/>
            </w:tcMar>
          </w:tcPr>
          <w:p>
            <w:pPr>
              <w:jc w:val="center"/>
            </w:pPr>
            <w:r>
              <w:rPr>
                <w:rFonts w:ascii="Times New Roman" w:hAnsi="Times New Roman"/>
                <w:color w:val="000000"/>
                <w:sz w:val="20"/>
              </w:rPr>
              <w:t>20</w:t>
            </w:r>
          </w:p>
        </w:tc>
      </w:tr>
      <w:tr>
        <w:tc>
          <w:tcPr>
            <w:tcW w:type="dxa" w:w="2890"/>
            <w:shd w:fill="F9F9F9"/>
            <w:tcMar>
              <w:top w:w="60" w:type="dxa"/>
              <w:bottom w:w="60" w:type="dxa"/>
              <w:left w:w="100" w:type="dxa"/>
              <w:right w:w="100" w:type="dxa"/>
            </w:tcMar>
          </w:tcPr>
          <w:p>
            <w:pPr>
              <w:jc w:val="center"/>
            </w:pPr>
            <w:r>
              <w:rPr>
                <w:rFonts w:ascii="Times New Roman" w:hAnsi="Times New Roman"/>
                <w:color w:val="000000"/>
                <w:sz w:val="20"/>
              </w:rPr>
            </w:r>
          </w:p>
        </w:tc>
        <w:tc>
          <w:tcPr>
            <w:tcW w:type="dxa" w:w="2890"/>
            <w:shd w:fill="F9F9F9"/>
            <w:tcMar>
              <w:top w:w="60" w:type="dxa"/>
              <w:bottom w:w="60" w:type="dxa"/>
              <w:left w:w="100" w:type="dxa"/>
              <w:right w:w="100" w:type="dxa"/>
            </w:tcMar>
          </w:tcPr>
          <w:p>
            <w:r>
              <w:rPr>
                <w:rFonts w:ascii="Times New Roman" w:hAnsi="Times New Roman"/>
                <w:color w:val="000000"/>
                <w:sz w:val="20"/>
              </w:rPr>
              <w:t>8.2 User Authentication &amp; Access Control (Login &amp; Google OAuth)</w:t>
            </w:r>
          </w:p>
        </w:tc>
        <w:tc>
          <w:tcPr>
            <w:tcW w:type="dxa" w:w="2890"/>
            <w:shd w:fill="F9F9F9"/>
            <w:tcMar>
              <w:top w:w="60" w:type="dxa"/>
              <w:bottom w:w="60" w:type="dxa"/>
              <w:left w:w="100" w:type="dxa"/>
              <w:right w:w="100" w:type="dxa"/>
            </w:tcMar>
          </w:tcPr>
          <w:p>
            <w:pPr>
              <w:jc w:val="center"/>
            </w:pPr>
            <w:r>
              <w:rPr>
                <w:rFonts w:ascii="Times New Roman" w:hAnsi="Times New Roman"/>
                <w:color w:val="000000"/>
                <w:sz w:val="20"/>
              </w:rPr>
              <w:t>22</w:t>
            </w:r>
          </w:p>
        </w:tc>
      </w:tr>
      <w:tr>
        <w:tc>
          <w:tcPr>
            <w:tcW w:type="dxa" w:w="2890"/>
            <w:shd w:fill="FFFFFF"/>
            <w:tcMar>
              <w:top w:w="60" w:type="dxa"/>
              <w:bottom w:w="60" w:type="dxa"/>
              <w:left w:w="100" w:type="dxa"/>
              <w:right w:w="100" w:type="dxa"/>
            </w:tcMar>
          </w:tcPr>
          <w:p>
            <w:pPr>
              <w:jc w:val="center"/>
            </w:pPr>
            <w:r>
              <w:rPr>
                <w:rFonts w:ascii="Times New Roman" w:hAnsi="Times New Roman"/>
                <w:color w:val="000000"/>
                <w:sz w:val="20"/>
              </w:rPr>
            </w:r>
          </w:p>
        </w:tc>
        <w:tc>
          <w:tcPr>
            <w:tcW w:type="dxa" w:w="2890"/>
            <w:shd w:fill="FFFFFF"/>
            <w:tcMar>
              <w:top w:w="60" w:type="dxa"/>
              <w:bottom w:w="60" w:type="dxa"/>
              <w:left w:w="100" w:type="dxa"/>
              <w:right w:w="100" w:type="dxa"/>
            </w:tcMar>
          </w:tcPr>
          <w:p>
            <w:r>
              <w:rPr>
                <w:rFonts w:ascii="Times New Roman" w:hAnsi="Times New Roman"/>
                <w:color w:val="000000"/>
                <w:sz w:val="20"/>
              </w:rPr>
              <w:t>8.3 Student Module &amp; Learning Features</w:t>
            </w:r>
          </w:p>
        </w:tc>
        <w:tc>
          <w:tcPr>
            <w:tcW w:type="dxa" w:w="2890"/>
            <w:shd w:fill="FFFFFF"/>
            <w:tcMar>
              <w:top w:w="60" w:type="dxa"/>
              <w:bottom w:w="60" w:type="dxa"/>
              <w:left w:w="100" w:type="dxa"/>
              <w:right w:w="100" w:type="dxa"/>
            </w:tcMar>
          </w:tcPr>
          <w:p>
            <w:pPr>
              <w:jc w:val="center"/>
            </w:pPr>
            <w:r>
              <w:rPr>
                <w:rFonts w:ascii="Times New Roman" w:hAnsi="Times New Roman"/>
                <w:color w:val="000000"/>
                <w:sz w:val="20"/>
              </w:rPr>
              <w:t>24</w:t>
            </w:r>
          </w:p>
        </w:tc>
      </w:tr>
      <w:tr>
        <w:tc>
          <w:tcPr>
            <w:tcW w:type="dxa" w:w="2890"/>
            <w:shd w:fill="F9F9F9"/>
            <w:tcMar>
              <w:top w:w="60" w:type="dxa"/>
              <w:bottom w:w="60" w:type="dxa"/>
              <w:left w:w="100" w:type="dxa"/>
              <w:right w:w="100" w:type="dxa"/>
            </w:tcMar>
          </w:tcPr>
          <w:p>
            <w:pPr>
              <w:jc w:val="center"/>
            </w:pPr>
            <w:r>
              <w:rPr>
                <w:rFonts w:ascii="Times New Roman" w:hAnsi="Times New Roman"/>
                <w:color w:val="000000"/>
                <w:sz w:val="20"/>
              </w:rPr>
            </w:r>
          </w:p>
        </w:tc>
        <w:tc>
          <w:tcPr>
            <w:tcW w:type="dxa" w:w="2890"/>
            <w:shd w:fill="F9F9F9"/>
            <w:tcMar>
              <w:top w:w="60" w:type="dxa"/>
              <w:bottom w:w="60" w:type="dxa"/>
              <w:left w:w="100" w:type="dxa"/>
              <w:right w:w="100" w:type="dxa"/>
            </w:tcMar>
          </w:tcPr>
          <w:p>
            <w:r>
              <w:rPr>
                <w:rFonts w:ascii="Times New Roman" w:hAnsi="Times New Roman"/>
                <w:color w:val="000000"/>
                <w:sz w:val="20"/>
              </w:rPr>
              <w:t>8.4 Academic Mentor Module &amp; Monitoring Features</w:t>
            </w:r>
          </w:p>
        </w:tc>
        <w:tc>
          <w:tcPr>
            <w:tcW w:type="dxa" w:w="2890"/>
            <w:shd w:fill="F9F9F9"/>
            <w:tcMar>
              <w:top w:w="60" w:type="dxa"/>
              <w:bottom w:w="60" w:type="dxa"/>
              <w:left w:w="100" w:type="dxa"/>
              <w:right w:w="100" w:type="dxa"/>
            </w:tcMar>
          </w:tcPr>
          <w:p>
            <w:pPr>
              <w:jc w:val="center"/>
            </w:pPr>
            <w:r>
              <w:rPr>
                <w:rFonts w:ascii="Times New Roman" w:hAnsi="Times New Roman"/>
                <w:color w:val="000000"/>
                <w:sz w:val="20"/>
              </w:rPr>
              <w:t>30</w:t>
            </w:r>
          </w:p>
        </w:tc>
      </w:tr>
      <w:tr>
        <w:tc>
          <w:tcPr>
            <w:tcW w:type="dxa" w:w="2890"/>
            <w:shd w:fill="FFFFFF"/>
            <w:tcMar>
              <w:top w:w="60" w:type="dxa"/>
              <w:bottom w:w="60" w:type="dxa"/>
              <w:left w:w="100" w:type="dxa"/>
              <w:right w:w="100" w:type="dxa"/>
            </w:tcMar>
          </w:tcPr>
          <w:p>
            <w:pPr>
              <w:jc w:val="center"/>
            </w:pPr>
            <w:r>
              <w:rPr>
                <w:rFonts w:ascii="Times New Roman" w:hAnsi="Times New Roman"/>
                <w:color w:val="000000"/>
                <w:sz w:val="20"/>
              </w:rPr>
            </w:r>
          </w:p>
        </w:tc>
        <w:tc>
          <w:tcPr>
            <w:tcW w:type="dxa" w:w="2890"/>
            <w:shd w:fill="FFFFFF"/>
            <w:tcMar>
              <w:top w:w="60" w:type="dxa"/>
              <w:bottom w:w="60" w:type="dxa"/>
              <w:left w:w="100" w:type="dxa"/>
              <w:right w:w="100" w:type="dxa"/>
            </w:tcMar>
          </w:tcPr>
          <w:p>
            <w:r>
              <w:rPr>
                <w:rFonts w:ascii="Times New Roman" w:hAnsi="Times New Roman"/>
                <w:color w:val="000000"/>
                <w:sz w:val="20"/>
              </w:rPr>
              <w:t>8.5 Delivery Partner Logistics Module</w:t>
            </w:r>
          </w:p>
        </w:tc>
        <w:tc>
          <w:tcPr>
            <w:tcW w:type="dxa" w:w="2890"/>
            <w:shd w:fill="FFFFFF"/>
            <w:tcMar>
              <w:top w:w="60" w:type="dxa"/>
              <w:bottom w:w="60" w:type="dxa"/>
              <w:left w:w="100" w:type="dxa"/>
              <w:right w:w="100" w:type="dxa"/>
            </w:tcMar>
          </w:tcPr>
          <w:p>
            <w:pPr>
              <w:jc w:val="center"/>
            </w:pPr>
            <w:r>
              <w:rPr>
                <w:rFonts w:ascii="Times New Roman" w:hAnsi="Times New Roman"/>
                <w:color w:val="000000"/>
                <w:sz w:val="20"/>
              </w:rPr>
              <w:t>33</w:t>
            </w:r>
          </w:p>
        </w:tc>
      </w:tr>
      <w:tr>
        <w:tc>
          <w:tcPr>
            <w:tcW w:type="dxa" w:w="2890"/>
            <w:shd w:fill="F9F9F9"/>
            <w:tcMar>
              <w:top w:w="60" w:type="dxa"/>
              <w:bottom w:w="60" w:type="dxa"/>
              <w:left w:w="100" w:type="dxa"/>
              <w:right w:w="100" w:type="dxa"/>
            </w:tcMar>
          </w:tcPr>
          <w:p>
            <w:pPr>
              <w:jc w:val="center"/>
            </w:pPr>
            <w:r>
              <w:rPr>
                <w:rFonts w:ascii="Times New Roman" w:hAnsi="Times New Roman"/>
                <w:color w:val="000000"/>
                <w:sz w:val="20"/>
              </w:rPr>
            </w:r>
          </w:p>
        </w:tc>
        <w:tc>
          <w:tcPr>
            <w:tcW w:type="dxa" w:w="2890"/>
            <w:shd w:fill="F9F9F9"/>
            <w:tcMar>
              <w:top w:w="60" w:type="dxa"/>
              <w:bottom w:w="60" w:type="dxa"/>
              <w:left w:w="100" w:type="dxa"/>
              <w:right w:w="100" w:type="dxa"/>
            </w:tcMar>
          </w:tcPr>
          <w:p>
            <w:r>
              <w:rPr>
                <w:rFonts w:ascii="Times New Roman" w:hAnsi="Times New Roman"/>
                <w:color w:val="000000"/>
                <w:sz w:val="20"/>
              </w:rPr>
              <w:t>8.6 System Administration &amp; Multi-Channel Communication Engine</w:t>
            </w:r>
          </w:p>
        </w:tc>
        <w:tc>
          <w:tcPr>
            <w:tcW w:type="dxa" w:w="2890"/>
            <w:shd w:fill="F9F9F9"/>
            <w:tcMar>
              <w:top w:w="60" w:type="dxa"/>
              <w:bottom w:w="60" w:type="dxa"/>
              <w:left w:w="100" w:type="dxa"/>
              <w:right w:w="100" w:type="dxa"/>
            </w:tcMar>
          </w:tcPr>
          <w:p>
            <w:pPr>
              <w:jc w:val="center"/>
            </w:pPr>
            <w:r>
              <w:rPr>
                <w:rFonts w:ascii="Times New Roman" w:hAnsi="Times New Roman"/>
                <w:color w:val="000000"/>
                <w:sz w:val="20"/>
              </w:rPr>
              <w:t>36</w:t>
            </w:r>
          </w:p>
        </w:tc>
      </w:tr>
      <w:tr>
        <w:tc>
          <w:tcPr>
            <w:tcW w:type="dxa" w:w="2890"/>
            <w:shd w:fill="FFFFFF"/>
            <w:tcMar>
              <w:top w:w="60" w:type="dxa"/>
              <w:bottom w:w="60" w:type="dxa"/>
              <w:left w:w="100" w:type="dxa"/>
              <w:right w:w="100" w:type="dxa"/>
            </w:tcMar>
          </w:tcPr>
          <w:p>
            <w:pPr>
              <w:jc w:val="center"/>
            </w:pPr>
            <w:r>
              <w:rPr>
                <w:rFonts w:ascii="Times New Roman" w:hAnsi="Times New Roman"/>
                <w:b/>
                <w:color w:val="000000"/>
                <w:sz w:val="20"/>
              </w:rPr>
              <w:t>9</w:t>
            </w:r>
          </w:p>
        </w:tc>
        <w:tc>
          <w:tcPr>
            <w:tcW w:type="dxa" w:w="2890"/>
            <w:shd w:fill="FFFFFF"/>
            <w:tcMar>
              <w:top w:w="60" w:type="dxa"/>
              <w:bottom w:w="60" w:type="dxa"/>
              <w:left w:w="100" w:type="dxa"/>
              <w:right w:w="100" w:type="dxa"/>
            </w:tcMar>
          </w:tcPr>
          <w:p>
            <w:r>
              <w:rPr>
                <w:rFonts w:ascii="Times New Roman" w:hAnsi="Times New Roman"/>
                <w:b/>
                <w:color w:val="000000"/>
                <w:sz w:val="20"/>
              </w:rPr>
              <w:t>CONCLUSION</w:t>
            </w:r>
          </w:p>
        </w:tc>
        <w:tc>
          <w:tcPr>
            <w:tcW w:type="dxa" w:w="2890"/>
            <w:shd w:fill="FFFFFF"/>
            <w:tcMar>
              <w:top w:w="60" w:type="dxa"/>
              <w:bottom w:w="60" w:type="dxa"/>
              <w:left w:w="100" w:type="dxa"/>
              <w:right w:w="100" w:type="dxa"/>
            </w:tcMar>
          </w:tcPr>
          <w:p>
            <w:pPr>
              <w:jc w:val="center"/>
            </w:pPr>
            <w:r>
              <w:rPr>
                <w:rFonts w:ascii="Times New Roman" w:hAnsi="Times New Roman"/>
                <w:b/>
                <w:color w:val="000000"/>
                <w:sz w:val="20"/>
              </w:rPr>
              <w:t>39</w:t>
            </w:r>
          </w:p>
        </w:tc>
      </w:tr>
    </w:tbl>
    <w:p>
      <w:r>
        <w:br w:type="page"/>
      </w:r>
    </w:p>
    <w:p>
      <w:pPr>
        <w:spacing w:before="400" w:after="240" w:line="276" w:lineRule="auto"/>
        <w:jc w:val="center"/>
      </w:pPr>
      <w:r>
        <w:rPr>
          <w:rFonts w:ascii="Times New Roman" w:hAnsi="Times New Roman"/>
          <w:b/>
          <w:color w:val="000000"/>
          <w:sz w:val="32"/>
        </w:rPr>
        <w:t>CHAPTER 1</w:t>
        <w:br/>
        <w:t>INTRODUCTION</w:t>
      </w:r>
    </w:p>
    <w:p>
      <w:pPr>
        <w:spacing w:after="120" w:before="0" w:line="360" w:lineRule="auto"/>
        <w:ind w:firstLine="720"/>
        <w:jc w:val="both"/>
      </w:pPr>
      <w:r>
        <w:rPr>
          <w:rFonts w:ascii="Times New Roman" w:hAnsi="Times New Roman"/>
          <w:color w:val="000000"/>
          <w:sz w:val="24"/>
        </w:rPr>
        <w:t>In the modern education ecosystem, the structured preparation for competitive examinations plays a vital role in determining student career progression and higher academic achievements. Millions of aspirants preparing for engineering, medical, civil services, management, and technical examinations in India—including GATE, UPSC, JEE, NEET, and CAT—face severe fragmentation of learning resources, prohibitive textbook expenses, lack of personalized progress tracking, and disconnected mentorship. Managing preparation across isolated syllabus PDFs, disparate practice portals, physical book purchases, and manual revision logs is time-consuming, disorganized, and lacks real-time academic accountability.</w:t>
      </w:r>
    </w:p>
    <w:p>
      <w:pPr>
        <w:spacing w:after="120" w:before="0" w:line="360" w:lineRule="auto"/>
        <w:ind w:firstLine="720"/>
        <w:jc w:val="both"/>
      </w:pPr>
      <w:r>
        <w:rPr>
          <w:rFonts w:ascii="Times New Roman" w:hAnsi="Times New Roman"/>
          <w:color w:val="000000"/>
          <w:sz w:val="24"/>
        </w:rPr>
        <w:t>The Multi-Exam Preparation and Resource Exchange Platform is a comprehensive, full-stack web application designed to digitize and unify the complete lifecycle of competitive examination preparation. The platform establishes a cohesive ecosystem integrating official examination roadmaps, hierarchical subject and chapter syllabus tracking, multi-attempt mock test evaluation, automated academic mentor monitoring with real-time WhatsApp and SMS notifications, a circular peer-to-peer textbook marketplace, and doorstep delivery logistics.</w:t>
      </w:r>
    </w:p>
    <w:p>
      <w:pPr>
        <w:spacing w:after="120" w:before="0" w:line="360" w:lineRule="auto"/>
        <w:ind w:firstLine="720"/>
        <w:jc w:val="both"/>
      </w:pPr>
      <w:r>
        <w:rPr>
          <w:rFonts w:ascii="Times New Roman" w:hAnsi="Times New Roman"/>
          <w:color w:val="000000"/>
          <w:sz w:val="24"/>
        </w:rPr>
        <w:t>The application is organized into three major functional domains: Academic &amp; Examination Management, which covers foundational exam catalogs, official syllabus roadmaps with weightage prioritization (High, Medium, Low), interactive revision flashcards, and automated quiz generation; Student Progress &amp; Mentorship Tracking, which provides continuous topic status tracking, daily study streaks, mock test analytics, and instant notification alerts dispatched to assigned academic mentors; and Circular Commerce &amp; Logistics, which facilitates peer-to-peer textbook resale, free material donations, cart checkout with multiple payment modes, and doorstep delivery partner fulfillment protected by verification OTPs.</w:t>
      </w:r>
    </w:p>
    <w:p>
      <w:pPr>
        <w:spacing w:after="120" w:before="0" w:line="360" w:lineRule="auto"/>
        <w:ind w:firstLine="720"/>
        <w:jc w:val="both"/>
      </w:pPr>
      <w:r>
        <w:rPr>
          <w:rFonts w:ascii="Times New Roman" w:hAnsi="Times New Roman"/>
          <w:color w:val="000000"/>
          <w:sz w:val="24"/>
        </w:rPr>
        <w:t>The system is developed using modern web engineering principles featuring React.js with Vite for a high-performance single-page application frontend, Node.js with Express.js for the RESTful API backend, and MongoDB with Mongoose for resilient NoSQL persistence. It is supported by automated containerization and deployment pipelines, making it production-ready, maintainable, and horizontally scalable. This report documents the architecture, database schema, component designs, API specifications, and operational workflows of the platform.</w:t>
      </w:r>
    </w:p>
    <w:p>
      <w:r>
        <w:br w:type="page"/>
      </w:r>
    </w:p>
    <w:p>
      <w:pPr>
        <w:spacing w:before="400" w:after="240" w:line="276" w:lineRule="auto"/>
        <w:jc w:val="center"/>
      </w:pPr>
      <w:r>
        <w:rPr>
          <w:rFonts w:ascii="Times New Roman" w:hAnsi="Times New Roman"/>
          <w:b/>
          <w:color w:val="000000"/>
          <w:sz w:val="32"/>
        </w:rPr>
        <w:t>CHAPTER 2</w:t>
        <w:br/>
        <w:t>OBJECTIVES</w:t>
      </w:r>
    </w:p>
    <w:p>
      <w:pPr>
        <w:pStyle w:val="ListBullet"/>
        <w:spacing w:after="80" w:before="40" w:line="312" w:lineRule="auto"/>
        <w:ind w:left="720" w:hanging="360"/>
        <w:jc w:val="both"/>
      </w:pPr>
      <w:r>
        <w:rPr>
          <w:rFonts w:ascii="Times New Roman" w:hAnsi="Times New Roman"/>
          <w:b/>
          <w:color w:val="000000"/>
          <w:sz w:val="24"/>
        </w:rPr>
        <w:t xml:space="preserve">To Digitize Competitive Exam Preparation: </w:t>
      </w:r>
      <w:r>
        <w:rPr>
          <w:rFonts w:ascii="Times New Roman" w:hAnsi="Times New Roman"/>
          <w:color w:val="000000"/>
          <w:sz w:val="24"/>
        </w:rPr>
        <w:t>Replace fragmented study logs and manual tracking with a unified, digital roadmap platform that provides complete syllabus transparency and structured guidance.</w:t>
      </w:r>
    </w:p>
    <w:p>
      <w:pPr>
        <w:pStyle w:val="ListBullet"/>
        <w:spacing w:after="80" w:before="40" w:line="312" w:lineRule="auto"/>
        <w:ind w:left="720" w:hanging="360"/>
        <w:jc w:val="both"/>
      </w:pPr>
      <w:r>
        <w:rPr>
          <w:rFonts w:ascii="Times New Roman" w:hAnsi="Times New Roman"/>
          <w:b/>
          <w:color w:val="000000"/>
          <w:sz w:val="24"/>
        </w:rPr>
        <w:t xml:space="preserve">To Enforce Multi-Role Security &amp; RBAC: </w:t>
      </w:r>
      <w:r>
        <w:rPr>
          <w:rFonts w:ascii="Times New Roman" w:hAnsi="Times New Roman"/>
          <w:color w:val="000000"/>
          <w:sz w:val="24"/>
        </w:rPr>
        <w:t>Secure user accounts using JSON Web Tokens (JWT) and salted bcrypt password hashing, supporting distinct roles for Student, Academic Mentor, Administrator, and Delivery Partner with protected route boundaries.</w:t>
      </w:r>
    </w:p>
    <w:p>
      <w:pPr>
        <w:pStyle w:val="ListBullet"/>
        <w:spacing w:after="80" w:before="40" w:line="312" w:lineRule="auto"/>
        <w:ind w:left="720" w:hanging="360"/>
        <w:jc w:val="both"/>
      </w:pPr>
      <w:r>
        <w:rPr>
          <w:rFonts w:ascii="Times New Roman" w:hAnsi="Times New Roman"/>
          <w:b/>
          <w:color w:val="000000"/>
          <w:sz w:val="24"/>
        </w:rPr>
        <w:t xml:space="preserve">To Provide Weightage-Based Syllabus Roadmaps: </w:t>
      </w:r>
      <w:r>
        <w:rPr>
          <w:rFonts w:ascii="Times New Roman" w:hAnsi="Times New Roman"/>
          <w:color w:val="000000"/>
          <w:sz w:val="24"/>
        </w:rPr>
        <w:t>Organize complex technical syllabi into hierarchical subjects, chapters, and topics ordered by weightage (High, Medium, Low) while retaining every topic to ensure structured preparation without content omission.</w:t>
      </w:r>
    </w:p>
    <w:p>
      <w:pPr>
        <w:pStyle w:val="ListBullet"/>
        <w:spacing w:after="80" w:before="40" w:line="312" w:lineRule="auto"/>
        <w:ind w:left="720" w:hanging="360"/>
        <w:jc w:val="both"/>
      </w:pPr>
      <w:r>
        <w:rPr>
          <w:rFonts w:ascii="Times New Roman" w:hAnsi="Times New Roman"/>
          <w:b/>
          <w:color w:val="000000"/>
          <w:sz w:val="24"/>
        </w:rPr>
        <w:t xml:space="preserve">To Automate Academic Mentor Notifications: </w:t>
      </w:r>
      <w:r>
        <w:rPr>
          <w:rFonts w:ascii="Times New Roman" w:hAnsi="Times New Roman"/>
          <w:color w:val="000000"/>
          <w:sz w:val="24"/>
        </w:rPr>
        <w:t>Ensure continuous student supervision by automatically dispatching alerts to assigned mentors via WhatsApp, SMS, Email, and in-app feeds whenever a student completes a mock test, logs in for daily study, or finishes an entire subject.</w:t>
      </w:r>
    </w:p>
    <w:p>
      <w:pPr>
        <w:pStyle w:val="ListBullet"/>
        <w:spacing w:after="80" w:before="40" w:line="312" w:lineRule="auto"/>
        <w:ind w:left="720" w:hanging="360"/>
        <w:jc w:val="both"/>
      </w:pPr>
      <w:r>
        <w:rPr>
          <w:rFonts w:ascii="Times New Roman" w:hAnsi="Times New Roman"/>
          <w:b/>
          <w:color w:val="000000"/>
          <w:sz w:val="24"/>
        </w:rPr>
        <w:t xml:space="preserve">To Track Multi-Attempt Mock Analytics &amp; Streaks: </w:t>
      </w:r>
      <w:r>
        <w:rPr>
          <w:rFonts w:ascii="Times New Roman" w:hAnsi="Times New Roman"/>
          <w:color w:val="000000"/>
          <w:sz w:val="24"/>
        </w:rPr>
        <w:t>Capture test scores, maximum marks, attendance dates, and percentage progressions across repeated attempts, computing daily study streaks and performance trends.</w:t>
      </w:r>
    </w:p>
    <w:p>
      <w:pPr>
        <w:pStyle w:val="ListBullet"/>
        <w:spacing w:after="80" w:before="40" w:line="312" w:lineRule="auto"/>
        <w:ind w:left="720" w:hanging="360"/>
        <w:jc w:val="both"/>
      </w:pPr>
      <w:r>
        <w:rPr>
          <w:rFonts w:ascii="Times New Roman" w:hAnsi="Times New Roman"/>
          <w:b/>
          <w:color w:val="000000"/>
          <w:sz w:val="24"/>
        </w:rPr>
        <w:t xml:space="preserve">To Build a Circular Economy Resource Marketplace: </w:t>
      </w:r>
      <w:r>
        <w:rPr>
          <w:rFonts w:ascii="Times New Roman" w:hAnsi="Times New Roman"/>
          <w:color w:val="000000"/>
          <w:sz w:val="24"/>
        </w:rPr>
        <w:t>Allow students to purchase pre-owned verified reference books, list surplus study materials for resale, or donate physical textbooks to junior aspirants.</w:t>
      </w:r>
    </w:p>
    <w:p>
      <w:pPr>
        <w:pStyle w:val="ListBullet"/>
        <w:spacing w:after="80" w:before="40" w:line="312" w:lineRule="auto"/>
        <w:ind w:left="720" w:hanging="360"/>
        <w:jc w:val="both"/>
      </w:pPr>
      <w:r>
        <w:rPr>
          <w:rFonts w:ascii="Times New Roman" w:hAnsi="Times New Roman"/>
          <w:b/>
          <w:color w:val="000000"/>
          <w:sz w:val="24"/>
        </w:rPr>
        <w:t xml:space="preserve">To Streamline Doorstep Order Fulfillment: </w:t>
      </w:r>
      <w:r>
        <w:rPr>
          <w:rFonts w:ascii="Times New Roman" w:hAnsi="Times New Roman"/>
          <w:color w:val="000000"/>
          <w:sz w:val="24"/>
        </w:rPr>
        <w:t>Provide a dedicated delivery partner interface to accept orders, manage route dispatch, and confirm physical deliveries and donation pickups using mandatory 4-digit OTP verification.</w:t>
      </w:r>
    </w:p>
    <w:p>
      <w:pPr>
        <w:pStyle w:val="ListBullet"/>
        <w:spacing w:after="80" w:before="40" w:line="312" w:lineRule="auto"/>
        <w:ind w:left="720" w:hanging="360"/>
        <w:jc w:val="both"/>
      </w:pPr>
      <w:r>
        <w:rPr>
          <w:rFonts w:ascii="Times New Roman" w:hAnsi="Times New Roman"/>
          <w:b/>
          <w:color w:val="000000"/>
          <w:sz w:val="24"/>
        </w:rPr>
        <w:t xml:space="preserve">To Foster Peer Learning and AI Guidance: </w:t>
      </w:r>
      <w:r>
        <w:rPr>
          <w:rFonts w:ascii="Times New Roman" w:hAnsi="Times New Roman"/>
          <w:color w:val="000000"/>
          <w:sz w:val="24"/>
        </w:rPr>
        <w:t>Incorporate a student community discussion board with question upvoting and best-reply badges, complemented by a context-aware AI chatbot assisting students with study roadmaps.</w:t>
      </w:r>
    </w:p>
    <w:p>
      <w:pPr>
        <w:pStyle w:val="ListBullet"/>
        <w:spacing w:after="80" w:before="40" w:line="312" w:lineRule="auto"/>
        <w:ind w:left="720" w:hanging="360"/>
        <w:jc w:val="both"/>
      </w:pPr>
      <w:r>
        <w:rPr>
          <w:rFonts w:ascii="Times New Roman" w:hAnsi="Times New Roman"/>
          <w:b/>
          <w:color w:val="000000"/>
          <w:sz w:val="24"/>
        </w:rPr>
        <w:t xml:space="preserve">To Ensure Universal Accessibility &amp; Customization: </w:t>
      </w:r>
      <w:r>
        <w:rPr>
          <w:rFonts w:ascii="Times New Roman" w:hAnsi="Times New Roman"/>
          <w:color w:val="000000"/>
          <w:sz w:val="24"/>
        </w:rPr>
        <w:t>Enable complete visual customization for all user roles, allowing adjustments of button colors, text colors, background colors, dark/light themes, font scaling, and multi-language localization.</w:t>
      </w:r>
    </w:p>
    <w:p>
      <w:pPr>
        <w:pStyle w:val="ListBullet"/>
        <w:spacing w:after="80" w:before="40" w:line="312" w:lineRule="auto"/>
        <w:ind w:left="720" w:hanging="360"/>
        <w:jc w:val="both"/>
      </w:pPr>
      <w:r>
        <w:rPr>
          <w:rFonts w:ascii="Times New Roman" w:hAnsi="Times New Roman"/>
          <w:b/>
          <w:color w:val="000000"/>
          <w:sz w:val="24"/>
        </w:rPr>
        <w:t xml:space="preserve">To Support Continuous Deployment &amp; Cloud Hosting: </w:t>
      </w:r>
      <w:r>
        <w:rPr>
          <w:rFonts w:ascii="Times New Roman" w:hAnsi="Times New Roman"/>
          <w:color w:val="000000"/>
          <w:sz w:val="24"/>
        </w:rPr>
        <w:t>Containerize frontend and backend services using Docker, providing automated build triggers and single-service production deployment on cloud hosting platforms.</w:t>
      </w:r>
    </w:p>
    <w:p>
      <w:r>
        <w:br w:type="page"/>
      </w:r>
    </w:p>
    <w:p>
      <w:pPr>
        <w:spacing w:before="400" w:after="240" w:line="276" w:lineRule="auto"/>
        <w:jc w:val="center"/>
      </w:pPr>
      <w:r>
        <w:rPr>
          <w:rFonts w:ascii="Times New Roman" w:hAnsi="Times New Roman"/>
          <w:b/>
          <w:color w:val="000000"/>
          <w:sz w:val="32"/>
        </w:rPr>
        <w:t>CHAPTER 3</w:t>
        <w:br/>
        <w:t>DESCRIPTION &amp; ACCESS PERMISSION OF ROLES</w:t>
      </w:r>
    </w:p>
    <w:p>
      <w:pPr>
        <w:spacing w:after="120" w:before="0" w:line="360" w:lineRule="auto"/>
        <w:ind w:firstLine="720"/>
        <w:jc w:val="both"/>
      </w:pPr>
      <w:r>
        <w:rPr>
          <w:rFonts w:ascii="Times New Roman" w:hAnsi="Times New Roman"/>
          <w:color w:val="000000"/>
          <w:sz w:val="24"/>
        </w:rPr>
        <w:t>The Multi-Exam Preparation and Resource Exchange Platform is a full-stack web application developed to modernize examination preparation and academic resource circulation. The system provides role-based interfaces specifically tailored to Students, Academic Mentors, Delivery Partners, and System Administrators.</w:t>
      </w:r>
    </w:p>
    <w:p>
      <w:pPr>
        <w:spacing w:before="280" w:after="120" w:line="276" w:lineRule="auto"/>
        <w:ind w:left="720"/>
        <w:jc w:val="left"/>
      </w:pPr>
      <w:r>
        <w:rPr>
          <w:rFonts w:ascii="Times New Roman" w:hAnsi="Times New Roman"/>
          <w:b/>
          <w:color w:val="000000"/>
          <w:sz w:val="26"/>
        </w:rPr>
        <w:t>3.1 Functional Domains Overview</w:t>
      </w:r>
    </w:p>
    <w:p>
      <w:pPr>
        <w:spacing w:after="120" w:before="0" w:line="360" w:lineRule="auto"/>
        <w:ind w:firstLine="720"/>
        <w:jc w:val="both"/>
      </w:pPr>
      <w:r>
        <w:rPr>
          <w:rFonts w:ascii="Times New Roman" w:hAnsi="Times New Roman"/>
          <w:color w:val="000000"/>
          <w:sz w:val="24"/>
        </w:rPr>
        <w:t>1. Academic &amp; Syllabus Exploration: Manages comprehensive profiles for national competitive examinations (GATE CSE, UPSC, JEE, NEET, CAT). Decomposes curricula into hierarchical subjects and weightage-prioritized chapters (High, Medium, Low) without content omissions.</w:t>
        <w:br/>
        <w:t>2. Assessment &amp; Academic Mentorship: Records multi-attempt mock test evaluations, dynamic note-generated quizzes, and interactive flashcards. Dispatches real-time WhatsApp click-to-chat links, SMS messages, and emails directly to assigned mentors upon test completion or login.</w:t>
        <w:br/>
        <w:t>3. Circular Commerce &amp; Book Circulation: Peer-to-peer textbook resale, condition grading (New, Like New, Good, Fair), price filters, 100% free donation claiming, multi-tier checkout, and resale return policies.</w:t>
        <w:br/>
        <w:t>4. Doorstep Logistics Fulfillment: Consignment assignment, live tracking polling (10s updates), and mandatory 4-digit verification OTP confirmation for physical deliveries and donation pickups.</w:t>
        <w:br/>
        <w:t>5. System Administration &amp; Communication: Centralized administration of users, mentor allocation, syllabus management, and live multi-channel message dispatch from admin@examplatform.edu.</w:t>
      </w:r>
    </w:p>
    <w:p>
      <w:pPr>
        <w:spacing w:before="280" w:after="120" w:line="276" w:lineRule="auto"/>
        <w:ind w:left="720"/>
        <w:jc w:val="left"/>
      </w:pPr>
      <w:r>
        <w:rPr>
          <w:rFonts w:ascii="Times New Roman" w:hAnsi="Times New Roman"/>
          <w:b/>
          <w:color w:val="000000"/>
          <w:sz w:val="26"/>
        </w:rPr>
        <w:t>3.2 Access Permission of Roles</w:t>
      </w:r>
    </w:p>
    <w:p>
      <w:pPr>
        <w:spacing w:after="120" w:before="0" w:line="360" w:lineRule="auto"/>
        <w:ind w:firstLine="720"/>
        <w:jc w:val="both"/>
      </w:pPr>
      <w:r>
        <w:rPr>
          <w:rFonts w:ascii="Times New Roman" w:hAnsi="Times New Roman"/>
          <w:color w:val="000000"/>
          <w:sz w:val="24"/>
        </w:rPr>
        <w:t>To ensure robust data isolation, integrity, and security, the application enforces strict Role-Based Access Control (RBAC). JSON Web Tokens carry authenticated user role claims that are validated on every API request via authentication middleware and client-side ProtectedRoute route guards. The diagram below details the comprehensive access permission matrix across all four platform roles:</w:t>
      </w:r>
    </w:p>
    <w:p>
      <w:pPr>
        <w:spacing w:before="160" w:after="80"/>
        <w:jc w:val="center"/>
      </w:pPr>
      <w:r>
        <w:drawing>
          <wp:inline xmlns:a="http://schemas.openxmlformats.org/drawingml/2006/main" xmlns:pic="http://schemas.openxmlformats.org/drawingml/2006/picture">
            <wp:extent cx="5669280" cy="3534405"/>
            <wp:docPr id="1" name="Picture 1"/>
            <wp:cNvGraphicFramePr>
              <a:graphicFrameLocks noChangeAspect="1"/>
            </wp:cNvGraphicFramePr>
            <a:graphic>
              <a:graphicData uri="http://schemas.openxmlformats.org/drawingml/2006/picture">
                <pic:pic>
                  <pic:nvPicPr>
                    <pic:cNvPr id="0" name="access_permission_roles_bw.png"/>
                    <pic:cNvPicPr/>
                  </pic:nvPicPr>
                  <pic:blipFill>
                    <a:blip r:embed="rId9"/>
                    <a:stretch>
                      <a:fillRect/>
                    </a:stretch>
                  </pic:blipFill>
                  <pic:spPr>
                    <a:xfrm>
                      <a:off x="0" y="0"/>
                      <a:ext cx="5669280" cy="3534405"/>
                    </a:xfrm>
                    <a:prstGeom prst="rect"/>
                  </pic:spPr>
                </pic:pic>
              </a:graphicData>
            </a:graphic>
          </wp:inline>
        </w:drawing>
      </w:r>
    </w:p>
    <w:p>
      <w:pPr>
        <w:spacing w:before="40" w:after="280"/>
        <w:jc w:val="center"/>
      </w:pPr>
      <w:r>
        <w:rPr>
          <w:rFonts w:ascii="Times New Roman" w:hAnsi="Times New Roman"/>
          <w:b/>
          <w:i/>
          <w:color w:val="000000"/>
          <w:sz w:val="21"/>
        </w:rPr>
        <w:t>Fig 3.1: Access Permission of Roles and Security Authorization Matrix</w:t>
      </w:r>
    </w:p>
    <w:p>
      <w:pPr>
        <w:spacing w:after="120" w:before="0" w:line="360" w:lineRule="auto"/>
        <w:ind w:firstLine="720"/>
        <w:jc w:val="both"/>
      </w:pPr>
      <w:r>
        <w:rPr>
          <w:rFonts w:ascii="Times New Roman" w:hAnsi="Times New Roman"/>
          <w:color w:val="000000"/>
          <w:sz w:val="24"/>
        </w:rPr>
        <w:t>As illustrated in the authorization matrix, Students possess comprehensive permissions over learning roadmaps, mock tests, marketplace transactions, and community interactions. Academic Mentors are granted specialized supervisory privileges, enabling them to inspect assigned students' longitudinal study curves, receive automated WhatsApp alerts, and initiate direct guidance. Delivery Partners are restricted to logistics workflows, requiring client OTP input to verify handover. System Administrators retain full system governance with administrative access to user accounts, mentor assignments, catalog data, and multi-channel communication tools.</w:t>
      </w:r>
    </w:p>
    <w:p>
      <w:r>
        <w:br w:type="page"/>
      </w:r>
    </w:p>
    <w:p>
      <w:pPr>
        <w:spacing w:before="400" w:after="240" w:line="276" w:lineRule="auto"/>
        <w:jc w:val="center"/>
      </w:pPr>
      <w:r>
        <w:rPr>
          <w:rFonts w:ascii="Times New Roman" w:hAnsi="Times New Roman"/>
          <w:b/>
          <w:color w:val="000000"/>
          <w:sz w:val="32"/>
        </w:rPr>
        <w:t>CHAPTER 4</w:t>
        <w:br/>
        <w:t>CLASS DIAGRAM</w:t>
      </w:r>
    </w:p>
    <w:p>
      <w:pPr>
        <w:spacing w:after="120" w:before="0" w:line="360" w:lineRule="auto"/>
        <w:ind w:firstLine="720"/>
        <w:jc w:val="both"/>
      </w:pPr>
      <w:r>
        <w:rPr>
          <w:rFonts w:ascii="Times New Roman" w:hAnsi="Times New Roman"/>
          <w:color w:val="000000"/>
          <w:sz w:val="24"/>
        </w:rPr>
        <w:t>The UML class diagram models the object-oriented structure of the platform, specifying entity attributes, method signatures, inheritance structures, and inter-model associations across the academic and commerce domains. The User model acts as the foundational account entity, supporting specialized capabilities for Student, Mentor, Administrator, and Delivery Partner roles. Progress entities maintain dynamic mappings of topic completion states linked to hierarchical Exam definitions. Orders connect buyers, delivery partners, and marketplace products with strict encapsulation.</w:t>
      </w:r>
    </w:p>
    <w:p>
      <w:pPr>
        <w:spacing w:before="240" w:after="160"/>
        <w:jc w:val="center"/>
      </w:pPr>
      <w:r>
        <w:drawing>
          <wp:inline xmlns:a="http://schemas.openxmlformats.org/drawingml/2006/main" xmlns:pic="http://schemas.openxmlformats.org/drawingml/2006/picture">
            <wp:extent cx="5669280" cy="4103587"/>
            <wp:docPr id="2" name="Picture 2"/>
            <wp:cNvGraphicFramePr>
              <a:graphicFrameLocks noChangeAspect="1"/>
            </wp:cNvGraphicFramePr>
            <a:graphic>
              <a:graphicData uri="http://schemas.openxmlformats.org/drawingml/2006/picture">
                <pic:pic>
                  <pic:nvPicPr>
                    <pic:cNvPr id="0" name="class_diagram_bw.png"/>
                    <pic:cNvPicPr/>
                  </pic:nvPicPr>
                  <pic:blipFill>
                    <a:blip r:embed="rId10"/>
                    <a:stretch>
                      <a:fillRect/>
                    </a:stretch>
                  </pic:blipFill>
                  <pic:spPr>
                    <a:xfrm>
                      <a:off x="0" y="0"/>
                      <a:ext cx="5669280" cy="4103587"/>
                    </a:xfrm>
                    <a:prstGeom prst="rect"/>
                  </pic:spPr>
                </pic:pic>
              </a:graphicData>
            </a:graphic>
          </wp:inline>
        </w:drawing>
      </w:r>
    </w:p>
    <w:p>
      <w:pPr>
        <w:spacing w:after="360"/>
        <w:jc w:val="center"/>
      </w:pPr>
      <w:r>
        <w:rPr>
          <w:rFonts w:ascii="Times New Roman" w:hAnsi="Times New Roman"/>
          <w:b/>
          <w:i/>
          <w:sz w:val="22"/>
        </w:rPr>
        <w:t>Fig 4.1 UML Class Diagram (Academic Models, Mentorship &amp; Commerce)</w:t>
      </w:r>
    </w:p>
    <w:p>
      <w:r>
        <w:br w:type="page"/>
      </w:r>
    </w:p>
    <w:p>
      <w:pPr>
        <w:spacing w:before="400" w:after="240" w:line="276" w:lineRule="auto"/>
        <w:jc w:val="center"/>
      </w:pPr>
      <w:r>
        <w:rPr>
          <w:rFonts w:ascii="Times New Roman" w:hAnsi="Times New Roman"/>
          <w:b/>
          <w:color w:val="000000"/>
          <w:sz w:val="32"/>
        </w:rPr>
        <w:t>CHAPTER 5</w:t>
        <w:br/>
        <w:t>TABLE STRUCTURES / SCHEMA SPECIFICATIONS</w:t>
      </w:r>
    </w:p>
    <w:p>
      <w:pPr>
        <w:spacing w:after="120" w:before="0" w:line="360" w:lineRule="auto"/>
        <w:ind w:firstLine="720"/>
        <w:jc w:val="both"/>
      </w:pPr>
      <w:r>
        <w:rPr>
          <w:rFonts w:ascii="Times New Roman" w:hAnsi="Times New Roman"/>
          <w:color w:val="000000"/>
          <w:sz w:val="24"/>
        </w:rPr>
        <w:t>The platform persists structured entities in MongoDB collections governed by strictly validated Mongoose schemas. Primary keys are defined by unique ObjectIds and indexed alphanumeric identifiers. Below are the structural specifications of the operational collections:</w:t>
      </w:r>
    </w:p>
    <w:p>
      <w:pPr>
        <w:spacing w:before="200" w:after="80"/>
        <w:ind w:left="720"/>
      </w:pPr>
      <w:r>
        <w:rPr>
          <w:rFonts w:ascii="Times New Roman" w:hAnsi="Times New Roman"/>
          <w:b/>
          <w:color w:val="000000"/>
          <w:sz w:val="22"/>
        </w:rPr>
        <w:t>Table 5.1: Users Collection Schema (User Accounts &amp; Roles)</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none"/>
          <w:left w:val="none"/>
          <w:right w:val="none"/>
        </w:tblBorders>
      </w:tblPr>
      <w:tblGrid>
        <w:gridCol w:w="1445"/>
        <w:gridCol w:w="1445"/>
        <w:gridCol w:w="1445"/>
        <w:gridCol w:w="1445"/>
        <w:gridCol w:w="1445"/>
        <w:gridCol w:w="1445"/>
      </w:tblGrid>
      <w:tr>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Field</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Type</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Null</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Key / Index</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Default</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Description</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_id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ObjectId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PRI</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UUID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Unique document identifier</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name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String(120)</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Full user display name</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email</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UNI</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Unique email address for login</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password</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String(255)</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YES</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Salted bcrypt hash (select: false)</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role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Enum</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student</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student | mentor | admin | delivery</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studentId</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YES</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UNI (sparse)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Unique auto-generated student identifier</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phone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YES</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Contact telephone number</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whatsappNumber</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YES</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Phone number for WhatsApp alert dispatch</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mentor</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ObjectId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YES</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FK / MUL</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null</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Reference to assigned mentor user</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assignedStudents</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Array[ObjectId]</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YES</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MUL</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List of student IDs assigned to mentor</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targetExam</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YES</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GATE CSE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Primary goal competitive examination</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registeredExams</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Array[String]</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YES</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Slugs of actively enrolled exams</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authProvider</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Enum</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local</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local | google</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preferences</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SubDoc</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YES</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Theme, palette, font size, language</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createdAt / updatedAt</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Date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Date.now</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System auditing timestamps</w:t>
            </w:r>
          </w:p>
        </w:tc>
      </w:tr>
    </w:tbl>
    <w:p/>
    <w:p>
      <w:pPr>
        <w:spacing w:before="200" w:after="80"/>
        <w:ind w:left="720"/>
      </w:pPr>
      <w:r>
        <w:rPr>
          <w:rFonts w:ascii="Times New Roman" w:hAnsi="Times New Roman"/>
          <w:b/>
          <w:color w:val="000000"/>
          <w:sz w:val="22"/>
        </w:rPr>
        <w:t>Table 5.2: Exams Collection Schema (Examination Metadata)</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none"/>
          <w:left w:val="none"/>
          <w:right w:val="none"/>
        </w:tblBorders>
      </w:tblPr>
      <w:tblGrid>
        <w:gridCol w:w="1445"/>
        <w:gridCol w:w="1445"/>
        <w:gridCol w:w="1445"/>
        <w:gridCol w:w="1445"/>
        <w:gridCol w:w="1445"/>
        <w:gridCol w:w="1445"/>
      </w:tblGrid>
      <w:tr>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Field</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Type</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Null</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Key / Index</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Default</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Description</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_id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ObjectId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PRI</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UUID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Unique document identifier</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slug</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UNI</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URL-safe unique identifier (e.g. gate-cse)</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name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Full examination title</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category</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Discipline category (e.g. engineering)</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authority</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Conducting body or examination commission</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officialUrl</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Official examination authority portal link</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subjects</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Array[SubDoc]</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Embedded hierarchy of subjects &amp; chapters</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createdAt / updatedAt</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Date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Date.now</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Auditing timestamps</w:t>
            </w:r>
          </w:p>
        </w:tc>
      </w:tr>
    </w:tbl>
    <w:p/>
    <w:p>
      <w:pPr>
        <w:spacing w:before="200" w:after="80"/>
        <w:ind w:left="720"/>
      </w:pPr>
      <w:r>
        <w:rPr>
          <w:rFonts w:ascii="Times New Roman" w:hAnsi="Times New Roman"/>
          <w:b/>
          <w:color w:val="000000"/>
          <w:sz w:val="22"/>
        </w:rPr>
        <w:t>Table 5.3: Progress Collection Schema (Syllabus &amp; Streak Tracking)</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none"/>
          <w:left w:val="none"/>
          <w:right w:val="none"/>
        </w:tblBorders>
      </w:tblPr>
      <w:tblGrid>
        <w:gridCol w:w="1445"/>
        <w:gridCol w:w="1445"/>
        <w:gridCol w:w="1445"/>
        <w:gridCol w:w="1445"/>
        <w:gridCol w:w="1445"/>
        <w:gridCol w:w="1445"/>
      </w:tblGrid>
      <w:tr>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Field</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Type</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Null</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Key / Index</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Default</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Description</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_id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ObjectId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PRI</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UUID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Unique document identifier</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user</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ObjectId</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FK / MUL</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Reference to User account</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examSlug</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FK / MUL</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Reference to Exam slug</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topicStatus</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Map[String, Enum]</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Map of topicId -&gt; pending | in_progress | completed</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studyDays</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Array[String]</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YES</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ISO date strings (YYYY-MM-DD) for streak calculation</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currentStreak</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Number</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0</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Consecutive days active streak counter</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dailyLogs</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Array[SubDoc]</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YES</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Audit trail of topic updates and test scores</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createdAt / updatedAt</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Date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Date.now</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Record timestamps</w:t>
            </w:r>
          </w:p>
        </w:tc>
      </w:tr>
    </w:tbl>
    <w:p/>
    <w:p>
      <w:pPr>
        <w:spacing w:before="200" w:after="80"/>
        <w:ind w:left="720"/>
      </w:pPr>
      <w:r>
        <w:rPr>
          <w:rFonts w:ascii="Times New Roman" w:hAnsi="Times New Roman"/>
          <w:b/>
          <w:color w:val="000000"/>
          <w:sz w:val="22"/>
        </w:rPr>
        <w:t>Table 5.4: Mock Attempts Collection Schema (Test Evaluations)</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none"/>
          <w:left w:val="none"/>
          <w:right w:val="none"/>
        </w:tblBorders>
      </w:tblPr>
      <w:tblGrid>
        <w:gridCol w:w="1445"/>
        <w:gridCol w:w="1445"/>
        <w:gridCol w:w="1445"/>
        <w:gridCol w:w="1445"/>
        <w:gridCol w:w="1445"/>
        <w:gridCol w:w="1445"/>
      </w:tblGrid>
      <w:tr>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Field</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Type</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Null</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Key / Index</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Default</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Description</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_id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ObjectId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PRI</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UUID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Unique document identifier</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user</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ObjectId</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FK / MUL</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Reference to Student user</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examSlug</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MUL</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Associated examination slug</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subjectName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Name of subject tested</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chapterName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Name of chapter tested</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mockName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Mock test title or CBT identifier</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questionsAttended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Number</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0</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Total questions attempted</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marks</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Number</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0</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Marks obtained by student</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maxMarks</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Number</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100</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Maximum attainable marks</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attemptedAt</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Date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MUL</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Date.now</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Timestamp of test submission</w:t>
            </w:r>
          </w:p>
        </w:tc>
      </w:tr>
    </w:tbl>
    <w:p/>
    <w:p>
      <w:pPr>
        <w:spacing w:before="200" w:after="80"/>
        <w:ind w:left="720"/>
      </w:pPr>
      <w:r>
        <w:rPr>
          <w:rFonts w:ascii="Times New Roman" w:hAnsi="Times New Roman"/>
          <w:b/>
          <w:color w:val="000000"/>
          <w:sz w:val="22"/>
        </w:rPr>
        <w:t>Table 5.5: Products Collection Schema (Marketplace Resources)</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none"/>
          <w:left w:val="none"/>
          <w:right w:val="none"/>
        </w:tblBorders>
      </w:tblPr>
      <w:tblGrid>
        <w:gridCol w:w="1445"/>
        <w:gridCol w:w="1445"/>
        <w:gridCol w:w="1445"/>
        <w:gridCol w:w="1445"/>
        <w:gridCol w:w="1445"/>
        <w:gridCol w:w="1445"/>
      </w:tblGrid>
      <w:tr>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Field</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Type</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Null</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Key / Index</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Default</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Description</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_id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ObjectId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PRI</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UUID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Unique document identifier</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title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Book title or material description</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author</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YES</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Book author or publisher name</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category</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MUL</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Textbook | Notes | Solved Papers</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examSlug</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YES</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MUL</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Associated competitive exam</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price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Number(10,2)</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0.00</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Listing price in INR (0 for donations)</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condition</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Enum</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Good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New | Like New | Good | Fair</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isDonation</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Boolean</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MUL</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false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Flags 100% free community donations</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stock</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Number</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1</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Available inventory quantity</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seller</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ObjectId</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FK / MUL</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Reference to listing student</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status</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Enum</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available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available | sold | claimed</w:t>
            </w:r>
          </w:p>
        </w:tc>
      </w:tr>
    </w:tbl>
    <w:p/>
    <w:p>
      <w:pPr>
        <w:spacing w:before="200" w:after="80"/>
        <w:ind w:left="720"/>
      </w:pPr>
      <w:r>
        <w:rPr>
          <w:rFonts w:ascii="Times New Roman" w:hAnsi="Times New Roman"/>
          <w:b/>
          <w:color w:val="000000"/>
          <w:sz w:val="22"/>
        </w:rPr>
        <w:t>Table 5.6: Orders Collection Schema (Commerce Transactions)</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none"/>
          <w:left w:val="none"/>
          <w:right w:val="none"/>
        </w:tblBorders>
      </w:tblPr>
      <w:tblGrid>
        <w:gridCol w:w="1445"/>
        <w:gridCol w:w="1445"/>
        <w:gridCol w:w="1445"/>
        <w:gridCol w:w="1445"/>
        <w:gridCol w:w="1445"/>
        <w:gridCol w:w="1445"/>
      </w:tblGrid>
      <w:tr>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Field</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Type</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Null</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Key / Index</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Default</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Description</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_id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ObjectId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PRI</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UUID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Unique document identifier</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trackingId</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UNI</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Human-readable order tracking ID (TRK-XXXXXX)</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user</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ObjectId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FK / MUL</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Reference to purchasing Student</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items</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Array[SubDoc]</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Array of purchased products, price &amp; quantities</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totalAmount</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Number(10,2)</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0.00</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Total payable order amount</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paymentMethod</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Enum</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cod</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cod | upi | gpay | card | netbanking</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status</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Enum</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MUL</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Ordered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Ordered | Dispatched | In Transit | Out for Delivery | Delivered</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verificationOtp</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String(4)</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4-digit security OTP required for delivery</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deliveryAddress</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SubDoc</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Recipient address, city, pincode &amp; phone</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assignedPartner</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ObjectId</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YES</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FK / MUL</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null</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Reference to delivery partner account</w:t>
            </w:r>
          </w:p>
        </w:tc>
      </w:tr>
    </w:tbl>
    <w:p/>
    <w:p>
      <w:pPr>
        <w:spacing w:before="200" w:after="80"/>
        <w:ind w:left="720"/>
      </w:pPr>
      <w:r>
        <w:rPr>
          <w:rFonts w:ascii="Times New Roman" w:hAnsi="Times New Roman"/>
          <w:b/>
          <w:color w:val="000000"/>
          <w:sz w:val="22"/>
        </w:rPr>
        <w:t>Table 5.7: Communication Logs Collection Schema (Notification Dispatch)</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none"/>
          <w:left w:val="none"/>
          <w:right w:val="none"/>
        </w:tblBorders>
      </w:tblPr>
      <w:tblGrid>
        <w:gridCol w:w="1445"/>
        <w:gridCol w:w="1445"/>
        <w:gridCol w:w="1445"/>
        <w:gridCol w:w="1445"/>
        <w:gridCol w:w="1445"/>
        <w:gridCol w:w="1445"/>
      </w:tblGrid>
      <w:tr>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Field</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Type</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Null</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Key / Index</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Default</w:t>
            </w:r>
          </w:p>
        </w:tc>
        <w:tc>
          <w:tcPr>
            <w:tcW w:type="dxa" w:w="1445"/>
            <w:shd w:fill="EAEAEA"/>
            <w:tcMar>
              <w:top w:w="80" w:type="dxa"/>
              <w:bottom w:w="80" w:type="dxa"/>
              <w:left w:w="100" w:type="dxa"/>
              <w:right w:w="100" w:type="dxa"/>
            </w:tcMar>
          </w:tcPr>
          <w:p>
            <w:pPr>
              <w:jc w:val="center"/>
            </w:pPr>
            <w:r>
              <w:rPr>
                <w:rFonts w:ascii="Times New Roman" w:hAnsi="Times New Roman"/>
                <w:b/>
                <w:color w:val="000000"/>
                <w:sz w:val="20"/>
              </w:rPr>
              <w:t>Description</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_id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ObjectId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PRI</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UUID</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Unique document identifier</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user</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ObjectId</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YES</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FK / MUL</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null</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Recipient user reference</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channel</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Enum</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MUL</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whatsapp | sms | email | notification</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messageType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MUL</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mentor_mock_test_alert | mentor_subject_completed_alert</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recipient</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Destination phone number or email</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subject</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YES</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Subject header or brief title</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content</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Full dispatched message body with WhatsApp link</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status</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Enum</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MUL</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pending</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delivered | pending | failed</w:t>
            </w:r>
          </w:p>
        </w:tc>
      </w:tr>
      <w:tr>
        <w:tc>
          <w:tcPr>
            <w:tcW w:type="dxa" w:w="1445"/>
            <w:shd w:fill="FFFFFF"/>
            <w:tcMar>
              <w:top w:w="60" w:type="dxa"/>
              <w:bottom w:w="60" w:type="dxa"/>
              <w:left w:w="100" w:type="dxa"/>
              <w:right w:w="100" w:type="dxa"/>
            </w:tcMar>
          </w:tcPr>
          <w:p>
            <w:pPr>
              <w:jc w:val="center"/>
            </w:pPr>
            <w:r>
              <w:rPr>
                <w:rFonts w:ascii="Times New Roman" w:hAnsi="Times New Roman"/>
                <w:color w:val="000000"/>
                <w:sz w:val="19"/>
              </w:rPr>
              <w:t>provider</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String</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YES</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None</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w:t>
            </w:r>
          </w:p>
        </w:tc>
        <w:tc>
          <w:tcPr>
            <w:tcW w:type="dxa" w:w="1445"/>
            <w:shd w:fill="FFFFFF"/>
            <w:tcMar>
              <w:top w:w="60" w:type="dxa"/>
              <w:bottom w:w="60" w:type="dxa"/>
              <w:left w:w="100" w:type="dxa"/>
              <w:right w:w="100" w:type="dxa"/>
            </w:tcMar>
          </w:tcPr>
          <w:p>
            <w:pPr>
              <w:jc w:val="left"/>
            </w:pPr>
            <w:r>
              <w:rPr>
                <w:rFonts w:ascii="Times New Roman" w:hAnsi="Times New Roman"/>
                <w:color w:val="000000"/>
                <w:sz w:val="19"/>
              </w:rPr>
              <w:t>Gateway used (WhatsApp Cloud API, Ethereal, SMS)</w:t>
            </w:r>
          </w:p>
        </w:tc>
      </w:tr>
      <w:tr>
        <w:tc>
          <w:tcPr>
            <w:tcW w:type="dxa" w:w="1445"/>
            <w:shd w:fill="F9F9F9"/>
            <w:tcMar>
              <w:top w:w="60" w:type="dxa"/>
              <w:bottom w:w="60" w:type="dxa"/>
              <w:left w:w="100" w:type="dxa"/>
              <w:right w:w="100" w:type="dxa"/>
            </w:tcMar>
          </w:tcPr>
          <w:p>
            <w:pPr>
              <w:jc w:val="center"/>
            </w:pPr>
            <w:r>
              <w:rPr>
                <w:rFonts w:ascii="Times New Roman" w:hAnsi="Times New Roman"/>
                <w:color w:val="000000"/>
                <w:sz w:val="19"/>
              </w:rPr>
              <w:t>timestamp</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Date</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NO</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MUL</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Date.now</w:t>
            </w:r>
          </w:p>
        </w:tc>
        <w:tc>
          <w:tcPr>
            <w:tcW w:type="dxa" w:w="1445"/>
            <w:shd w:fill="F9F9F9"/>
            <w:tcMar>
              <w:top w:w="60" w:type="dxa"/>
              <w:bottom w:w="60" w:type="dxa"/>
              <w:left w:w="100" w:type="dxa"/>
              <w:right w:w="100" w:type="dxa"/>
            </w:tcMar>
          </w:tcPr>
          <w:p>
            <w:pPr>
              <w:jc w:val="left"/>
            </w:pPr>
            <w:r>
              <w:rPr>
                <w:rFonts w:ascii="Times New Roman" w:hAnsi="Times New Roman"/>
                <w:color w:val="000000"/>
                <w:sz w:val="19"/>
              </w:rPr>
              <w:t>Message dispatch timestamp</w:t>
            </w:r>
          </w:p>
        </w:tc>
      </w:tr>
    </w:tbl>
    <w:p/>
    <w:p>
      <w:r>
        <w:br w:type="page"/>
      </w:r>
    </w:p>
    <w:p>
      <w:pPr>
        <w:spacing w:before="400" w:after="240" w:line="276" w:lineRule="auto"/>
        <w:jc w:val="center"/>
      </w:pPr>
      <w:r>
        <w:rPr>
          <w:rFonts w:ascii="Times New Roman" w:hAnsi="Times New Roman"/>
          <w:b/>
          <w:color w:val="000000"/>
          <w:sz w:val="32"/>
        </w:rPr>
        <w:t>CHAPTER 6</w:t>
        <w:br/>
        <w:t>ER DIAGRAM</w:t>
      </w:r>
    </w:p>
    <w:p>
      <w:pPr>
        <w:spacing w:after="120" w:before="0" w:line="360" w:lineRule="auto"/>
        <w:ind w:firstLine="720"/>
        <w:jc w:val="both"/>
      </w:pPr>
      <w:r>
        <w:rPr>
          <w:rFonts w:ascii="Times New Roman" w:hAnsi="Times New Roman"/>
          <w:color w:val="000000"/>
          <w:sz w:val="24"/>
        </w:rPr>
        <w:t>The Entity-Relationship (ER) diagram models data semantics and relationship constraints between persistent collections. The central USER entity maintains role-based linkages: Students generate Progress documents across registered Exam entities, submit Mock Attempts, and place Orders for Marketplace Products. Academic Mentors are directly linked to Students through a 1:N mentoring association, receiving real-time Communication Logs. Orders maintain parent-child references with Order Items and assigned Delivery Partners, enforcing strict referential integrity.</w:t>
      </w:r>
    </w:p>
    <w:p>
      <w:pPr>
        <w:spacing w:before="240" w:after="160"/>
        <w:jc w:val="center"/>
      </w:pPr>
      <w:r>
        <w:drawing>
          <wp:inline xmlns:a="http://schemas.openxmlformats.org/drawingml/2006/main" xmlns:pic="http://schemas.openxmlformats.org/drawingml/2006/picture">
            <wp:extent cx="5669280" cy="4134704"/>
            <wp:docPr id="3" name="Picture 3"/>
            <wp:cNvGraphicFramePr>
              <a:graphicFrameLocks noChangeAspect="1"/>
            </wp:cNvGraphicFramePr>
            <a:graphic>
              <a:graphicData uri="http://schemas.openxmlformats.org/drawingml/2006/picture">
                <pic:pic>
                  <pic:nvPicPr>
                    <pic:cNvPr id="0" name="er_diagram_bw.png"/>
                    <pic:cNvPicPr/>
                  </pic:nvPicPr>
                  <pic:blipFill>
                    <a:blip r:embed="rId11"/>
                    <a:stretch>
                      <a:fillRect/>
                    </a:stretch>
                  </pic:blipFill>
                  <pic:spPr>
                    <a:xfrm>
                      <a:off x="0" y="0"/>
                      <a:ext cx="5669280" cy="4134704"/>
                    </a:xfrm>
                    <a:prstGeom prst="rect"/>
                  </pic:spPr>
                </pic:pic>
              </a:graphicData>
            </a:graphic>
          </wp:inline>
        </w:drawing>
      </w:r>
    </w:p>
    <w:p>
      <w:pPr>
        <w:spacing w:after="360"/>
        <w:jc w:val="center"/>
      </w:pPr>
      <w:r>
        <w:rPr>
          <w:rFonts w:ascii="Times New Roman" w:hAnsi="Times New Roman"/>
          <w:b/>
          <w:i/>
          <w:sz w:val="22"/>
        </w:rPr>
        <w:t>Fig 6.1 Entity-Relationship Diagram (Academic, Mentorship &amp; Logistics Schema)</w:t>
      </w:r>
    </w:p>
    <w:p>
      <w:r>
        <w:br w:type="page"/>
      </w:r>
    </w:p>
    <w:p>
      <w:pPr>
        <w:spacing w:before="400" w:after="240" w:line="276" w:lineRule="auto"/>
        <w:jc w:val="center"/>
      </w:pPr>
      <w:r>
        <w:rPr>
          <w:rFonts w:ascii="Times New Roman" w:hAnsi="Times New Roman"/>
          <w:b/>
          <w:color w:val="000000"/>
          <w:sz w:val="32"/>
        </w:rPr>
        <w:t>CHAPTER 7</w:t>
        <w:br/>
        <w:t>TECH STACK &amp; ARCHITECTURE OVERVIEW</w:t>
      </w:r>
    </w:p>
    <w:p>
      <w:pPr>
        <w:spacing w:before="280" w:after="120" w:line="276" w:lineRule="auto"/>
        <w:ind w:left="720"/>
        <w:jc w:val="left"/>
      </w:pPr>
      <w:r>
        <w:rPr>
          <w:rFonts w:ascii="Times New Roman" w:hAnsi="Times New Roman"/>
          <w:b/>
          <w:color w:val="000000"/>
          <w:sz w:val="26"/>
        </w:rPr>
        <w:t>7.1 Tech Stack</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none"/>
          <w:left w:val="none"/>
          <w:right w:val="none"/>
        </w:tblBorders>
      </w:tblPr>
      <w:tblGrid>
        <w:gridCol w:w="2890"/>
        <w:gridCol w:w="2890"/>
        <w:gridCol w:w="2890"/>
      </w:tblGrid>
      <w:tr>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Layer</w:t>
            </w:r>
          </w:p>
        </w:tc>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Technology</w:t>
            </w:r>
          </w:p>
        </w:tc>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Purpose &amp; Architectural Role</w:t>
            </w:r>
          </w:p>
        </w:tc>
      </w:tr>
      <w:tr>
        <w:tc>
          <w:tcPr>
            <w:tcW w:type="dxa" w:w="2890"/>
            <w:shd w:fill="FFFFFF"/>
            <w:tcMar>
              <w:top w:w="60" w:type="dxa"/>
              <w:bottom w:w="60" w:type="dxa"/>
              <w:left w:w="100" w:type="dxa"/>
              <w:right w:w="100" w:type="dxa"/>
            </w:tcMar>
          </w:tcPr>
          <w:p>
            <w:pPr>
              <w:jc w:val="left"/>
            </w:pPr>
            <w:r>
              <w:rPr>
                <w:rFonts w:ascii="Times New Roman" w:hAnsi="Times New Roman"/>
                <w:color w:val="000000"/>
                <w:sz w:val="19"/>
              </w:rPr>
              <w:t>Frontend</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React.js 18 + Vite</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High-performance Single-Page Application (SPA) with fast modular hot-reload.</w:t>
            </w:r>
          </w:p>
        </w:tc>
      </w:tr>
      <w:tr>
        <w:tc>
          <w:tcPr>
            <w:tcW w:type="dxa" w:w="2890"/>
            <w:shd w:fill="F9F9F9"/>
            <w:tcMar>
              <w:top w:w="60" w:type="dxa"/>
              <w:bottom w:w="60" w:type="dxa"/>
              <w:left w:w="100" w:type="dxa"/>
              <w:right w:w="100" w:type="dxa"/>
            </w:tcMar>
          </w:tcPr>
          <w:p>
            <w:pPr>
              <w:jc w:val="left"/>
            </w:pPr>
            <w:r>
              <w:rPr>
                <w:rFonts w:ascii="Times New Roman" w:hAnsi="Times New Roman"/>
                <w:color w:val="000000"/>
                <w:sz w:val="19"/>
              </w:rPr>
              <w:t>Routing &amp; Guards</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React Router DOM v6</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Declarative client-side routing with role-based ProtectedRoute boundaries.</w:t>
            </w:r>
          </w:p>
        </w:tc>
      </w:tr>
      <w:tr>
        <w:tc>
          <w:tcPr>
            <w:tcW w:type="dxa" w:w="2890"/>
            <w:shd w:fill="FFFFFF"/>
            <w:tcMar>
              <w:top w:w="60" w:type="dxa"/>
              <w:bottom w:w="60" w:type="dxa"/>
              <w:left w:w="100" w:type="dxa"/>
              <w:right w:w="100" w:type="dxa"/>
            </w:tcMar>
          </w:tcPr>
          <w:p>
            <w:pPr>
              <w:jc w:val="left"/>
            </w:pPr>
            <w:r>
              <w:rPr>
                <w:rFonts w:ascii="Times New Roman" w:hAnsi="Times New Roman"/>
                <w:color w:val="000000"/>
                <w:sz w:val="19"/>
              </w:rPr>
              <w:t>State &amp; Client Store</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Context API + LocalStorage</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Authentication session, linguistic localization, and persistent shopping cart.</w:t>
            </w:r>
          </w:p>
        </w:tc>
      </w:tr>
      <w:tr>
        <w:tc>
          <w:tcPr>
            <w:tcW w:type="dxa" w:w="2890"/>
            <w:shd w:fill="F9F9F9"/>
            <w:tcMar>
              <w:top w:w="60" w:type="dxa"/>
              <w:bottom w:w="60" w:type="dxa"/>
              <w:left w:w="100" w:type="dxa"/>
              <w:right w:w="100" w:type="dxa"/>
            </w:tcMar>
          </w:tcPr>
          <w:p>
            <w:pPr>
              <w:jc w:val="left"/>
            </w:pPr>
            <w:r>
              <w:rPr>
                <w:rFonts w:ascii="Times New Roman" w:hAnsi="Times New Roman"/>
                <w:color w:val="000000"/>
                <w:sz w:val="19"/>
              </w:rPr>
              <w:t>Styling &amp; 3D Engine</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CSS3 Variables + Three.js</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Responsive layout system with hardware-accelerated 3D login background canvas.</w:t>
            </w:r>
          </w:p>
        </w:tc>
      </w:tr>
      <w:tr>
        <w:tc>
          <w:tcPr>
            <w:tcW w:type="dxa" w:w="2890"/>
            <w:shd w:fill="FFFFFF"/>
            <w:tcMar>
              <w:top w:w="60" w:type="dxa"/>
              <w:bottom w:w="60" w:type="dxa"/>
              <w:left w:w="100" w:type="dxa"/>
              <w:right w:w="100" w:type="dxa"/>
            </w:tcMar>
          </w:tcPr>
          <w:p>
            <w:pPr>
              <w:jc w:val="left"/>
            </w:pPr>
            <w:r>
              <w:rPr>
                <w:rFonts w:ascii="Times New Roman" w:hAnsi="Times New Roman"/>
                <w:color w:val="000000"/>
                <w:sz w:val="19"/>
              </w:rPr>
              <w:t>Backend Runtime</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Node.js (ES Modules) + Express</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RESTful API server coordinating route handlers and asynchronous middleware.</w:t>
            </w:r>
          </w:p>
        </w:tc>
      </w:tr>
      <w:tr>
        <w:tc>
          <w:tcPr>
            <w:tcW w:type="dxa" w:w="2890"/>
            <w:shd w:fill="F9F9F9"/>
            <w:tcMar>
              <w:top w:w="60" w:type="dxa"/>
              <w:bottom w:w="60" w:type="dxa"/>
              <w:left w:w="100" w:type="dxa"/>
              <w:right w:w="100" w:type="dxa"/>
            </w:tcMar>
          </w:tcPr>
          <w:p>
            <w:pPr>
              <w:jc w:val="left"/>
            </w:pPr>
            <w:r>
              <w:rPr>
                <w:rFonts w:ascii="Times New Roman" w:hAnsi="Times New Roman"/>
                <w:color w:val="000000"/>
                <w:sz w:val="19"/>
              </w:rPr>
              <w:t>Database &amp; ODM</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MongoDB + Mongoose ODM</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Document persistence with indexing, schema validation, and lifecycle hooks.</w:t>
            </w:r>
          </w:p>
        </w:tc>
      </w:tr>
      <w:tr>
        <w:tc>
          <w:tcPr>
            <w:tcW w:type="dxa" w:w="2890"/>
            <w:shd w:fill="FFFFFF"/>
            <w:tcMar>
              <w:top w:w="60" w:type="dxa"/>
              <w:bottom w:w="60" w:type="dxa"/>
              <w:left w:w="100" w:type="dxa"/>
              <w:right w:w="100" w:type="dxa"/>
            </w:tcMar>
          </w:tcPr>
          <w:p>
            <w:pPr>
              <w:jc w:val="left"/>
            </w:pPr>
            <w:r>
              <w:rPr>
                <w:rFonts w:ascii="Times New Roman" w:hAnsi="Times New Roman"/>
                <w:color w:val="000000"/>
                <w:sz w:val="19"/>
              </w:rPr>
              <w:t>Security &amp; Token Auth</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JWT + bcryptjs + Google OAuth</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Stateless bearer token authentication, salted cryptographic password hashing, and Google OAuth 2.0.</w:t>
            </w:r>
          </w:p>
        </w:tc>
      </w:tr>
      <w:tr>
        <w:tc>
          <w:tcPr>
            <w:tcW w:type="dxa" w:w="2890"/>
            <w:shd w:fill="F9F9F9"/>
            <w:tcMar>
              <w:top w:w="60" w:type="dxa"/>
              <w:bottom w:w="60" w:type="dxa"/>
              <w:left w:w="100" w:type="dxa"/>
              <w:right w:w="100" w:type="dxa"/>
            </w:tcMar>
          </w:tcPr>
          <w:p>
            <w:pPr>
              <w:jc w:val="left"/>
            </w:pPr>
            <w:r>
              <w:rPr>
                <w:rFonts w:ascii="Times New Roman" w:hAnsi="Times New Roman"/>
                <w:color w:val="000000"/>
                <w:sz w:val="19"/>
              </w:rPr>
              <w:t>Notification Gateway</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WhatsApp Click-to-Chat + Nodemailer</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Multi-channel notification dispatch for academic mentors and order updates.</w:t>
            </w:r>
          </w:p>
        </w:tc>
      </w:tr>
      <w:tr>
        <w:tc>
          <w:tcPr>
            <w:tcW w:type="dxa" w:w="2890"/>
            <w:shd w:fill="FFFFFF"/>
            <w:tcMar>
              <w:top w:w="60" w:type="dxa"/>
              <w:bottom w:w="60" w:type="dxa"/>
              <w:left w:w="100" w:type="dxa"/>
              <w:right w:w="100" w:type="dxa"/>
            </w:tcMar>
          </w:tcPr>
          <w:p>
            <w:pPr>
              <w:jc w:val="left"/>
            </w:pPr>
            <w:r>
              <w:rPr>
                <w:rFonts w:ascii="Times New Roman" w:hAnsi="Times New Roman"/>
                <w:color w:val="000000"/>
                <w:sz w:val="19"/>
              </w:rPr>
              <w:t>Traffic Hardening</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CORS + Rate Limiter Middleware</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Request throttling (180 req/min) and HTTP header defense against scraping.</w:t>
            </w:r>
          </w:p>
        </w:tc>
      </w:tr>
      <w:tr>
        <w:tc>
          <w:tcPr>
            <w:tcW w:type="dxa" w:w="2890"/>
            <w:shd w:fill="F9F9F9"/>
            <w:tcMar>
              <w:top w:w="60" w:type="dxa"/>
              <w:bottom w:w="60" w:type="dxa"/>
              <w:left w:w="100" w:type="dxa"/>
              <w:right w:w="100" w:type="dxa"/>
            </w:tcMar>
          </w:tcPr>
          <w:p>
            <w:pPr>
              <w:jc w:val="left"/>
            </w:pPr>
            <w:r>
              <w:rPr>
                <w:rFonts w:ascii="Times New Roman" w:hAnsi="Times New Roman"/>
                <w:color w:val="000000"/>
                <w:sz w:val="19"/>
              </w:rPr>
              <w:t>CI/CD Automation</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Docker + Cloud Web Service</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Containerized application packaging and production cloud web service deployment.</w:t>
            </w:r>
          </w:p>
        </w:tc>
      </w:tr>
    </w:tbl>
    <w:p/>
    <w:p>
      <w:pPr>
        <w:spacing w:before="280" w:after="120" w:line="276" w:lineRule="auto"/>
        <w:ind w:left="720"/>
        <w:jc w:val="left"/>
      </w:pPr>
      <w:r>
        <w:rPr>
          <w:rFonts w:ascii="Times New Roman" w:hAnsi="Times New Roman"/>
          <w:b/>
          <w:color w:val="000000"/>
          <w:sz w:val="26"/>
        </w:rPr>
        <w:t>7.2 Architecture Overview</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none"/>
          <w:left w:val="none"/>
          <w:right w:val="none"/>
        </w:tblBorders>
      </w:tblPr>
      <w:tblGrid>
        <w:gridCol w:w="2890"/>
        <w:gridCol w:w="2890"/>
        <w:gridCol w:w="2890"/>
      </w:tblGrid>
      <w:tr>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Layer</w:t>
            </w:r>
          </w:p>
        </w:tc>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Technology</w:t>
            </w:r>
          </w:p>
        </w:tc>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Purpose</w:t>
            </w:r>
          </w:p>
        </w:tc>
      </w:tr>
      <w:tr>
        <w:tc>
          <w:tcPr>
            <w:tcW w:type="dxa" w:w="2890"/>
            <w:shd w:fill="FFFFFF"/>
            <w:tcMar>
              <w:top w:w="60" w:type="dxa"/>
              <w:bottom w:w="60" w:type="dxa"/>
              <w:left w:w="100" w:type="dxa"/>
              <w:right w:w="100" w:type="dxa"/>
            </w:tcMar>
          </w:tcPr>
          <w:p>
            <w:pPr>
              <w:jc w:val="left"/>
            </w:pPr>
            <w:r>
              <w:rPr>
                <w:rFonts w:ascii="Times New Roman" w:hAnsi="Times New Roman"/>
                <w:color w:val="000000"/>
                <w:sz w:val="19"/>
              </w:rPr>
              <w:t>Model</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Mongoose ODM + MongoDB</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Defines schema rules, handles index lookups, manages document relationships and data sanitization.</w:t>
            </w:r>
          </w:p>
        </w:tc>
      </w:tr>
      <w:tr>
        <w:tc>
          <w:tcPr>
            <w:tcW w:type="dxa" w:w="2890"/>
            <w:shd w:fill="F9F9F9"/>
            <w:tcMar>
              <w:top w:w="60" w:type="dxa"/>
              <w:bottom w:w="60" w:type="dxa"/>
              <w:left w:w="100" w:type="dxa"/>
              <w:right w:w="100" w:type="dxa"/>
            </w:tcMar>
          </w:tcPr>
          <w:p>
            <w:pPr>
              <w:jc w:val="left"/>
            </w:pPr>
            <w:r>
              <w:rPr>
                <w:rFonts w:ascii="Times New Roman" w:hAnsi="Times New Roman"/>
                <w:color w:val="000000"/>
                <w:sz w:val="19"/>
              </w:rPr>
              <w:t>View</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React.js + Context API</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Renders the UI, manages component state, captures input events, and communicates via fetch/Axios.</w:t>
            </w:r>
          </w:p>
        </w:tc>
      </w:tr>
      <w:tr>
        <w:tc>
          <w:tcPr>
            <w:tcW w:type="dxa" w:w="2890"/>
            <w:shd w:fill="FFFFFF"/>
            <w:tcMar>
              <w:top w:w="60" w:type="dxa"/>
              <w:bottom w:w="60" w:type="dxa"/>
              <w:left w:w="100" w:type="dxa"/>
              <w:right w:w="100" w:type="dxa"/>
            </w:tcMar>
          </w:tcPr>
          <w:p>
            <w:pPr>
              <w:jc w:val="left"/>
            </w:pPr>
            <w:r>
              <w:rPr>
                <w:rFonts w:ascii="Times New Roman" w:hAnsi="Times New Roman"/>
                <w:color w:val="000000"/>
                <w:sz w:val="19"/>
              </w:rPr>
              <w:t>Controller</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Node.js + Express Controllers</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Receives HTTP requests, validates payloads, enforces role authorization, and coordinates DB operations.</w:t>
            </w:r>
          </w:p>
        </w:tc>
      </w:tr>
    </w:tbl>
    <w:p/>
    <w:p>
      <w:r>
        <w:br w:type="page"/>
      </w:r>
    </w:p>
    <w:p>
      <w:pPr>
        <w:spacing w:before="400" w:after="240" w:line="276" w:lineRule="auto"/>
        <w:jc w:val="center"/>
      </w:pPr>
      <w:r>
        <w:rPr>
          <w:rFonts w:ascii="Times New Roman" w:hAnsi="Times New Roman"/>
          <w:b/>
          <w:color w:val="000000"/>
          <w:sz w:val="32"/>
        </w:rPr>
        <w:t>CHAPTER 8</w:t>
        <w:br/>
        <w:t>MODULES</w:t>
      </w:r>
    </w:p>
    <w:p>
      <w:pPr>
        <w:spacing w:before="280" w:after="120" w:line="276" w:lineRule="auto"/>
        <w:ind w:left="720"/>
        <w:jc w:val="left"/>
      </w:pPr>
      <w:r>
        <w:rPr>
          <w:rFonts w:ascii="Times New Roman" w:hAnsi="Times New Roman"/>
          <w:b/>
          <w:color w:val="000000"/>
          <w:sz w:val="26"/>
        </w:rPr>
        <w:t>8.1 Project Structure &amp; Workspace Organization</w:t>
      </w:r>
    </w:p>
    <w:p>
      <w:pPr>
        <w:spacing w:after="120" w:before="0" w:line="360" w:lineRule="auto"/>
        <w:ind w:firstLine="720"/>
        <w:jc w:val="both"/>
      </w:pPr>
      <w:r>
        <w:rPr>
          <w:rFonts w:ascii="Times New Roman" w:hAnsi="Times New Roman"/>
          <w:color w:val="000000"/>
          <w:sz w:val="24"/>
        </w:rPr>
        <w:t>The project follows a clean, decoupled full-stack architectural directory structure organized into root orchestration, backend service tier, and frontend single-page application sub-systems:</w:t>
      </w:r>
    </w:p>
    <w:p>
      <w:pPr>
        <w:spacing w:before="200" w:after="80" w:line="276" w:lineRule="auto"/>
        <w:ind w:left="720"/>
        <w:jc w:val="left"/>
      </w:pPr>
      <w:r>
        <w:rPr>
          <w:rFonts w:ascii="Times New Roman" w:hAnsi="Times New Roman"/>
          <w:b/>
          <w:i/>
          <w:color w:val="000000"/>
          <w:sz w:val="24"/>
        </w:rPr>
        <w:t>8.1.1 Backend Sub-System Organization (/backend)</w:t>
      </w:r>
    </w:p>
    <w:p>
      <w:pPr>
        <w:spacing w:after="120" w:before="0" w:line="360" w:lineRule="auto"/>
        <w:ind w:firstLine="720"/>
        <w:jc w:val="both"/>
      </w:pPr>
      <w:r>
        <w:rPr>
          <w:rFonts w:ascii="Times New Roman" w:hAnsi="Times New Roman"/>
          <w:color w:val="000000"/>
          <w:sz w:val="24"/>
        </w:rPr>
        <w:t>The backend server is architected following the MVC design pattern with distinct separation between routing, controllers, models, and background services:</w:t>
      </w:r>
    </w:p>
    <w:p>
      <w:pPr>
        <w:pStyle w:val="ListBullet"/>
        <w:spacing w:after="80" w:before="40" w:line="312" w:lineRule="auto"/>
        <w:ind w:left="720" w:hanging="360"/>
        <w:jc w:val="both"/>
      </w:pPr>
      <w:r>
        <w:rPr>
          <w:rFonts w:ascii="Times New Roman" w:hAnsi="Times New Roman"/>
          <w:b/>
          <w:color w:val="000000"/>
          <w:sz w:val="24"/>
        </w:rPr>
        <w:t xml:space="preserve">server.js: </w:t>
      </w:r>
      <w:r>
        <w:rPr>
          <w:rFonts w:ascii="Times New Roman" w:hAnsi="Times New Roman"/>
          <w:color w:val="000000"/>
          <w:sz w:val="24"/>
        </w:rPr>
        <w:t>Main entry point initializing Express, CORS, security middleware, MongoDB connection, API route mounts, and production static file serving.</w:t>
      </w:r>
    </w:p>
    <w:p>
      <w:pPr>
        <w:pStyle w:val="ListBullet"/>
        <w:spacing w:after="80" w:before="40" w:line="312" w:lineRule="auto"/>
        <w:ind w:left="720" w:hanging="360"/>
        <w:jc w:val="both"/>
      </w:pPr>
      <w:r>
        <w:rPr>
          <w:rFonts w:ascii="Times New Roman" w:hAnsi="Times New Roman"/>
          <w:b/>
          <w:color w:val="000000"/>
          <w:sz w:val="24"/>
        </w:rPr>
        <w:t xml:space="preserve">config/db.js: </w:t>
      </w:r>
      <w:r>
        <w:rPr>
          <w:rFonts w:ascii="Times New Roman" w:hAnsi="Times New Roman"/>
          <w:color w:val="000000"/>
          <w:sz w:val="24"/>
        </w:rPr>
        <w:t>Establishes resilient Mongoose connection to MongoDB Atlas with auto-reconnect logic and graceful connection teardown.</w:t>
      </w:r>
    </w:p>
    <w:p>
      <w:pPr>
        <w:pStyle w:val="ListBullet"/>
        <w:spacing w:after="80" w:before="40" w:line="312" w:lineRule="auto"/>
        <w:ind w:left="720" w:hanging="360"/>
        <w:jc w:val="both"/>
      </w:pPr>
      <w:r>
        <w:rPr>
          <w:rFonts w:ascii="Times New Roman" w:hAnsi="Times New Roman"/>
          <w:b/>
          <w:color w:val="000000"/>
          <w:sz w:val="24"/>
        </w:rPr>
        <w:t xml:space="preserve">controllers/: </w:t>
      </w:r>
      <w:r>
        <w:rPr>
          <w:rFonts w:ascii="Times New Roman" w:hAnsi="Times New Roman"/>
          <w:color w:val="000000"/>
          <w:sz w:val="24"/>
        </w:rPr>
        <w:t>Contains 18 modular business controllers including authController.js, examController.js, progressController.js, mentorController.js, marketplaceController.js, orderController.js, and adminController.js.</w:t>
      </w:r>
    </w:p>
    <w:p>
      <w:pPr>
        <w:pStyle w:val="ListBullet"/>
        <w:spacing w:after="80" w:before="40" w:line="312" w:lineRule="auto"/>
        <w:ind w:left="720" w:hanging="360"/>
        <w:jc w:val="both"/>
      </w:pPr>
      <w:r>
        <w:rPr>
          <w:rFonts w:ascii="Times New Roman" w:hAnsi="Times New Roman"/>
          <w:b/>
          <w:color w:val="000000"/>
          <w:sz w:val="24"/>
        </w:rPr>
        <w:t xml:space="preserve">models/: </w:t>
      </w:r>
      <w:r>
        <w:rPr>
          <w:rFonts w:ascii="Times New Roman" w:hAnsi="Times New Roman"/>
          <w:color w:val="000000"/>
          <w:sz w:val="24"/>
        </w:rPr>
        <w:t>Defines strictly validated Mongoose schemas (User.js, Exam.js, Progress.js, MockAttempt.js, Notification.js, CommunicationLog.js, catalogModels.js, commerceModels.js).</w:t>
      </w:r>
    </w:p>
    <w:p>
      <w:pPr>
        <w:pStyle w:val="ListBullet"/>
        <w:spacing w:after="80" w:before="40" w:line="312" w:lineRule="auto"/>
        <w:ind w:left="720" w:hanging="360"/>
        <w:jc w:val="both"/>
      </w:pPr>
      <w:r>
        <w:rPr>
          <w:rFonts w:ascii="Times New Roman" w:hAnsi="Times New Roman"/>
          <w:b/>
          <w:color w:val="000000"/>
          <w:sz w:val="24"/>
        </w:rPr>
        <w:t xml:space="preserve">routes/: </w:t>
      </w:r>
      <w:r>
        <w:rPr>
          <w:rFonts w:ascii="Times New Roman" w:hAnsi="Times New Roman"/>
          <w:color w:val="000000"/>
          <w:sz w:val="24"/>
        </w:rPr>
        <w:t>Mounts modular REST endpoints with JWT authentication and RBAC middleware guards.</w:t>
      </w:r>
    </w:p>
    <w:p>
      <w:pPr>
        <w:pStyle w:val="ListBullet"/>
        <w:spacing w:after="80" w:before="40" w:line="312" w:lineRule="auto"/>
        <w:ind w:left="720" w:hanging="360"/>
        <w:jc w:val="both"/>
      </w:pPr>
      <w:r>
        <w:rPr>
          <w:rFonts w:ascii="Times New Roman" w:hAnsi="Times New Roman"/>
          <w:b/>
          <w:color w:val="000000"/>
          <w:sz w:val="24"/>
        </w:rPr>
        <w:t xml:space="preserve">services/communicationService.js: </w:t>
      </w:r>
      <w:r>
        <w:rPr>
          <w:rFonts w:ascii="Times New Roman" w:hAnsi="Times New Roman"/>
          <w:color w:val="000000"/>
          <w:sz w:val="24"/>
        </w:rPr>
        <w:t>Handles automated multi-channel messaging across WhatsApp click-to-chat links, SMS gateways, and Nodemailer email dispatch.</w:t>
      </w:r>
    </w:p>
    <w:p>
      <w:pPr>
        <w:pStyle w:val="ListBullet"/>
        <w:spacing w:after="80" w:before="40" w:line="312" w:lineRule="auto"/>
        <w:ind w:left="720" w:hanging="360"/>
        <w:jc w:val="both"/>
      </w:pPr>
      <w:r>
        <w:rPr>
          <w:rFonts w:ascii="Times New Roman" w:hAnsi="Times New Roman"/>
          <w:b/>
          <w:color w:val="000000"/>
          <w:sz w:val="24"/>
        </w:rPr>
        <w:t xml:space="preserve">data/seed.js &amp; seedCatalog.js: </w:t>
      </w:r>
      <w:r>
        <w:rPr>
          <w:rFonts w:ascii="Times New Roman" w:hAnsi="Times New Roman"/>
          <w:color w:val="000000"/>
          <w:sz w:val="24"/>
        </w:rPr>
        <w:t>Automated seeders populating default examination syllabi, admin accounts, mentor profiles, and student testing accounts.</w:t>
      </w:r>
    </w:p>
    <w:p>
      <w:pPr>
        <w:spacing w:before="200" w:after="80" w:line="276" w:lineRule="auto"/>
        <w:ind w:left="720"/>
        <w:jc w:val="left"/>
      </w:pPr>
      <w:r>
        <w:rPr>
          <w:rFonts w:ascii="Times New Roman" w:hAnsi="Times New Roman"/>
          <w:b/>
          <w:i/>
          <w:color w:val="000000"/>
          <w:sz w:val="24"/>
        </w:rPr>
        <w:t>8.1.2 Frontend Sub-System Organization (/frontend)</w:t>
      </w:r>
    </w:p>
    <w:p>
      <w:pPr>
        <w:spacing w:after="120" w:before="0" w:line="360" w:lineRule="auto"/>
        <w:ind w:firstLine="720"/>
        <w:jc w:val="both"/>
      </w:pPr>
      <w:r>
        <w:rPr>
          <w:rFonts w:ascii="Times New Roman" w:hAnsi="Times New Roman"/>
          <w:color w:val="000000"/>
          <w:sz w:val="24"/>
        </w:rPr>
        <w:t>The frontend is built using React 18 with Vite for high-performance modular development and production bundling:</w:t>
      </w:r>
    </w:p>
    <w:p>
      <w:pPr>
        <w:pStyle w:val="ListBullet"/>
        <w:spacing w:after="80" w:before="40" w:line="312" w:lineRule="auto"/>
        <w:ind w:left="720" w:hanging="360"/>
        <w:jc w:val="both"/>
      </w:pPr>
      <w:r>
        <w:rPr>
          <w:rFonts w:ascii="Times New Roman" w:hAnsi="Times New Roman"/>
          <w:b/>
          <w:color w:val="000000"/>
          <w:sz w:val="24"/>
        </w:rPr>
        <w:t xml:space="preserve">src/main.jsx &amp; App.jsx: </w:t>
      </w:r>
      <w:r>
        <w:rPr>
          <w:rFonts w:ascii="Times New Roman" w:hAnsi="Times New Roman"/>
          <w:color w:val="000000"/>
          <w:sz w:val="24"/>
        </w:rPr>
        <w:t>Application root configuring React Router DOM v6, AuthProvider, and LanguageProvider contexts.</w:t>
      </w:r>
    </w:p>
    <w:p>
      <w:pPr>
        <w:pStyle w:val="ListBullet"/>
        <w:spacing w:after="80" w:before="40" w:line="312" w:lineRule="auto"/>
        <w:ind w:left="720" w:hanging="360"/>
        <w:jc w:val="both"/>
      </w:pPr>
      <w:r>
        <w:rPr>
          <w:rFonts w:ascii="Times New Roman" w:hAnsi="Times New Roman"/>
          <w:b/>
          <w:color w:val="000000"/>
          <w:sz w:val="24"/>
        </w:rPr>
        <w:t xml:space="preserve">src/components/: </w:t>
      </w:r>
      <w:r>
        <w:rPr>
          <w:rFonts w:ascii="Times New Roman" w:hAnsi="Times New Roman"/>
          <w:color w:val="000000"/>
          <w:sz w:val="24"/>
        </w:rPr>
        <w:t>Reusable interface widgets including AppLayout.jsx, Sidebar.jsx, ProtectedRoute.jsx, Auth3DVisual.jsx, GuidedTour.jsx, Chatbot.jsx, and FlipCard.jsx.</w:t>
      </w:r>
    </w:p>
    <w:p>
      <w:pPr>
        <w:pStyle w:val="ListBullet"/>
        <w:spacing w:after="80" w:before="40" w:line="312" w:lineRule="auto"/>
        <w:ind w:left="720" w:hanging="360"/>
        <w:jc w:val="both"/>
      </w:pPr>
      <w:r>
        <w:rPr>
          <w:rFonts w:ascii="Times New Roman" w:hAnsi="Times New Roman"/>
          <w:b/>
          <w:color w:val="000000"/>
          <w:sz w:val="24"/>
        </w:rPr>
        <w:t xml:space="preserve">src/pages/: </w:t>
      </w:r>
      <w:r>
        <w:rPr>
          <w:rFonts w:ascii="Times New Roman" w:hAnsi="Times New Roman"/>
          <w:color w:val="000000"/>
          <w:sz w:val="24"/>
        </w:rPr>
        <w:t>Dedicated views for LoginPage.jsx, ExamExplorerPage.jsx, MyProgressPage.jsx, MentorDashboardPage.jsx, MarketplacePage.jsx, OrdersPage.jsx, DeliveryDashboardPage.jsx, AdminDashboardPage.jsx, CommunityPage.jsx, and SettingsPage.jsx.</w:t>
      </w:r>
    </w:p>
    <w:p>
      <w:pPr>
        <w:pStyle w:val="ListBullet"/>
        <w:spacing w:after="80" w:before="40" w:line="312" w:lineRule="auto"/>
        <w:ind w:left="720" w:hanging="360"/>
        <w:jc w:val="both"/>
      </w:pPr>
      <w:r>
        <w:rPr>
          <w:rFonts w:ascii="Times New Roman" w:hAnsi="Times New Roman"/>
          <w:b/>
          <w:color w:val="000000"/>
          <w:sz w:val="24"/>
        </w:rPr>
        <w:t xml:space="preserve">src/context/: </w:t>
      </w:r>
      <w:r>
        <w:rPr>
          <w:rFonts w:ascii="Times New Roman" w:hAnsi="Times New Roman"/>
          <w:color w:val="000000"/>
          <w:sz w:val="24"/>
        </w:rPr>
        <w:t>AuthContext.jsx (JWT token management, login state, role-based routing) and LanguageContext.jsx (English, Tamil, Hindi translations).</w:t>
      </w:r>
    </w:p>
    <w:p>
      <w:pPr>
        <w:pStyle w:val="ListBullet"/>
        <w:spacing w:after="80" w:before="40" w:line="312" w:lineRule="auto"/>
        <w:ind w:left="720" w:hanging="360"/>
        <w:jc w:val="both"/>
      </w:pPr>
      <w:r>
        <w:rPr>
          <w:rFonts w:ascii="Times New Roman" w:hAnsi="Times New Roman"/>
          <w:b/>
          <w:color w:val="000000"/>
          <w:sz w:val="24"/>
        </w:rPr>
        <w:t xml:space="preserve">src/api.js: </w:t>
      </w:r>
      <w:r>
        <w:rPr>
          <w:rFonts w:ascii="Times New Roman" w:hAnsi="Times New Roman"/>
          <w:color w:val="000000"/>
          <w:sz w:val="24"/>
        </w:rPr>
        <w:t>Centralized client fetch wrapper with automatic Bearer token injection, query formatting, and error handling.</w:t>
      </w:r>
    </w:p>
    <w:p>
      <w:pPr>
        <w:spacing w:before="280" w:after="120" w:line="276" w:lineRule="auto"/>
        <w:ind w:left="720"/>
        <w:jc w:val="left"/>
      </w:pPr>
      <w:r>
        <w:rPr>
          <w:rFonts w:ascii="Times New Roman" w:hAnsi="Times New Roman"/>
          <w:b/>
          <w:color w:val="000000"/>
          <w:sz w:val="26"/>
        </w:rPr>
        <w:t>8.2 User Authentication &amp; Access Control (Login &amp; Google Authentication)</w:t>
      </w:r>
    </w:p>
    <w:p>
      <w:pPr>
        <w:spacing w:before="16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8_1_login.png"/>
                    <pic:cNvPicPr/>
                  </pic:nvPicPr>
                  <pic:blipFill>
                    <a:blip r:embed="rId12"/>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000000"/>
          <w:sz w:val="21"/>
        </w:rPr>
        <w:t>Fig 8.2: User Authentication &amp; Google OAuth Interface</w:t>
      </w:r>
    </w:p>
    <w:p>
      <w:pPr>
        <w:spacing w:before="200" w:after="80" w:line="276" w:lineRule="auto"/>
        <w:ind w:left="720"/>
        <w:jc w:val="left"/>
      </w:pPr>
      <w:r>
        <w:rPr>
          <w:rFonts w:ascii="Times New Roman" w:hAnsi="Times New Roman"/>
          <w:b/>
          <w:i/>
          <w:color w:val="000000"/>
          <w:sz w:val="24"/>
        </w:rPr>
        <w:t>8.2.1 Purpose &amp; Scope</w:t>
      </w:r>
    </w:p>
    <w:p>
      <w:pPr>
        <w:spacing w:after="120" w:before="0" w:line="360" w:lineRule="auto"/>
        <w:ind w:firstLine="720"/>
        <w:jc w:val="both"/>
      </w:pPr>
      <w:r>
        <w:rPr>
          <w:rFonts w:ascii="Times New Roman" w:hAnsi="Times New Roman"/>
          <w:color w:val="000000"/>
          <w:sz w:val="24"/>
        </w:rPr>
        <w:t>Provides tokenized authentication, secure credential management, official Google OAuth 2.0 single sign-on, and Role-Based Access Control (RBAC) across Student, Mentor, Administrator, and Delivery Partner accounts without hardcoding role distinctions into the public interface.</w:t>
      </w:r>
    </w:p>
    <w:p>
      <w:pPr>
        <w:spacing w:before="200" w:after="80" w:line="276" w:lineRule="auto"/>
        <w:ind w:left="720"/>
        <w:jc w:val="left"/>
      </w:pPr>
      <w:r>
        <w:rPr>
          <w:rFonts w:ascii="Times New Roman" w:hAnsi="Times New Roman"/>
          <w:b/>
          <w:i/>
          <w:color w:val="000000"/>
          <w:sz w:val="24"/>
        </w:rPr>
        <w:t>8.2.2 Functional Requirements</w:t>
      </w:r>
    </w:p>
    <w:p>
      <w:pPr>
        <w:pStyle w:val="ListBullet"/>
        <w:spacing w:after="80" w:before="40" w:line="312" w:lineRule="auto"/>
        <w:ind w:left="720" w:hanging="360"/>
        <w:jc w:val="both"/>
      </w:pPr>
      <w:r>
        <w:rPr>
          <w:rFonts w:ascii="Times New Roman" w:hAnsi="Times New Roman"/>
          <w:b/>
          <w:color w:val="000000"/>
          <w:sz w:val="24"/>
        </w:rPr>
        <w:t xml:space="preserve">Unified Sign-In &amp; Registration: </w:t>
      </w:r>
      <w:r>
        <w:rPr>
          <w:rFonts w:ascii="Times New Roman" w:hAnsi="Times New Roman"/>
          <w:color w:val="000000"/>
          <w:sz w:val="24"/>
        </w:rPr>
        <w:t>Users authenticate using email and password or Google OAuth on a single unified interface featuring an interactive Three.js 3D geometric background.</w:t>
      </w:r>
    </w:p>
    <w:p>
      <w:pPr>
        <w:pStyle w:val="ListBullet"/>
        <w:spacing w:after="80" w:before="40" w:line="312" w:lineRule="auto"/>
        <w:ind w:left="720" w:hanging="360"/>
        <w:jc w:val="both"/>
      </w:pPr>
      <w:r>
        <w:rPr>
          <w:rFonts w:ascii="Times New Roman" w:hAnsi="Times New Roman"/>
          <w:b/>
          <w:color w:val="000000"/>
          <w:sz w:val="24"/>
        </w:rPr>
        <w:t xml:space="preserve">Official Google Authentication: </w:t>
      </w:r>
      <w:r>
        <w:rPr>
          <w:rFonts w:ascii="Times New Roman" w:hAnsi="Times New Roman"/>
          <w:color w:val="000000"/>
          <w:sz w:val="24"/>
        </w:rPr>
        <w:t>Integrates real Google OAuth credentials (client ID &amp; secret), securely validating Google ID tokens on the backend to issue JWT sessions.</w:t>
      </w:r>
    </w:p>
    <w:p>
      <w:pPr>
        <w:pStyle w:val="ListBullet"/>
        <w:spacing w:after="80" w:before="40" w:line="312" w:lineRule="auto"/>
        <w:ind w:left="720" w:hanging="360"/>
        <w:jc w:val="both"/>
      </w:pPr>
      <w:r>
        <w:rPr>
          <w:rFonts w:ascii="Times New Roman" w:hAnsi="Times New Roman"/>
          <w:b/>
          <w:color w:val="000000"/>
          <w:sz w:val="24"/>
        </w:rPr>
        <w:t xml:space="preserve">Dynamic Role-Based Redirection: </w:t>
      </w:r>
      <w:r>
        <w:rPr>
          <w:rFonts w:ascii="Times New Roman" w:hAnsi="Times New Roman"/>
          <w:color w:val="000000"/>
          <w:sz w:val="24"/>
        </w:rPr>
        <w:t>Upon authentication, the client evaluates role claims and routes Students to /exam-explorer, Mentors to /mentor, Admins to /admin, and Delivery Partners to /delivery.</w:t>
      </w:r>
    </w:p>
    <w:p>
      <w:pPr>
        <w:pStyle w:val="ListBullet"/>
        <w:spacing w:after="80" w:before="40" w:line="312" w:lineRule="auto"/>
        <w:ind w:left="720" w:hanging="360"/>
        <w:jc w:val="both"/>
      </w:pPr>
      <w:r>
        <w:rPr>
          <w:rFonts w:ascii="Times New Roman" w:hAnsi="Times New Roman"/>
          <w:b/>
          <w:color w:val="000000"/>
          <w:sz w:val="24"/>
        </w:rPr>
        <w:t xml:space="preserve">Student ID Generation: </w:t>
      </w:r>
      <w:r>
        <w:rPr>
          <w:rFonts w:ascii="Times New Roman" w:hAnsi="Times New Roman"/>
          <w:color w:val="000000"/>
          <w:sz w:val="24"/>
        </w:rPr>
        <w:t>Auto-generates unique, non-colliding student identifiers (e.g. PC-STU-100001) upon account registration.</w:t>
      </w:r>
    </w:p>
    <w:p>
      <w:pPr>
        <w:pStyle w:val="ListBullet"/>
        <w:spacing w:after="80" w:before="40" w:line="312" w:lineRule="auto"/>
        <w:ind w:left="720" w:hanging="360"/>
        <w:jc w:val="both"/>
      </w:pPr>
      <w:r>
        <w:rPr>
          <w:rFonts w:ascii="Times New Roman" w:hAnsi="Times New Roman"/>
          <w:b/>
          <w:color w:val="000000"/>
          <w:sz w:val="24"/>
        </w:rPr>
        <w:t xml:space="preserve">Route Protection: </w:t>
      </w:r>
      <w:r>
        <w:rPr>
          <w:rFonts w:ascii="Times New Roman" w:hAnsi="Times New Roman"/>
          <w:color w:val="000000"/>
          <w:sz w:val="24"/>
        </w:rPr>
        <w:t>Client-side ProtectedRoute wrappers prevent cross-role dashboard traversal, rejecting unauthorized access attempts.</w:t>
      </w:r>
    </w:p>
    <w:p>
      <w:pPr>
        <w:spacing w:before="200" w:after="80" w:line="276" w:lineRule="auto"/>
        <w:ind w:left="720"/>
        <w:jc w:val="left"/>
      </w:pPr>
      <w:r>
        <w:rPr>
          <w:rFonts w:ascii="Times New Roman" w:hAnsi="Times New Roman"/>
          <w:b/>
          <w:i/>
          <w:color w:val="000000"/>
          <w:sz w:val="24"/>
        </w:rPr>
        <w:t>8.2.3 Non-Functional Requirements</w:t>
      </w:r>
    </w:p>
    <w:p>
      <w:pPr>
        <w:pStyle w:val="ListBullet"/>
        <w:spacing w:after="80" w:before="40" w:line="312" w:lineRule="auto"/>
        <w:ind w:left="720" w:hanging="360"/>
        <w:jc w:val="both"/>
      </w:pPr>
      <w:r>
        <w:rPr>
          <w:rFonts w:ascii="Times New Roman" w:hAnsi="Times New Roman"/>
          <w:b/>
          <w:color w:val="000000"/>
          <w:sz w:val="24"/>
        </w:rPr>
        <w:t xml:space="preserve">Cryptographic Security: </w:t>
      </w:r>
      <w:r>
        <w:rPr>
          <w:rFonts w:ascii="Times New Roman" w:hAnsi="Times New Roman"/>
          <w:color w:val="000000"/>
          <w:sz w:val="24"/>
        </w:rPr>
        <w:t>Passwords are encrypted using bcryptjs with 10 salt rounds; password hashes are excluded from API payloads by default.</w:t>
      </w:r>
    </w:p>
    <w:p>
      <w:pPr>
        <w:pStyle w:val="ListBullet"/>
        <w:spacing w:after="80" w:before="40" w:line="312" w:lineRule="auto"/>
        <w:ind w:left="720" w:hanging="360"/>
        <w:jc w:val="both"/>
      </w:pPr>
      <w:r>
        <w:rPr>
          <w:rFonts w:ascii="Times New Roman" w:hAnsi="Times New Roman"/>
          <w:b/>
          <w:color w:val="000000"/>
          <w:sz w:val="24"/>
        </w:rPr>
        <w:t xml:space="preserve">Stateless Session Scaling: </w:t>
      </w:r>
      <w:r>
        <w:rPr>
          <w:rFonts w:ascii="Times New Roman" w:hAnsi="Times New Roman"/>
          <w:color w:val="000000"/>
          <w:sz w:val="24"/>
        </w:rPr>
        <w:t>JSON Web Tokens are signed with a 12-hour expiry, enabling stateless horizontally scalable authorization verification.</w:t>
      </w:r>
    </w:p>
    <w:p>
      <w:pPr>
        <w:spacing w:before="200" w:after="80" w:line="276" w:lineRule="auto"/>
        <w:ind w:left="720"/>
        <w:jc w:val="left"/>
      </w:pPr>
      <w:r>
        <w:rPr>
          <w:rFonts w:ascii="Times New Roman" w:hAnsi="Times New Roman"/>
          <w:b/>
          <w:i/>
          <w:color w:val="000000"/>
          <w:sz w:val="24"/>
        </w:rPr>
        <w:t>8.2.4 API Design</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none"/>
          <w:left w:val="none"/>
          <w:right w:val="none"/>
        </w:tblBorders>
      </w:tblPr>
      <w:tblGrid>
        <w:gridCol w:w="2890"/>
        <w:gridCol w:w="2890"/>
        <w:gridCol w:w="2890"/>
      </w:tblGrid>
      <w:tr>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Method</w:t>
            </w:r>
          </w:p>
        </w:tc>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Endpoint</w:t>
            </w:r>
          </w:p>
        </w:tc>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Purpose / Contract</w:t>
            </w:r>
          </w:p>
        </w:tc>
      </w:tr>
      <w:tr>
        <w:tc>
          <w:tcPr>
            <w:tcW w:type="dxa" w:w="2890"/>
            <w:shd w:fill="FFFFFF"/>
            <w:tcMar>
              <w:top w:w="60" w:type="dxa"/>
              <w:bottom w:w="60" w:type="dxa"/>
              <w:left w:w="100" w:type="dxa"/>
              <w:right w:w="100" w:type="dxa"/>
            </w:tcMar>
          </w:tcPr>
          <w:p>
            <w:pPr>
              <w:jc w:val="left"/>
            </w:pPr>
            <w:r>
              <w:rPr>
                <w:rFonts w:ascii="Times New Roman" w:hAnsi="Times New Roman"/>
                <w:color w:val="000000"/>
                <w:sz w:val="19"/>
              </w:rPr>
              <w:t>POST</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/api/auth/login</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Authenticates credentials, returns signed JWT and user role profile.</w:t>
            </w:r>
          </w:p>
        </w:tc>
      </w:tr>
      <w:tr>
        <w:tc>
          <w:tcPr>
            <w:tcW w:type="dxa" w:w="2890"/>
            <w:shd w:fill="F9F9F9"/>
            <w:tcMar>
              <w:top w:w="60" w:type="dxa"/>
              <w:bottom w:w="60" w:type="dxa"/>
              <w:left w:w="100" w:type="dxa"/>
              <w:right w:w="100" w:type="dxa"/>
            </w:tcMar>
          </w:tcPr>
          <w:p>
            <w:pPr>
              <w:jc w:val="left"/>
            </w:pPr>
            <w:r>
              <w:rPr>
                <w:rFonts w:ascii="Times New Roman" w:hAnsi="Times New Roman"/>
                <w:color w:val="000000"/>
                <w:sz w:val="19"/>
              </w:rPr>
              <w:t>POST</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/api/auth/register</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Registers new user, assigns role, and generates unique Student ID.</w:t>
            </w:r>
          </w:p>
        </w:tc>
      </w:tr>
      <w:tr>
        <w:tc>
          <w:tcPr>
            <w:tcW w:type="dxa" w:w="2890"/>
            <w:shd w:fill="FFFFFF"/>
            <w:tcMar>
              <w:top w:w="60" w:type="dxa"/>
              <w:bottom w:w="60" w:type="dxa"/>
              <w:left w:w="100" w:type="dxa"/>
              <w:right w:w="100" w:type="dxa"/>
            </w:tcMar>
          </w:tcPr>
          <w:p>
            <w:pPr>
              <w:jc w:val="left"/>
            </w:pPr>
            <w:r>
              <w:rPr>
                <w:rFonts w:ascii="Times New Roman" w:hAnsi="Times New Roman"/>
                <w:color w:val="000000"/>
                <w:sz w:val="19"/>
              </w:rPr>
              <w:t>POST</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/api/auth/google/verify</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Validates Google OAuth credential token, authenticating or registering user.</w:t>
            </w:r>
          </w:p>
        </w:tc>
      </w:tr>
      <w:tr>
        <w:tc>
          <w:tcPr>
            <w:tcW w:type="dxa" w:w="2890"/>
            <w:shd w:fill="F9F9F9"/>
            <w:tcMar>
              <w:top w:w="60" w:type="dxa"/>
              <w:bottom w:w="60" w:type="dxa"/>
              <w:left w:w="100" w:type="dxa"/>
              <w:right w:w="100" w:type="dxa"/>
            </w:tcMar>
          </w:tcPr>
          <w:p>
            <w:pPr>
              <w:jc w:val="left"/>
            </w:pPr>
            <w:r>
              <w:rPr>
                <w:rFonts w:ascii="Times New Roman" w:hAnsi="Times New Roman"/>
                <w:color w:val="000000"/>
                <w:sz w:val="19"/>
              </w:rPr>
              <w:t>GET</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/api/auth/me</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Validates bearer token and returns current active user profile.</w:t>
            </w:r>
          </w:p>
        </w:tc>
      </w:tr>
    </w:tbl>
    <w:p/>
    <w:p>
      <w:pPr>
        <w:spacing w:before="200" w:after="80" w:line="276" w:lineRule="auto"/>
        <w:ind w:left="720"/>
        <w:jc w:val="left"/>
      </w:pPr>
      <w:r>
        <w:rPr>
          <w:rFonts w:ascii="Times New Roman" w:hAnsi="Times New Roman"/>
          <w:b/>
          <w:i/>
          <w:color w:val="000000"/>
          <w:sz w:val="24"/>
        </w:rPr>
        <w:t>8.2.5 Database Design</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none"/>
          <w:left w:val="none"/>
          <w:right w:val="none"/>
        </w:tblBorders>
      </w:tblPr>
      <w:tblGrid>
        <w:gridCol w:w="2890"/>
        <w:gridCol w:w="2890"/>
        <w:gridCol w:w="2890"/>
      </w:tblGrid>
      <w:tr>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Collection</w:t>
            </w:r>
          </w:p>
        </w:tc>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Key Attributes</w:t>
            </w:r>
          </w:p>
        </w:tc>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Indexing Strategy</w:t>
            </w:r>
          </w:p>
        </w:tc>
      </w:tr>
      <w:tr>
        <w:tc>
          <w:tcPr>
            <w:tcW w:type="dxa" w:w="2890"/>
            <w:shd w:fill="FFFFFF"/>
            <w:tcMar>
              <w:top w:w="60" w:type="dxa"/>
              <w:bottom w:w="60" w:type="dxa"/>
              <w:left w:w="100" w:type="dxa"/>
              <w:right w:w="100" w:type="dxa"/>
            </w:tcMar>
          </w:tcPr>
          <w:p>
            <w:pPr>
              <w:jc w:val="left"/>
            </w:pPr>
            <w:r>
              <w:rPr>
                <w:rFonts w:ascii="Times New Roman" w:hAnsi="Times New Roman"/>
                <w:color w:val="000000"/>
                <w:sz w:val="19"/>
              </w:rPr>
              <w:t>Users</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_id, email, password, role, studentId, mentor, authProvider</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Unique index on email; sparse unique index on studentId; MUL index on mentor reference.</w:t>
            </w:r>
          </w:p>
        </w:tc>
      </w:tr>
    </w:tbl>
    <w:p/>
    <w:p>
      <w:pPr>
        <w:spacing w:before="280" w:after="120" w:line="276" w:lineRule="auto"/>
        <w:ind w:left="720"/>
        <w:jc w:val="left"/>
      </w:pPr>
      <w:r>
        <w:rPr>
          <w:rFonts w:ascii="Times New Roman" w:hAnsi="Times New Roman"/>
          <w:b/>
          <w:color w:val="000000"/>
          <w:sz w:val="26"/>
        </w:rPr>
        <w:t>8.3 Student Module &amp; Comprehensive Learning Features</w:t>
      </w:r>
    </w:p>
    <w:p>
      <w:pPr>
        <w:spacing w:after="120" w:before="0" w:line="360" w:lineRule="auto"/>
        <w:ind w:firstLine="720"/>
        <w:jc w:val="both"/>
      </w:pPr>
      <w:r>
        <w:rPr>
          <w:rFonts w:ascii="Times New Roman" w:hAnsi="Times New Roman"/>
          <w:color w:val="000000"/>
          <w:sz w:val="24"/>
        </w:rPr>
        <w:t>The student module delivers a complete academic preparation suite covering exam catalog discovery, weightage-based syllabi, continuous progress tracking, study streak heatmaps, dynamic quizzes, active recall flashcards, peer book circulation, and community discussion.</w:t>
      </w:r>
    </w:p>
    <w:p>
      <w:pPr>
        <w:spacing w:before="200" w:after="80" w:line="276" w:lineRule="auto"/>
        <w:ind w:left="720"/>
        <w:jc w:val="left"/>
      </w:pPr>
      <w:r>
        <w:rPr>
          <w:rFonts w:ascii="Times New Roman" w:hAnsi="Times New Roman"/>
          <w:b/>
          <w:i/>
          <w:color w:val="000000"/>
          <w:sz w:val="24"/>
        </w:rPr>
        <w:t>8.3.1 Exam Explorer &amp; Official Syllabus Roadmaps</w:t>
      </w:r>
    </w:p>
    <w:p>
      <w:pPr>
        <w:spacing w:before="16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8_2_exam_explorer.png"/>
                    <pic:cNvPicPr/>
                  </pic:nvPicPr>
                  <pic:blipFill>
                    <a:blip r:embed="rId13"/>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000000"/>
          <w:sz w:val="21"/>
        </w:rPr>
        <w:t>Fig 8.3.1: Student Exam Explorer &amp; Syllabus Roadmap Interface</w:t>
      </w:r>
    </w:p>
    <w:p>
      <w:pPr>
        <w:spacing w:after="120" w:before="0" w:line="360" w:lineRule="auto"/>
        <w:ind w:firstLine="720"/>
        <w:jc w:val="both"/>
      </w:pPr>
      <w:r>
        <w:rPr>
          <w:rFonts w:ascii="Times New Roman" w:hAnsi="Times New Roman"/>
          <w:color w:val="000000"/>
          <w:sz w:val="24"/>
        </w:rPr>
        <w:t>Displays accredited national competitive examinations (GATE CSE, UPSC, JEE, NEET, CAT) categorized by discipline. Features registered vs. not registered exam sections, recently accessed exams, a step-by-step interactive tour guide, and direct enrollment. Syllabi decompose subjects into High, Medium, and Low weightage groups to optimize preparation sequence without omitting any syllabus topics.</w:t>
      </w:r>
    </w:p>
    <w:p>
      <w:pPr>
        <w:spacing w:before="200" w:after="80" w:line="276" w:lineRule="auto"/>
        <w:ind w:left="720"/>
        <w:jc w:val="left"/>
      </w:pPr>
      <w:r>
        <w:rPr>
          <w:rFonts w:ascii="Times New Roman" w:hAnsi="Times New Roman"/>
          <w:b/>
          <w:i/>
          <w:color w:val="000000"/>
          <w:sz w:val="24"/>
        </w:rPr>
        <w:t>8.3.2 Study Progress Tracking, Streaks &amp; Activity Heatmap</w:t>
      </w:r>
    </w:p>
    <w:p>
      <w:pPr>
        <w:spacing w:before="16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8_3_progress_roadmap.png"/>
                    <pic:cNvPicPr/>
                  </pic:nvPicPr>
                  <pic:blipFill>
                    <a:blip r:embed="rId14"/>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000000"/>
          <w:sz w:val="21"/>
        </w:rPr>
        <w:t>Fig 8.3.2: Study Progress Tracking &amp; Activity Heatmap Interface</w:t>
      </w:r>
    </w:p>
    <w:p>
      <w:pPr>
        <w:spacing w:after="120" w:before="0" w:line="360" w:lineRule="auto"/>
        <w:ind w:firstLine="720"/>
        <w:jc w:val="both"/>
      </w:pPr>
      <w:r>
        <w:rPr>
          <w:rFonts w:ascii="Times New Roman" w:hAnsi="Times New Roman"/>
          <w:color w:val="000000"/>
          <w:sz w:val="24"/>
        </w:rPr>
        <w:t>Monitors student completion state across every topic using interactive three-state selectors (Pending, In Progress, Completed). Automatically computes completion percentages at chapter, subject, and overall examination levels. Maintains consecutive daily study streaks using ISO date logs and renders an interactive annual activity heatmap. Completing a subject milestone automatically triggers a notification alert to the assigned mentor.</w:t>
      </w:r>
    </w:p>
    <w:p>
      <w:pPr>
        <w:spacing w:before="200" w:after="80" w:line="276" w:lineRule="auto"/>
        <w:ind w:left="720"/>
        <w:jc w:val="left"/>
      </w:pPr>
      <w:r>
        <w:rPr>
          <w:rFonts w:ascii="Times New Roman" w:hAnsi="Times New Roman"/>
          <w:b/>
          <w:i/>
          <w:color w:val="000000"/>
          <w:sz w:val="24"/>
        </w:rPr>
        <w:t>8.3.3 Mock Test Evaluation, Dynamic Quizzes &amp; Flashcards</w:t>
      </w:r>
    </w:p>
    <w:p>
      <w:pPr>
        <w:spacing w:after="120" w:before="0" w:line="360" w:lineRule="auto"/>
        <w:ind w:firstLine="720"/>
        <w:jc w:val="both"/>
      </w:pPr>
      <w:r>
        <w:rPr>
          <w:rFonts w:ascii="Times New Roman" w:hAnsi="Times New Roman"/>
          <w:color w:val="000000"/>
          <w:sz w:val="24"/>
        </w:rPr>
        <w:t>Students participate in Computer-Based Test (CBT) mock simulations, capturing scores, questions attended, maximum marks, and percentage progressions across repeated attempts. The platform includes a Dynamic Quiz Generator that automatically parses student notes and chapter topics to generate multiple-choice assessments. Active recall flashcards feature 3D flip card animations, allowing students to test conceptual retention.</w:t>
      </w:r>
    </w:p>
    <w:p>
      <w:pPr>
        <w:spacing w:before="200" w:after="80" w:line="276" w:lineRule="auto"/>
        <w:ind w:left="720"/>
        <w:jc w:val="left"/>
      </w:pPr>
      <w:r>
        <w:rPr>
          <w:rFonts w:ascii="Times New Roman" w:hAnsi="Times New Roman"/>
          <w:b/>
          <w:i/>
          <w:color w:val="000000"/>
          <w:sz w:val="24"/>
        </w:rPr>
        <w:t>8.3.4 Peer-to-Peer Resource Marketplace &amp; Book Circulation</w:t>
      </w:r>
    </w:p>
    <w:p>
      <w:pPr>
        <w:spacing w:before="160" w:after="8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8_5_marketplace.png"/>
                    <pic:cNvPicPr/>
                  </pic:nvPicPr>
                  <pic:blipFill>
                    <a:blip r:embed="rId15"/>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000000"/>
          <w:sz w:val="21"/>
        </w:rPr>
        <w:t>Fig 8.3.4: Resource Marketplace &amp; Textbook Circulation Interface</w:t>
      </w:r>
    </w:p>
    <w:p>
      <w:pPr>
        <w:spacing w:after="120" w:before="0" w:line="360" w:lineRule="auto"/>
        <w:ind w:firstLine="720"/>
        <w:jc w:val="both"/>
      </w:pPr>
      <w:r>
        <w:rPr>
          <w:rFonts w:ascii="Times New Roman" w:hAnsi="Times New Roman"/>
          <w:color w:val="000000"/>
          <w:sz w:val="24"/>
        </w:rPr>
        <w:t>Promotes educational affordability through peer-to-peer textbook resale, verified student listings, condition grading (New, Like New, Good, Fair), price filters, and a dedicated 100% free textbook donation feed. Includes a multi-tier checkout supporting Cash on Delivery (COD), UPI, Google Pay, Net Banking, and Cards, alongside return and buyback workflows.</w:t>
      </w:r>
    </w:p>
    <w:p>
      <w:pPr>
        <w:spacing w:before="200" w:after="80" w:line="276" w:lineRule="auto"/>
        <w:ind w:left="720"/>
        <w:jc w:val="left"/>
      </w:pPr>
      <w:r>
        <w:rPr>
          <w:rFonts w:ascii="Times New Roman" w:hAnsi="Times New Roman"/>
          <w:b/>
          <w:i/>
          <w:color w:val="000000"/>
          <w:sz w:val="24"/>
        </w:rPr>
        <w:t>8.3.5 Community Discussion Forums &amp; AI Study Assistant</w:t>
      </w:r>
    </w:p>
    <w:p>
      <w:pPr>
        <w:spacing w:before="16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8_7_community.png"/>
                    <pic:cNvPicPr/>
                  </pic:nvPicPr>
                  <pic:blipFill>
                    <a:blip r:embed="rId16"/>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000000"/>
          <w:sz w:val="21"/>
        </w:rPr>
        <w:t>Fig 8.3.5: Community Discussion &amp; AI Assistant Interface</w:t>
      </w:r>
    </w:p>
    <w:p>
      <w:pPr>
        <w:spacing w:after="120" w:before="0" w:line="360" w:lineRule="auto"/>
        <w:ind w:firstLine="720"/>
        <w:jc w:val="both"/>
      </w:pPr>
      <w:r>
        <w:rPr>
          <w:rFonts w:ascii="Times New Roman" w:hAnsi="Times New Roman"/>
          <w:color w:val="000000"/>
          <w:sz w:val="24"/>
        </w:rPr>
        <w:t>Fosters collaborative peer learning through exam-specific discussion threads with question upvoting and verified answers. Complemented by a context-aware AI study assistant that personalizes study advice based on the student's target examination and syllabus progress, alongside daily inspirational quotes dynamically served on login.</w:t>
      </w:r>
    </w:p>
    <w:p>
      <w:pPr>
        <w:spacing w:before="200" w:after="80" w:line="276" w:lineRule="auto"/>
        <w:ind w:left="720"/>
        <w:jc w:val="left"/>
      </w:pPr>
      <w:r>
        <w:rPr>
          <w:rFonts w:ascii="Times New Roman" w:hAnsi="Times New Roman"/>
          <w:b/>
          <w:i/>
          <w:color w:val="000000"/>
          <w:sz w:val="24"/>
        </w:rPr>
        <w:t>8.3.6 Universal Accessibility &amp; Custom Color Palette Settings</w:t>
      </w:r>
    </w:p>
    <w:p>
      <w:pPr>
        <w:spacing w:before="160" w:after="8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8_8_settings.png"/>
                    <pic:cNvPicPr/>
                  </pic:nvPicPr>
                  <pic:blipFill>
                    <a:blip r:embed="rId17"/>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000000"/>
          <w:sz w:val="21"/>
        </w:rPr>
        <w:t>Fig 8.3.6: Universal Accessibility &amp; Color Palette Settings Interface</w:t>
      </w:r>
    </w:p>
    <w:p>
      <w:pPr>
        <w:spacing w:after="120" w:before="0" w:line="360" w:lineRule="auto"/>
        <w:ind w:firstLine="720"/>
        <w:jc w:val="both"/>
      </w:pPr>
      <w:r>
        <w:rPr>
          <w:rFonts w:ascii="Times New Roman" w:hAnsi="Times New Roman"/>
          <w:color w:val="000000"/>
          <w:sz w:val="24"/>
        </w:rPr>
        <w:t>Empowers students (and all platform roles) to customize their visual interface with live preview controls: button colors, text colors, background colors, dark/light theme switching, font scaling (Small, Medium, Large), and multi-language localization (English, Tamil, Hindi) with cross-session persistence.</w:t>
      </w:r>
    </w:p>
    <w:p>
      <w:pPr>
        <w:spacing w:before="280" w:after="120" w:line="276" w:lineRule="auto"/>
        <w:ind w:left="720"/>
        <w:jc w:val="left"/>
      </w:pPr>
      <w:r>
        <w:rPr>
          <w:rFonts w:ascii="Times New Roman" w:hAnsi="Times New Roman"/>
          <w:b/>
          <w:color w:val="000000"/>
          <w:sz w:val="26"/>
        </w:rPr>
        <w:t>8.4 Academic Mentor Module &amp; Monitoring Features</w:t>
      </w:r>
    </w:p>
    <w:p>
      <w:pPr>
        <w:spacing w:before="160" w:after="8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8_4_mentor_dashboard.png"/>
                    <pic:cNvPicPr/>
                  </pic:nvPicPr>
                  <pic:blipFill>
                    <a:blip r:embed="rId18"/>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000000"/>
          <w:sz w:val="21"/>
        </w:rPr>
        <w:t>Fig 8.4: Academic Mentor Monitoring &amp; Evaluation Interface</w:t>
      </w:r>
    </w:p>
    <w:p>
      <w:pPr>
        <w:spacing w:before="200" w:after="80" w:line="276" w:lineRule="auto"/>
        <w:ind w:left="720"/>
        <w:jc w:val="left"/>
      </w:pPr>
      <w:r>
        <w:rPr>
          <w:rFonts w:ascii="Times New Roman" w:hAnsi="Times New Roman"/>
          <w:b/>
          <w:i/>
          <w:color w:val="000000"/>
          <w:sz w:val="24"/>
        </w:rPr>
        <w:t>8.4.1 Purpose &amp; Scope</w:t>
      </w:r>
    </w:p>
    <w:p>
      <w:pPr>
        <w:spacing w:after="120" w:before="0" w:line="360" w:lineRule="auto"/>
        <w:ind w:firstLine="720"/>
        <w:jc w:val="both"/>
      </w:pPr>
      <w:r>
        <w:rPr>
          <w:rFonts w:ascii="Times New Roman" w:hAnsi="Times New Roman"/>
          <w:color w:val="000000"/>
          <w:sz w:val="24"/>
        </w:rPr>
        <w:t>Provides dedicated academic mentors real-time supervision over students assigned by administrators, featuring longitudinal progress analytics, automated WhatsApp notifications, and direct mentorship messaging.</w:t>
      </w:r>
    </w:p>
    <w:p>
      <w:pPr>
        <w:spacing w:before="200" w:after="80" w:line="276" w:lineRule="auto"/>
        <w:ind w:left="720"/>
        <w:jc w:val="left"/>
      </w:pPr>
      <w:r>
        <w:rPr>
          <w:rFonts w:ascii="Times New Roman" w:hAnsi="Times New Roman"/>
          <w:b/>
          <w:i/>
          <w:color w:val="000000"/>
          <w:sz w:val="24"/>
        </w:rPr>
        <w:t>8.4.2 Functional Requirements</w:t>
      </w:r>
    </w:p>
    <w:p>
      <w:pPr>
        <w:pStyle w:val="ListBullet"/>
        <w:spacing w:after="80" w:before="40" w:line="312" w:lineRule="auto"/>
        <w:ind w:left="720" w:hanging="360"/>
        <w:jc w:val="both"/>
      </w:pPr>
      <w:r>
        <w:rPr>
          <w:rFonts w:ascii="Times New Roman" w:hAnsi="Times New Roman"/>
          <w:b/>
          <w:color w:val="000000"/>
          <w:sz w:val="24"/>
        </w:rPr>
        <w:t xml:space="preserve">Assigned Students View: </w:t>
      </w:r>
      <w:r>
        <w:rPr>
          <w:rFonts w:ascii="Times New Roman" w:hAnsi="Times New Roman"/>
          <w:color w:val="000000"/>
          <w:sz w:val="24"/>
        </w:rPr>
        <w:t>Mentors access a personalized portal displaying all students assigned to them, showing active exam goals, overall syllabus percentage bars, and last active dates.</w:t>
      </w:r>
    </w:p>
    <w:p>
      <w:pPr>
        <w:pStyle w:val="ListBullet"/>
        <w:spacing w:after="80" w:before="40" w:line="312" w:lineRule="auto"/>
        <w:ind w:left="720" w:hanging="360"/>
        <w:jc w:val="both"/>
      </w:pPr>
      <w:r>
        <w:rPr>
          <w:rFonts w:ascii="Times New Roman" w:hAnsi="Times New Roman"/>
          <w:b/>
          <w:color w:val="000000"/>
          <w:sz w:val="24"/>
        </w:rPr>
        <w:t xml:space="preserve">Automated WhatsApp Alerts: </w:t>
      </w:r>
      <w:r>
        <w:rPr>
          <w:rFonts w:ascii="Times New Roman" w:hAnsi="Times New Roman"/>
          <w:color w:val="000000"/>
          <w:sz w:val="24"/>
        </w:rPr>
        <w:t>Whenever a student attempts a mock test or logs in for the day, an automated alert containing student performance metrics and a direct click-to-chat WhatsApp link is dispatched to the mentor.</w:t>
      </w:r>
    </w:p>
    <w:p>
      <w:pPr>
        <w:pStyle w:val="ListBullet"/>
        <w:spacing w:after="80" w:before="40" w:line="312" w:lineRule="auto"/>
        <w:ind w:left="720" w:hanging="360"/>
        <w:jc w:val="both"/>
      </w:pPr>
      <w:r>
        <w:rPr>
          <w:rFonts w:ascii="Times New Roman" w:hAnsi="Times New Roman"/>
          <w:b/>
          <w:color w:val="000000"/>
          <w:sz w:val="24"/>
        </w:rPr>
        <w:t xml:space="preserve">Longitudinal Progress Analytics: </w:t>
      </w:r>
      <w:r>
        <w:rPr>
          <w:rFonts w:ascii="Times New Roman" w:hAnsi="Times New Roman"/>
          <w:color w:val="000000"/>
          <w:sz w:val="24"/>
        </w:rPr>
        <w:t>Mentors can click any student's profile to inspect granular weekly, monthly, and yearly syllabus completion curves and mock test score trajectories.</w:t>
      </w:r>
    </w:p>
    <w:p>
      <w:pPr>
        <w:pStyle w:val="ListBullet"/>
        <w:spacing w:after="80" w:before="40" w:line="312" w:lineRule="auto"/>
        <w:ind w:left="720" w:hanging="360"/>
        <w:jc w:val="both"/>
      </w:pPr>
      <w:r>
        <w:rPr>
          <w:rFonts w:ascii="Times New Roman" w:hAnsi="Times New Roman"/>
          <w:b/>
          <w:color w:val="000000"/>
          <w:sz w:val="24"/>
        </w:rPr>
        <w:t xml:space="preserve">Lagging Student Indicators: </w:t>
      </w:r>
      <w:r>
        <w:rPr>
          <w:rFonts w:ascii="Times New Roman" w:hAnsi="Times New Roman"/>
          <w:color w:val="000000"/>
          <w:sz w:val="24"/>
        </w:rPr>
        <w:t>The system automatically flags students lagging behind recommended study velocity, enabling mentors to proactively intervene.</w:t>
      </w:r>
    </w:p>
    <w:p>
      <w:pPr>
        <w:pStyle w:val="ListBullet"/>
        <w:spacing w:after="80" w:before="40" w:line="312" w:lineRule="auto"/>
        <w:ind w:left="720" w:hanging="360"/>
        <w:jc w:val="both"/>
      </w:pPr>
      <w:r>
        <w:rPr>
          <w:rFonts w:ascii="Times New Roman" w:hAnsi="Times New Roman"/>
          <w:b/>
          <w:color w:val="000000"/>
          <w:sz w:val="24"/>
        </w:rPr>
        <w:t xml:space="preserve">Direct Mentorship Messaging: </w:t>
      </w:r>
      <w:r>
        <w:rPr>
          <w:rFonts w:ascii="Times New Roman" w:hAnsi="Times New Roman"/>
          <w:color w:val="000000"/>
          <w:sz w:val="24"/>
        </w:rPr>
        <w:t>Mentors can trigger motivational messages or academic advice directly to the student via WhatsApp or SMS.</w:t>
      </w:r>
    </w:p>
    <w:p>
      <w:pPr>
        <w:spacing w:before="200" w:after="80" w:line="276" w:lineRule="auto"/>
        <w:ind w:left="720"/>
        <w:jc w:val="left"/>
      </w:pPr>
      <w:r>
        <w:rPr>
          <w:rFonts w:ascii="Times New Roman" w:hAnsi="Times New Roman"/>
          <w:b/>
          <w:i/>
          <w:color w:val="000000"/>
          <w:sz w:val="24"/>
        </w:rPr>
        <w:t>8.4.3 API Design</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none"/>
          <w:left w:val="none"/>
          <w:right w:val="none"/>
        </w:tblBorders>
      </w:tblPr>
      <w:tblGrid>
        <w:gridCol w:w="2890"/>
        <w:gridCol w:w="2890"/>
        <w:gridCol w:w="2890"/>
      </w:tblGrid>
      <w:tr>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Method</w:t>
            </w:r>
          </w:p>
        </w:tc>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Endpoint</w:t>
            </w:r>
          </w:p>
        </w:tc>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Purpose / Contract</w:t>
            </w:r>
          </w:p>
        </w:tc>
      </w:tr>
      <w:tr>
        <w:tc>
          <w:tcPr>
            <w:tcW w:type="dxa" w:w="2890"/>
            <w:shd w:fill="FFFFFF"/>
            <w:tcMar>
              <w:top w:w="60" w:type="dxa"/>
              <w:bottom w:w="60" w:type="dxa"/>
              <w:left w:w="100" w:type="dxa"/>
              <w:right w:w="100" w:type="dxa"/>
            </w:tcMar>
          </w:tcPr>
          <w:p>
            <w:pPr>
              <w:jc w:val="left"/>
            </w:pPr>
            <w:r>
              <w:rPr>
                <w:rFonts w:ascii="Times New Roman" w:hAnsi="Times New Roman"/>
                <w:color w:val="000000"/>
                <w:sz w:val="19"/>
              </w:rPr>
              <w:t>GET</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/api/mentor/students</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Retrieves assigned students, syllabus completion percentages, and test history.</w:t>
            </w:r>
          </w:p>
        </w:tc>
      </w:tr>
      <w:tr>
        <w:tc>
          <w:tcPr>
            <w:tcW w:type="dxa" w:w="2890"/>
            <w:shd w:fill="F9F9F9"/>
            <w:tcMar>
              <w:top w:w="60" w:type="dxa"/>
              <w:bottom w:w="60" w:type="dxa"/>
              <w:left w:w="100" w:type="dxa"/>
              <w:right w:w="100" w:type="dxa"/>
            </w:tcMar>
          </w:tcPr>
          <w:p>
            <w:pPr>
              <w:jc w:val="left"/>
            </w:pPr>
            <w:r>
              <w:rPr>
                <w:rFonts w:ascii="Times New Roman" w:hAnsi="Times New Roman"/>
                <w:color w:val="000000"/>
                <w:sz w:val="19"/>
              </w:rPr>
              <w:t>GET</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/api/mentor/students/:id/analytics</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Returns weekly, monthly, and yearly progress analytics for a student.</w:t>
            </w:r>
          </w:p>
        </w:tc>
      </w:tr>
      <w:tr>
        <w:tc>
          <w:tcPr>
            <w:tcW w:type="dxa" w:w="2890"/>
            <w:shd w:fill="FFFFFF"/>
            <w:tcMar>
              <w:top w:w="60" w:type="dxa"/>
              <w:bottom w:w="60" w:type="dxa"/>
              <w:left w:w="100" w:type="dxa"/>
              <w:right w:w="100" w:type="dxa"/>
            </w:tcMar>
          </w:tcPr>
          <w:p>
            <w:pPr>
              <w:jc w:val="left"/>
            </w:pPr>
            <w:r>
              <w:rPr>
                <w:rFonts w:ascii="Times New Roman" w:hAnsi="Times New Roman"/>
                <w:color w:val="000000"/>
                <w:sz w:val="19"/>
              </w:rPr>
              <w:t>PATCH</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/api/mentor/profile</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Updates mentor contact details and WhatsApp phone number.</w:t>
            </w:r>
          </w:p>
        </w:tc>
      </w:tr>
      <w:tr>
        <w:tc>
          <w:tcPr>
            <w:tcW w:type="dxa" w:w="2890"/>
            <w:shd w:fill="F9F9F9"/>
            <w:tcMar>
              <w:top w:w="60" w:type="dxa"/>
              <w:bottom w:w="60" w:type="dxa"/>
              <w:left w:w="100" w:type="dxa"/>
              <w:right w:w="100" w:type="dxa"/>
            </w:tcMar>
          </w:tcPr>
          <w:p>
            <w:pPr>
              <w:jc w:val="left"/>
            </w:pPr>
            <w:r>
              <w:rPr>
                <w:rFonts w:ascii="Times New Roman" w:hAnsi="Times New Roman"/>
                <w:color w:val="000000"/>
                <w:sz w:val="19"/>
              </w:rPr>
              <w:t>POST</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/api/mock-attempts/:examSlug/chapter/:chapterId</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Logs mock score and automatically triggers mentor notification.</w:t>
            </w:r>
          </w:p>
        </w:tc>
      </w:tr>
    </w:tbl>
    <w:p/>
    <w:p>
      <w:pPr>
        <w:spacing w:before="280" w:after="120" w:line="276" w:lineRule="auto"/>
        <w:ind w:left="720"/>
        <w:jc w:val="left"/>
      </w:pPr>
      <w:r>
        <w:rPr>
          <w:rFonts w:ascii="Times New Roman" w:hAnsi="Times New Roman"/>
          <w:b/>
          <w:color w:val="000000"/>
          <w:sz w:val="26"/>
        </w:rPr>
        <w:t>8.5 Delivery Partner Logistics Module</w:t>
      </w:r>
    </w:p>
    <w:p>
      <w:pPr>
        <w:spacing w:before="160" w:after="8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8_6_delivery_fulfillment.png"/>
                    <pic:cNvPicPr/>
                  </pic:nvPicPr>
                  <pic:blipFill>
                    <a:blip r:embed="rId19"/>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000000"/>
          <w:sz w:val="21"/>
        </w:rPr>
        <w:t>Fig 8.5: Delivery Partner Fulfillment &amp; OTP Verification Interface</w:t>
      </w:r>
    </w:p>
    <w:p>
      <w:pPr>
        <w:spacing w:before="200" w:after="80" w:line="276" w:lineRule="auto"/>
        <w:ind w:left="720"/>
        <w:jc w:val="left"/>
      </w:pPr>
      <w:r>
        <w:rPr>
          <w:rFonts w:ascii="Times New Roman" w:hAnsi="Times New Roman"/>
          <w:b/>
          <w:i/>
          <w:color w:val="000000"/>
          <w:sz w:val="24"/>
        </w:rPr>
        <w:t>8.5.1 Purpose &amp; Scope</w:t>
      </w:r>
    </w:p>
    <w:p>
      <w:pPr>
        <w:spacing w:after="120" w:before="0" w:line="360" w:lineRule="auto"/>
        <w:ind w:firstLine="720"/>
        <w:jc w:val="both"/>
      </w:pPr>
      <w:r>
        <w:rPr>
          <w:rFonts w:ascii="Times New Roman" w:hAnsi="Times New Roman"/>
          <w:color w:val="000000"/>
          <w:sz w:val="24"/>
        </w:rPr>
        <w:t>Coordinates physical doorstep book deliveries, return pickups, and donation transfers with assigned partner tracking and mandatory 4-digit OTP security.</w:t>
      </w:r>
    </w:p>
    <w:p>
      <w:pPr>
        <w:spacing w:before="200" w:after="80" w:line="276" w:lineRule="auto"/>
        <w:ind w:left="720"/>
        <w:jc w:val="left"/>
      </w:pPr>
      <w:r>
        <w:rPr>
          <w:rFonts w:ascii="Times New Roman" w:hAnsi="Times New Roman"/>
          <w:b/>
          <w:i/>
          <w:color w:val="000000"/>
          <w:sz w:val="24"/>
        </w:rPr>
        <w:t>8.5.2 Functional Requirements</w:t>
      </w:r>
    </w:p>
    <w:p>
      <w:pPr>
        <w:pStyle w:val="ListBullet"/>
        <w:spacing w:after="80" w:before="40" w:line="312" w:lineRule="auto"/>
        <w:ind w:left="720" w:hanging="360"/>
        <w:jc w:val="both"/>
      </w:pPr>
      <w:r>
        <w:rPr>
          <w:rFonts w:ascii="Times New Roman" w:hAnsi="Times New Roman"/>
          <w:b/>
          <w:color w:val="000000"/>
          <w:sz w:val="24"/>
        </w:rPr>
        <w:t xml:space="preserve">Consignment Dashboard (/delivery): </w:t>
      </w:r>
      <w:r>
        <w:rPr>
          <w:rFonts w:ascii="Times New Roman" w:hAnsi="Times New Roman"/>
          <w:color w:val="000000"/>
          <w:sz w:val="24"/>
        </w:rPr>
        <w:t>Delivery personnel view assigned shipments, recipient names, delivery addresses, telephone numbers, and dispatch instructions.</w:t>
      </w:r>
    </w:p>
    <w:p>
      <w:pPr>
        <w:pStyle w:val="ListBullet"/>
        <w:spacing w:after="80" w:before="40" w:line="312" w:lineRule="auto"/>
        <w:ind w:left="720" w:hanging="360"/>
        <w:jc w:val="both"/>
      </w:pPr>
      <w:r>
        <w:rPr>
          <w:rFonts w:ascii="Times New Roman" w:hAnsi="Times New Roman"/>
          <w:b/>
          <w:color w:val="000000"/>
          <w:sz w:val="24"/>
        </w:rPr>
        <w:t xml:space="preserve">Real-Time Order Lifecycle: </w:t>
      </w:r>
      <w:r>
        <w:rPr>
          <w:rFonts w:ascii="Times New Roman" w:hAnsi="Times New Roman"/>
          <w:color w:val="000000"/>
          <w:sz w:val="24"/>
        </w:rPr>
        <w:t>Advances consignments through structured stages: Ordered → Dispatched → In Transit → Out for Delivery → Delivered.</w:t>
      </w:r>
    </w:p>
    <w:p>
      <w:pPr>
        <w:pStyle w:val="ListBullet"/>
        <w:spacing w:after="80" w:before="40" w:line="312" w:lineRule="auto"/>
        <w:ind w:left="720" w:hanging="360"/>
        <w:jc w:val="both"/>
      </w:pPr>
      <w:r>
        <w:rPr>
          <w:rFonts w:ascii="Times New Roman" w:hAnsi="Times New Roman"/>
          <w:b/>
          <w:color w:val="000000"/>
          <w:sz w:val="24"/>
        </w:rPr>
        <w:t xml:space="preserve">Mandatory 4-Digit OTP Verification: </w:t>
      </w:r>
      <w:r>
        <w:rPr>
          <w:rFonts w:ascii="Times New Roman" w:hAnsi="Times New Roman"/>
          <w:color w:val="000000"/>
          <w:sz w:val="24"/>
        </w:rPr>
        <w:t>Delivery partners cannot mark an order completed without entering the recipient's 4-digit security OTP, preventing disputes and fraudulent status updates.</w:t>
      </w:r>
    </w:p>
    <w:p>
      <w:pPr>
        <w:pStyle w:val="ListBullet"/>
        <w:spacing w:after="80" w:before="40" w:line="312" w:lineRule="auto"/>
        <w:ind w:left="720" w:hanging="360"/>
        <w:jc w:val="both"/>
      </w:pPr>
      <w:r>
        <w:rPr>
          <w:rFonts w:ascii="Times New Roman" w:hAnsi="Times New Roman"/>
          <w:b/>
          <w:color w:val="000000"/>
          <w:sz w:val="24"/>
        </w:rPr>
        <w:t xml:space="preserve">10-Second Live Polling: </w:t>
      </w:r>
      <w:r>
        <w:rPr>
          <w:rFonts w:ascii="Times New Roman" w:hAnsi="Times New Roman"/>
          <w:color w:val="000000"/>
          <w:sz w:val="24"/>
        </w:rPr>
        <w:t>Customer order tracking pages automatically poll updates every 10 seconds to maintain synchronized status visibility.</w:t>
      </w:r>
    </w:p>
    <w:p>
      <w:pPr>
        <w:spacing w:before="200" w:after="80" w:line="276" w:lineRule="auto"/>
        <w:ind w:left="720"/>
        <w:jc w:val="left"/>
      </w:pPr>
      <w:r>
        <w:rPr>
          <w:rFonts w:ascii="Times New Roman" w:hAnsi="Times New Roman"/>
          <w:b/>
          <w:i/>
          <w:color w:val="000000"/>
          <w:sz w:val="24"/>
        </w:rPr>
        <w:t>8.5.3 API Design</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none"/>
          <w:left w:val="none"/>
          <w:right w:val="none"/>
        </w:tblBorders>
      </w:tblPr>
      <w:tblGrid>
        <w:gridCol w:w="2890"/>
        <w:gridCol w:w="2890"/>
        <w:gridCol w:w="2890"/>
      </w:tblGrid>
      <w:tr>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Method</w:t>
            </w:r>
          </w:p>
        </w:tc>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Endpoint</w:t>
            </w:r>
          </w:p>
        </w:tc>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Purpose / Contract</w:t>
            </w:r>
          </w:p>
        </w:tc>
      </w:tr>
      <w:tr>
        <w:tc>
          <w:tcPr>
            <w:tcW w:type="dxa" w:w="2890"/>
            <w:shd w:fill="FFFFFF"/>
            <w:tcMar>
              <w:top w:w="60" w:type="dxa"/>
              <w:bottom w:w="60" w:type="dxa"/>
              <w:left w:w="100" w:type="dxa"/>
              <w:right w:w="100" w:type="dxa"/>
            </w:tcMar>
          </w:tcPr>
          <w:p>
            <w:pPr>
              <w:jc w:val="left"/>
            </w:pPr>
            <w:r>
              <w:rPr>
                <w:rFonts w:ascii="Times New Roman" w:hAnsi="Times New Roman"/>
                <w:color w:val="000000"/>
                <w:sz w:val="19"/>
              </w:rPr>
              <w:t>GET</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/api/delivery/orders</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Returns consignments assigned to the authenticated delivery partner.</w:t>
            </w:r>
          </w:p>
        </w:tc>
      </w:tr>
      <w:tr>
        <w:tc>
          <w:tcPr>
            <w:tcW w:type="dxa" w:w="2890"/>
            <w:shd w:fill="F9F9F9"/>
            <w:tcMar>
              <w:top w:w="60" w:type="dxa"/>
              <w:bottom w:w="60" w:type="dxa"/>
              <w:left w:w="100" w:type="dxa"/>
              <w:right w:w="100" w:type="dxa"/>
            </w:tcMar>
          </w:tcPr>
          <w:p>
            <w:pPr>
              <w:jc w:val="left"/>
            </w:pPr>
            <w:r>
              <w:rPr>
                <w:rFonts w:ascii="Times New Roman" w:hAnsi="Times New Roman"/>
                <w:color w:val="000000"/>
                <w:sz w:val="19"/>
              </w:rPr>
              <w:t>PATCH</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/api/delivery/orders/:id/status</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Advances delivery stage; verifies 4-digit OTP before marking Delivered.</w:t>
            </w:r>
          </w:p>
        </w:tc>
      </w:tr>
      <w:tr>
        <w:tc>
          <w:tcPr>
            <w:tcW w:type="dxa" w:w="2890"/>
            <w:shd w:fill="FFFFFF"/>
            <w:tcMar>
              <w:top w:w="60" w:type="dxa"/>
              <w:bottom w:w="60" w:type="dxa"/>
              <w:left w:w="100" w:type="dxa"/>
              <w:right w:w="100" w:type="dxa"/>
            </w:tcMar>
          </w:tcPr>
          <w:p>
            <w:pPr>
              <w:jc w:val="left"/>
            </w:pPr>
            <w:r>
              <w:rPr>
                <w:rFonts w:ascii="Times New Roman" w:hAnsi="Times New Roman"/>
                <w:color w:val="000000"/>
                <w:sz w:val="19"/>
              </w:rPr>
              <w:t>GET</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/api/orders/track/:trackingId</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Public endpoint providing real-time order tracking stage updates.</w:t>
            </w:r>
          </w:p>
        </w:tc>
      </w:tr>
    </w:tbl>
    <w:p/>
    <w:p>
      <w:pPr>
        <w:spacing w:before="280" w:after="120" w:line="276" w:lineRule="auto"/>
        <w:ind w:left="720"/>
        <w:jc w:val="left"/>
      </w:pPr>
      <w:r>
        <w:rPr>
          <w:rFonts w:ascii="Times New Roman" w:hAnsi="Times New Roman"/>
          <w:b/>
          <w:color w:val="000000"/>
          <w:sz w:val="26"/>
        </w:rPr>
        <w:t>8.6 System Administration &amp; Multi-Channel Communication Engine</w:t>
      </w:r>
    </w:p>
    <w:p>
      <w:pPr>
        <w:spacing w:before="160" w:after="8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8_9_admin_dashboard.png"/>
                    <pic:cNvPicPr/>
                  </pic:nvPicPr>
                  <pic:blipFill>
                    <a:blip r:embed="rId20"/>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000000"/>
          <w:sz w:val="21"/>
        </w:rPr>
        <w:t>Fig 8.6: System Administration &amp; Communication Engine Interface</w:t>
      </w:r>
    </w:p>
    <w:p>
      <w:pPr>
        <w:spacing w:before="200" w:after="80" w:line="276" w:lineRule="auto"/>
        <w:ind w:left="720"/>
        <w:jc w:val="left"/>
      </w:pPr>
      <w:r>
        <w:rPr>
          <w:rFonts w:ascii="Times New Roman" w:hAnsi="Times New Roman"/>
          <w:b/>
          <w:i/>
          <w:color w:val="000000"/>
          <w:sz w:val="24"/>
        </w:rPr>
        <w:t>8.6.1 Purpose &amp; Scope</w:t>
      </w:r>
    </w:p>
    <w:p>
      <w:pPr>
        <w:spacing w:after="120" w:before="0" w:line="360" w:lineRule="auto"/>
        <w:ind w:firstLine="720"/>
        <w:jc w:val="both"/>
      </w:pPr>
      <w:r>
        <w:rPr>
          <w:rFonts w:ascii="Times New Roman" w:hAnsi="Times New Roman"/>
          <w:color w:val="000000"/>
          <w:sz w:val="24"/>
        </w:rPr>
        <w:t>Equips administrators with full operational control over users, mentor allocations, exam catalogs, order fulfillment, return policies, and an active multi-channel communication engine.</w:t>
      </w:r>
    </w:p>
    <w:p>
      <w:pPr>
        <w:spacing w:before="200" w:after="80" w:line="276" w:lineRule="auto"/>
        <w:ind w:left="720"/>
        <w:jc w:val="left"/>
      </w:pPr>
      <w:r>
        <w:rPr>
          <w:rFonts w:ascii="Times New Roman" w:hAnsi="Times New Roman"/>
          <w:b/>
          <w:i/>
          <w:color w:val="000000"/>
          <w:sz w:val="24"/>
        </w:rPr>
        <w:t>8.6.2 Functional Requirements</w:t>
      </w:r>
    </w:p>
    <w:p>
      <w:pPr>
        <w:pStyle w:val="ListBullet"/>
        <w:spacing w:after="80" w:before="40" w:line="312" w:lineRule="auto"/>
        <w:ind w:left="720" w:hanging="360"/>
        <w:jc w:val="both"/>
      </w:pPr>
      <w:r>
        <w:rPr>
          <w:rFonts w:ascii="Times New Roman" w:hAnsi="Times New Roman"/>
          <w:b/>
          <w:color w:val="000000"/>
          <w:sz w:val="24"/>
        </w:rPr>
        <w:t xml:space="preserve">User Governance: </w:t>
      </w:r>
      <w:r>
        <w:rPr>
          <w:rFonts w:ascii="Times New Roman" w:hAnsi="Times New Roman"/>
          <w:color w:val="000000"/>
          <w:sz w:val="24"/>
        </w:rPr>
        <w:t>Audit, activate, deactivate, and inspect all Student, Mentor, and Delivery Partner accounts.</w:t>
      </w:r>
    </w:p>
    <w:p>
      <w:pPr>
        <w:pStyle w:val="ListBullet"/>
        <w:spacing w:after="80" w:before="40" w:line="312" w:lineRule="auto"/>
        <w:ind w:left="720" w:hanging="360"/>
        <w:jc w:val="both"/>
      </w:pPr>
      <w:r>
        <w:rPr>
          <w:rFonts w:ascii="Times New Roman" w:hAnsi="Times New Roman"/>
          <w:b/>
          <w:color w:val="000000"/>
          <w:sz w:val="24"/>
        </w:rPr>
        <w:t xml:space="preserve">Academic Mentor Allocation: </w:t>
      </w:r>
      <w:r>
        <w:rPr>
          <w:rFonts w:ascii="Times New Roman" w:hAnsi="Times New Roman"/>
          <w:color w:val="000000"/>
          <w:sz w:val="24"/>
        </w:rPr>
        <w:t>Assign or reassign students to designated academic mentors, establishing supervisory linkages.</w:t>
      </w:r>
    </w:p>
    <w:p>
      <w:pPr>
        <w:pStyle w:val="ListBullet"/>
        <w:spacing w:after="80" w:before="40" w:line="312" w:lineRule="auto"/>
        <w:ind w:left="720" w:hanging="360"/>
        <w:jc w:val="both"/>
      </w:pPr>
      <w:r>
        <w:rPr>
          <w:rFonts w:ascii="Times New Roman" w:hAnsi="Times New Roman"/>
          <w:b/>
          <w:color w:val="000000"/>
          <w:sz w:val="24"/>
        </w:rPr>
        <w:t xml:space="preserve">Active Multi-Channel Communication Engine: </w:t>
      </w:r>
      <w:r>
        <w:rPr>
          <w:rFonts w:ascii="Times New Roman" w:hAnsi="Times New Roman"/>
          <w:color w:val="000000"/>
          <w:sz w:val="24"/>
        </w:rPr>
        <w:t>Admins can compose and send live Emails (dispatched from admin@examplatform.edu), WhatsApp messages, and SMS notifications directly from the platform with real delivery confirmation.</w:t>
      </w:r>
    </w:p>
    <w:p>
      <w:pPr>
        <w:pStyle w:val="ListBullet"/>
        <w:spacing w:after="80" w:before="40" w:line="312" w:lineRule="auto"/>
        <w:ind w:left="720" w:hanging="360"/>
        <w:jc w:val="both"/>
      </w:pPr>
      <w:r>
        <w:rPr>
          <w:rFonts w:ascii="Times New Roman" w:hAnsi="Times New Roman"/>
          <w:b/>
          <w:color w:val="000000"/>
          <w:sz w:val="24"/>
        </w:rPr>
        <w:t xml:space="preserve">Catalog &amp; Order Management: </w:t>
      </w:r>
      <w:r>
        <w:rPr>
          <w:rFonts w:ascii="Times New Roman" w:hAnsi="Times New Roman"/>
          <w:color w:val="000000"/>
          <w:sz w:val="24"/>
        </w:rPr>
        <w:t>Create and edit competitive examinations, update syllabus roadmaps, and monitor physical consignment progress.</w:t>
      </w:r>
    </w:p>
    <w:p>
      <w:pPr>
        <w:spacing w:before="200" w:after="80" w:line="276" w:lineRule="auto"/>
        <w:ind w:left="720"/>
        <w:jc w:val="left"/>
      </w:pPr>
      <w:r>
        <w:rPr>
          <w:rFonts w:ascii="Times New Roman" w:hAnsi="Times New Roman"/>
          <w:b/>
          <w:i/>
          <w:color w:val="000000"/>
          <w:sz w:val="24"/>
        </w:rPr>
        <w:t>8.6.3 API Design</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none"/>
          <w:left w:val="none"/>
          <w:right w:val="none"/>
        </w:tblBorders>
      </w:tblPr>
      <w:tblGrid>
        <w:gridCol w:w="2890"/>
        <w:gridCol w:w="2890"/>
        <w:gridCol w:w="2890"/>
      </w:tblGrid>
      <w:tr>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Method</w:t>
            </w:r>
          </w:p>
        </w:tc>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Endpoint</w:t>
            </w:r>
          </w:p>
        </w:tc>
        <w:tc>
          <w:tcPr>
            <w:tcW w:type="dxa" w:w="2890"/>
            <w:shd w:fill="EAEAEA"/>
            <w:tcMar>
              <w:top w:w="80" w:type="dxa"/>
              <w:bottom w:w="80" w:type="dxa"/>
              <w:left w:w="100" w:type="dxa"/>
              <w:right w:w="100" w:type="dxa"/>
            </w:tcMar>
          </w:tcPr>
          <w:p>
            <w:pPr>
              <w:jc w:val="center"/>
            </w:pPr>
            <w:r>
              <w:rPr>
                <w:rFonts w:ascii="Times New Roman" w:hAnsi="Times New Roman"/>
                <w:b/>
                <w:color w:val="000000"/>
                <w:sz w:val="20"/>
              </w:rPr>
              <w:t>Purpose / Contract</w:t>
            </w:r>
          </w:p>
        </w:tc>
      </w:tr>
      <w:tr>
        <w:tc>
          <w:tcPr>
            <w:tcW w:type="dxa" w:w="2890"/>
            <w:shd w:fill="FFFFFF"/>
            <w:tcMar>
              <w:top w:w="60" w:type="dxa"/>
              <w:bottom w:w="60" w:type="dxa"/>
              <w:left w:w="100" w:type="dxa"/>
              <w:right w:w="100" w:type="dxa"/>
            </w:tcMar>
          </w:tcPr>
          <w:p>
            <w:pPr>
              <w:jc w:val="left"/>
            </w:pPr>
            <w:r>
              <w:rPr>
                <w:rFonts w:ascii="Times New Roman" w:hAnsi="Times New Roman"/>
                <w:color w:val="000000"/>
                <w:sz w:val="19"/>
              </w:rPr>
              <w:t>GET</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/api/admin/users</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Lists all registered accounts with role filters and account status.</w:t>
            </w:r>
          </w:p>
        </w:tc>
      </w:tr>
      <w:tr>
        <w:tc>
          <w:tcPr>
            <w:tcW w:type="dxa" w:w="2890"/>
            <w:shd w:fill="F9F9F9"/>
            <w:tcMar>
              <w:top w:w="60" w:type="dxa"/>
              <w:bottom w:w="60" w:type="dxa"/>
              <w:left w:w="100" w:type="dxa"/>
              <w:right w:w="100" w:type="dxa"/>
            </w:tcMar>
          </w:tcPr>
          <w:p>
            <w:pPr>
              <w:jc w:val="left"/>
            </w:pPr>
            <w:r>
              <w:rPr>
                <w:rFonts w:ascii="Times New Roman" w:hAnsi="Times New Roman"/>
                <w:color w:val="000000"/>
                <w:sz w:val="19"/>
              </w:rPr>
              <w:t>POST</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/api/admin/assign-mentor</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Links a student account to a designated academic mentor.</w:t>
            </w:r>
          </w:p>
        </w:tc>
      </w:tr>
      <w:tr>
        <w:tc>
          <w:tcPr>
            <w:tcW w:type="dxa" w:w="2890"/>
            <w:shd w:fill="FFFFFF"/>
            <w:tcMar>
              <w:top w:w="60" w:type="dxa"/>
              <w:bottom w:w="60" w:type="dxa"/>
              <w:left w:w="100" w:type="dxa"/>
              <w:right w:w="100" w:type="dxa"/>
            </w:tcMar>
          </w:tcPr>
          <w:p>
            <w:pPr>
              <w:jc w:val="left"/>
            </w:pPr>
            <w:r>
              <w:rPr>
                <w:rFonts w:ascii="Times New Roman" w:hAnsi="Times New Roman"/>
                <w:color w:val="000000"/>
                <w:sz w:val="19"/>
              </w:rPr>
              <w:t>POST</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/api/admin/communicate</w:t>
            </w:r>
          </w:p>
        </w:tc>
        <w:tc>
          <w:tcPr>
            <w:tcW w:type="dxa" w:w="2890"/>
            <w:shd w:fill="FFFFFF"/>
            <w:tcMar>
              <w:top w:w="60" w:type="dxa"/>
              <w:bottom w:w="60" w:type="dxa"/>
              <w:left w:w="100" w:type="dxa"/>
              <w:right w:w="100" w:type="dxa"/>
            </w:tcMar>
          </w:tcPr>
          <w:p>
            <w:pPr>
              <w:jc w:val="left"/>
            </w:pPr>
            <w:r>
              <w:rPr>
                <w:rFonts w:ascii="Times New Roman" w:hAnsi="Times New Roman"/>
                <w:color w:val="000000"/>
                <w:sz w:val="19"/>
              </w:rPr>
              <w:t>Dispatches an active Email, WhatsApp message, or SMS to target users.</w:t>
            </w:r>
          </w:p>
        </w:tc>
      </w:tr>
      <w:tr>
        <w:tc>
          <w:tcPr>
            <w:tcW w:type="dxa" w:w="2890"/>
            <w:shd w:fill="F9F9F9"/>
            <w:tcMar>
              <w:top w:w="60" w:type="dxa"/>
              <w:bottom w:w="60" w:type="dxa"/>
              <w:left w:w="100" w:type="dxa"/>
              <w:right w:w="100" w:type="dxa"/>
            </w:tcMar>
          </w:tcPr>
          <w:p>
            <w:pPr>
              <w:jc w:val="left"/>
            </w:pPr>
            <w:r>
              <w:rPr>
                <w:rFonts w:ascii="Times New Roman" w:hAnsi="Times New Roman"/>
                <w:color w:val="000000"/>
                <w:sz w:val="19"/>
              </w:rPr>
              <w:t>GET</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/api/admin/analytics</w:t>
            </w:r>
          </w:p>
        </w:tc>
        <w:tc>
          <w:tcPr>
            <w:tcW w:type="dxa" w:w="2890"/>
            <w:shd w:fill="F9F9F9"/>
            <w:tcMar>
              <w:top w:w="60" w:type="dxa"/>
              <w:bottom w:w="60" w:type="dxa"/>
              <w:left w:w="100" w:type="dxa"/>
              <w:right w:w="100" w:type="dxa"/>
            </w:tcMar>
          </w:tcPr>
          <w:p>
            <w:pPr>
              <w:jc w:val="left"/>
            </w:pPr>
            <w:r>
              <w:rPr>
                <w:rFonts w:ascii="Times New Roman" w:hAnsi="Times New Roman"/>
                <w:color w:val="000000"/>
                <w:sz w:val="19"/>
              </w:rPr>
              <w:t>Aggregates total students, mock attempts, active orders, and mentor coverage.</w:t>
            </w:r>
          </w:p>
        </w:tc>
      </w:tr>
    </w:tbl>
    <w:p/>
    <w:p>
      <w:r>
        <w:br w:type="page"/>
      </w:r>
    </w:p>
    <w:p>
      <w:pPr>
        <w:spacing w:before="400" w:after="240" w:line="276" w:lineRule="auto"/>
        <w:jc w:val="center"/>
      </w:pPr>
      <w:r>
        <w:rPr>
          <w:rFonts w:ascii="Times New Roman" w:hAnsi="Times New Roman"/>
          <w:b/>
          <w:color w:val="000000"/>
          <w:sz w:val="32"/>
        </w:rPr>
        <w:t>CHAPTER 9</w:t>
        <w:br/>
        <w:t>CONCLUSION</w:t>
      </w:r>
    </w:p>
    <w:p>
      <w:pPr>
        <w:spacing w:after="120" w:before="0" w:line="360" w:lineRule="auto"/>
        <w:ind w:firstLine="720"/>
        <w:jc w:val="both"/>
      </w:pPr>
      <w:r>
        <w:rPr>
          <w:rFonts w:ascii="Times New Roman" w:hAnsi="Times New Roman"/>
          <w:color w:val="000000"/>
          <w:sz w:val="24"/>
        </w:rPr>
        <w:t>The Multi-Exam Preparation and Resource Exchange Platform delivers an end-to-end, modern digital solution that resolves the major challenges of competitive exam preparation and academic resource scarcity. By uniting multi-tier syllabus exploration, weightage-based roadmaps, continuous mock test tracking, real-time academic mentorship via automated WhatsApp alerts, a circular peer-to-peer textbook marketplace, and doorstep logistics with OTP verification, the system replaces fragmented, manual workflows with an integrated, data-driven web environment.</w:t>
      </w:r>
    </w:p>
    <w:p>
      <w:pPr>
        <w:spacing w:after="120" w:before="0" w:line="360" w:lineRule="auto"/>
        <w:ind w:firstLine="720"/>
        <w:jc w:val="both"/>
      </w:pPr>
      <w:r>
        <w:rPr>
          <w:rFonts w:ascii="Times New Roman" w:hAnsi="Times New Roman"/>
          <w:color w:val="000000"/>
          <w:sz w:val="24"/>
        </w:rPr>
        <w:t>The application was architected following robust full-stack engineering standards utilizing React.js with Vite for the frontend presentation tier, Node.js with Express.js for the RESTful API service tier, and MongoDB with Mongoose for resilient, scalable NoSQL document persistence. JWT authentication, salted bcrypt password encryption, role-based access control across four distinct user roles, request rate limiting, and HTTP security headers ensure enterprise-grade security.</w:t>
      </w:r>
    </w:p>
    <w:p>
      <w:pPr>
        <w:spacing w:after="120" w:before="0" w:line="360" w:lineRule="auto"/>
        <w:ind w:firstLine="720"/>
        <w:jc w:val="both"/>
      </w:pPr>
      <w:r>
        <w:rPr>
          <w:rFonts w:ascii="Times New Roman" w:hAnsi="Times New Roman"/>
          <w:color w:val="000000"/>
          <w:sz w:val="24"/>
        </w:rPr>
        <w:t>The completed platform demonstrates how modern web technologies can optimize academic learning, reduce educational expenditure through textbook circulation, foster student-mentor connectivity, and improve examination performance outcomes. Its modular architecture supports high maintainability and lays the foundation for future enhancements such as automated machine-learning question recommendations and mobile application deployment. Overall, the project successfully fulfills all technical objectives, delivering a secure, performant, and reliable web platform.</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