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941FD">
      <w:pPr>
        <w:spacing w:before="0" w:after="240" w:line="276" w:lineRule="auto"/>
        <w:rPr>
          <w:rFonts w:hint="default"/>
          <w:lang w:val="en-US"/>
        </w:rPr>
      </w:pPr>
      <w:r>
        <w:rPr>
          <w:rFonts w:ascii="Arial" w:hAnsi="Arial"/>
          <w:b/>
          <w:color w:val="111111"/>
          <w:sz w:val="36"/>
        </w:rPr>
        <w:t xml:space="preserve">Adaptive </w:t>
      </w:r>
      <w:r>
        <w:rPr>
          <w:rFonts w:hint="default"/>
          <w:b/>
          <w:color w:val="111111"/>
          <w:sz w:val="36"/>
          <w:lang w:val="en-US"/>
        </w:rPr>
        <w:t>Framewwork external source selection and tools-source coordination using LLM based agents</w:t>
      </w:r>
    </w:p>
    <w:p w14:paraId="17FFA245">
      <w:pPr>
        <w:numPr>
          <w:ilvl w:val="0"/>
          <w:numId w:val="7"/>
        </w:numPr>
        <w:spacing w:before="0" w:after="120"/>
      </w:pPr>
      <w:r>
        <w:rPr>
          <w:rFonts w:ascii="Arial" w:hAnsi="Arial"/>
          <w:b/>
          <w:sz w:val="22"/>
        </w:rPr>
        <w:t>Haresh</w:t>
      </w:r>
      <w:r>
        <w:rPr>
          <w:rFonts w:ascii="Arial" w:hAnsi="Arial"/>
          <w:sz w:val="16"/>
          <w:vertAlign w:val="superscript"/>
        </w:rPr>
        <w:t>1*</w:t>
      </w:r>
      <w:r>
        <w:t>,</w:t>
      </w:r>
      <w:r>
        <w:rPr>
          <w:rFonts w:ascii="Arial" w:hAnsi="Arial"/>
          <w:b/>
          <w:sz w:val="22"/>
        </w:rPr>
        <w:t>T. Ananth Kuma</w:t>
      </w:r>
      <w:r>
        <w:rPr>
          <w:rFonts w:hint="default"/>
          <w:b/>
          <w:sz w:val="22"/>
          <w:lang w:val="en-US"/>
        </w:rPr>
        <w:t>r</w:t>
      </w:r>
      <w:r>
        <w:rPr>
          <w:rFonts w:ascii="Arial" w:hAnsi="Arial"/>
          <w:sz w:val="16"/>
          <w:vertAlign w:val="superscript"/>
        </w:rPr>
        <w:t>2*</w:t>
      </w:r>
    </w:p>
    <w:p w14:paraId="4CBABE2C">
      <w:pPr>
        <w:spacing w:before="120" w:after="160" w:line="276" w:lineRule="auto"/>
        <w:rPr>
          <w:rFonts w:ascii="Arial" w:hAnsi="Arial"/>
          <w:b/>
          <w:color w:val="141414"/>
          <w:sz w:val="19"/>
        </w:rPr>
      </w:pPr>
    </w:p>
    <w:p w14:paraId="57FF2299">
      <w:pPr>
        <w:spacing w:before="120" w:after="160" w:line="276" w:lineRule="auto"/>
        <w:jc w:val="both"/>
        <w:rPr>
          <w:sz w:val="24"/>
          <w:szCs w:val="24"/>
        </w:rPr>
      </w:pPr>
      <w:r>
        <w:rPr>
          <w:rFonts w:ascii="Arial" w:hAnsi="Arial"/>
          <w:b/>
          <w:color w:val="141414"/>
          <w:sz w:val="24"/>
          <w:szCs w:val="24"/>
        </w:rPr>
        <w:t xml:space="preserve">Retrieval-Augmented Generation (RAG) significantly mitigates parametric hallucination in Large Language Models (LLMs). However, standard enterprise deployments reveal four critical systemic vulnerabilities: unconditional retrieval latency on trivial requests, combinatorial profiling bottlenecks across thousands of </w:t>
      </w:r>
      <w:bookmarkStart w:id="0" w:name="_GoBack"/>
      <w:bookmarkEnd w:id="0"/>
      <w:r>
        <w:rPr>
          <w:rFonts w:ascii="Arial" w:hAnsi="Arial"/>
          <w:b/>
          <w:color w:val="141414"/>
          <w:sz w:val="24"/>
          <w:szCs w:val="24"/>
        </w:rPr>
        <w:t>heterogeneous data endpoints, severe context inflation with contradictory facts, and compliance risks inherent in commercial cloud application programming interfaces. To resolve these challenges, this work proposes the Adaptive Multi-Objective Reasoning Algorithm (AMORA), an end-to-end framework coordinating heterogeneous enterprise endpoints under rigorous latency, reliability, freshness, and monetary cost constraints. AMORA incorporates the INKER Knowledge Retrieval Trigger to calculate an uncertainty activation score, adaptively bypassing external retrieval on 35.0% of queries where parametric knowledge is sufficient. For knowledge-intensive requests, AMORA introduces a two-stage vector pre-filtering funnel that compresses 10,000 enterprise endpoints down to 55 candidates in 3.26 milliseconds, achieving a 99.45% Source Reduction Ratio. A dynamic multi-objective optimization engine normalizes six operational dimensions subject to the 5-simplex invariant, mathematically guaranteeing Pareto-optimal tool selection. An Evidence Fusion Engine applies sliding-window hash deduplication and pairwise discrepancy graph extraction, compacting prompt tokens by 26.7% and isolating contradictory numbers prior to generative decoding. Empirical benchmarking across 20 gold multi-modal enterprise queries demonstrates that AMORA achieves a compound 52.35% net system workload reduction, preserves sub-4.2 millisecond routing latency across 10,000 catalog sources, and slashes operational expenditures by 96.5% on commodity local hardware while enforcing absolute zero-egress data sovereignty.</w:t>
      </w:r>
    </w:p>
    <w:p w14:paraId="017F8D6C">
      <w:pPr>
        <w:spacing w:before="80" w:after="280"/>
        <w:jc w:val="both"/>
        <w:rPr>
          <w:sz w:val="24"/>
          <w:szCs w:val="24"/>
        </w:rPr>
      </w:pPr>
      <w:r>
        <w:rPr>
          <w:rFonts w:ascii="Arial" w:hAnsi="Arial"/>
          <w:b/>
          <w:sz w:val="24"/>
          <w:szCs w:val="24"/>
        </w:rPr>
        <w:t xml:space="preserve">Keywords: </w:t>
      </w:r>
      <w:r>
        <w:rPr>
          <w:rFonts w:ascii="Arial" w:hAnsi="Arial"/>
          <w:sz w:val="24"/>
          <w:szCs w:val="24"/>
        </w:rPr>
        <w:t>Retrieval-augmented generation, Multi-objective optimization, Tool coordination, Edge language models, Data sovereignty, Pareto optimality</w:t>
      </w:r>
    </w:p>
    <w:p w14:paraId="05EBA324">
      <w:pPr>
        <w:keepNext/>
        <w:spacing w:before="320" w:after="120"/>
        <w:jc w:val="both"/>
        <w:rPr>
          <w:sz w:val="24"/>
          <w:szCs w:val="24"/>
        </w:rPr>
      </w:pPr>
      <w:r>
        <w:rPr>
          <w:rFonts w:ascii="Arial" w:hAnsi="Arial"/>
          <w:b/>
          <w:color w:val="0F0F0F"/>
          <w:sz w:val="24"/>
          <w:szCs w:val="24"/>
        </w:rPr>
        <w:t>Introduction</w:t>
      </w:r>
    </w:p>
    <w:p w14:paraId="58209050">
      <w:pPr>
        <w:spacing w:before="0" w:after="120" w:line="276" w:lineRule="auto"/>
        <w:jc w:val="both"/>
        <w:rPr>
          <w:sz w:val="24"/>
          <w:szCs w:val="24"/>
        </w:rPr>
      </w:pPr>
      <w:r>
        <w:rPr>
          <w:rFonts w:ascii="Arial" w:hAnsi="Arial"/>
          <w:color w:val="232323"/>
          <w:sz w:val="24"/>
          <w:szCs w:val="24"/>
        </w:rPr>
        <w:t>Large Language Models have fundamentally transformed modern enterprise intelligence and workflow automation. They demonstrate remarkable natural language generation and contextual reasoning capabilities. Global enterprises deploy these neural foundations across diverse operational domains. Typical deployments automate customer support, regulatory auditing, and complex documentation analysis. Modern businesses require rigorous factual accuracy and deterministic evidence trails. However, high linguistic fluency does not guarantee factual truthfulness. Deep neural networks frequently generate plausible yet completely fabricated assertions. Such hallucinations undermine operational trust and introduce severe corporate liabilities. Furthermore, internal corporate records evolve continuously across distributed enterprise infrastructures. Dynamic relational databases and financial ledgers update thousands of times per hour. Static parametric weights cannot capture live corporate states or private inventories. Consequently, static models suffer from acute temporal obsolescence and blind spots. Retrieval-Augmented Generation has emerged as the preeminent architectural paradigm. It dynamically retrieves relevant external context and prepends it to prompts. Grounding generation within authoritative records bridges the gap between models and data. This contextual grounding transforms fragile generative engines into robust enterprise systems. Verifiable citations establish auditability across high-stakes corporate decision workflows. External grounding provides institutional transparency across mission-critical automated pipelines. Reliable enterprise systems require deterministic evidence rather than probabilistic conjecture.</w:t>
      </w:r>
    </w:p>
    <w:p w14:paraId="036E96C4">
      <w:pPr>
        <w:spacing w:before="0" w:after="120" w:line="276" w:lineRule="auto"/>
        <w:jc w:val="both"/>
        <w:rPr>
          <w:sz w:val="24"/>
          <w:szCs w:val="24"/>
        </w:rPr>
      </w:pPr>
      <w:r>
        <w:rPr>
          <w:rFonts w:ascii="Arial" w:hAnsi="Arial"/>
          <w:color w:val="232323"/>
          <w:sz w:val="24"/>
          <w:szCs w:val="24"/>
        </w:rPr>
        <w:t>However, deploying canonical retrieval architectures within real-world enterprise environments exposes four foundational bottlenecks. First, conventional frameworks enforce unconditional retrieval on every incoming user query. They query remote vector databases even for elementary definitional requests. This indiscriminate lookup strategy incurs unnecessary latency penalties of several hundred milliseconds. Redundant lookups waste expensive server compute and generate database lock contention. Second, enterprise knowledge is fundamentally fragmented across heterogeneous operational endpoints. Critical data resides in relational tables, internal microservices, and static documents. Scaling endpoint catalogs to ten thousand sources creates severe computational bottlenecks. Exhaustive linear profiling of candidate tools induces hundreds of milliseconds of routing latency. Such delays prevent interactive sub-second conversational response times for enterprise workers. Third, multi-source retrieval floods language models with redundant and uncurated context passages. Injected context bloat triggers quadratic self-attention computational overhead. In addition, asynchronous databases frequently store conflicting values for identical business entities. Passing unverified contradictory numbers directly into the context window triggers severe hallucinations. Fourth, public cloud commercial APIs introduce unacceptable data governance and privacy liabilities. Transmitting proprietary corporate intellectual property across public networks violates regulatory mandates. External cloud dependencies also expose organizations to unpredictable operational expenditures.</w:t>
      </w:r>
    </w:p>
    <w:p w14:paraId="1AA7F0A3">
      <w:pPr>
        <w:spacing w:before="0" w:after="120" w:line="276" w:lineRule="auto"/>
        <w:jc w:val="both"/>
        <w:rPr>
          <w:sz w:val="24"/>
          <w:szCs w:val="24"/>
        </w:rPr>
      </w:pPr>
      <w:r>
        <w:rPr>
          <w:rFonts w:ascii="Arial" w:hAnsi="Arial"/>
          <w:color w:val="232323"/>
          <w:sz w:val="24"/>
          <w:szCs w:val="24"/>
        </w:rPr>
        <w:t>Prior research has proposed various techniques to mitigate these operational retrieval challenges. Self-reflective frameworks monitor decoding token probabilities to trigger searches dynamically. However, continuous logit inspection introduces prohibitive inference delays during token generation. Other systems train specialized reflection tokens using supervised instruction-tuning on academic corpora. Such approaches cannot be deployed zero-shot across pre-trained local enterprise models. Adaptive classifiers categorize user queries into discrete complexity tiers with varying overhead. Yet these classifiers rely on open-domain datasets and fail on proprietary schemas. Similarly, tool-augmented systems empower language models to invoke external computational APIs. Modern agent frameworks coordinate tool execution through explicit multi-step reasoning traces. However, existing tool suites struggle with enterprise catalogs containing thousands of endpoints. Standard implementations feed full documentation catalogs directly into prompt contexts. This practice exhausts context windows and degrades routing accuracy significantly. Furthermore, prior routing algorithms optimize solely for semantic textual similarity. They ignore critical operational metrics including latency, monetary cost, uptime, and freshness. Existing summarization methods also overlook fine-grained numerical contradictions across competing data sources. Unresolved factual discrepancies degrade decision confidence in downstream business applications.</w:t>
      </w:r>
    </w:p>
    <w:p w14:paraId="0B65B1B6">
      <w:pPr>
        <w:spacing w:before="0" w:after="120" w:line="276" w:lineRule="auto"/>
        <w:jc w:val="both"/>
        <w:rPr>
          <w:sz w:val="24"/>
          <w:szCs w:val="24"/>
        </w:rPr>
      </w:pPr>
      <w:r>
        <w:rPr>
          <w:rFonts w:ascii="Arial" w:hAnsi="Arial"/>
          <w:color w:val="232323"/>
          <w:sz w:val="24"/>
          <w:szCs w:val="24"/>
        </w:rPr>
        <w:t>To resolve these systemic challenges, this paper presents the AMORA architectural framework. AMORA unifies adaptive gating, scalable pre-filtering, dynamic multi-objective routing, and evidence fusion. The system decouples the decision of when to retrieve from endpoint selection. An adaptive uncertainty trigger eliminates external retrieval on thirty-five percent of queries. This gating preserves safety bounds while eliminating unnecessary computational overhead. For knowledge-intensive requests, a two-stage vector funnel prunes ten thousand candidate sources. It achieves a ninety-nine percent reduction ratio in under four milliseconds. Candidate endpoints are then ranked using dynamic multi-objective scoring. The objective weights are dynamically normalized on the standard five-simplex. This mathematical formulation guarantees Pareto-optimal tool selection for every query. An evidence fusion engine deduplicates text and extracts pairwise numerical discrepancy graphs. Discrepancy warnings alert local language models before final generative synthesis occurs. AMORA operates entirely on commodity hardware within the enterprise perimeter. It slashes operational costs by ninety-six percent while enforcing strict data sovereignty. We validate AMORA using five formal mathematical proofs and comprehensive empirical benchmarks. Our findings demonstrate sub-second response times across large-scale corporate knowledge environments. Local on-premises deployment ensures complete confidentiality for enterprise proprietary assets.</w:t>
      </w:r>
    </w:p>
    <w:p w14:paraId="73BACF35">
      <w:pPr>
        <w:spacing w:before="0" w:after="120" w:line="276" w:lineRule="auto"/>
        <w:jc w:val="both"/>
        <w:rPr>
          <w:sz w:val="24"/>
          <w:szCs w:val="24"/>
        </w:rPr>
      </w:pPr>
      <w:r>
        <w:rPr>
          <w:rFonts w:ascii="Arial" w:hAnsi="Arial"/>
          <w:color w:val="232323"/>
          <w:sz w:val="24"/>
          <w:szCs w:val="24"/>
        </w:rPr>
        <w:t>The key contributions of this study are summarized as follows:</w:t>
      </w:r>
    </w:p>
    <w:p w14:paraId="4C866210">
      <w:pPr>
        <w:pStyle w:val="23"/>
        <w:spacing w:before="40" w:after="60" w:line="276" w:lineRule="auto"/>
        <w:jc w:val="both"/>
        <w:rPr>
          <w:sz w:val="24"/>
          <w:szCs w:val="24"/>
        </w:rPr>
      </w:pPr>
      <w:r>
        <w:rPr>
          <w:rFonts w:ascii="Arial" w:hAnsi="Arial"/>
          <w:b/>
          <w:sz w:val="24"/>
          <w:szCs w:val="24"/>
        </w:rPr>
        <w:t xml:space="preserve">Problem-Driven Architectural Framework: </w:t>
      </w:r>
      <w:r>
        <w:rPr>
          <w:rFonts w:ascii="Arial" w:hAnsi="Arial"/>
          <w:sz w:val="24"/>
          <w:szCs w:val="24"/>
        </w:rPr>
        <w:t>A unified Adaptive Multi-Objective Reasoning Algorithm (AMORA) is proposed for efficient and secure coordination of heterogeneous enterprise retrieval-augmented generation.</w:t>
      </w:r>
    </w:p>
    <w:p w14:paraId="62D5EEE0">
      <w:pPr>
        <w:pStyle w:val="23"/>
        <w:spacing w:before="40" w:after="60" w:line="276" w:lineRule="auto"/>
        <w:jc w:val="both"/>
        <w:rPr>
          <w:sz w:val="24"/>
          <w:szCs w:val="24"/>
        </w:rPr>
      </w:pPr>
      <w:r>
        <w:rPr>
          <w:rFonts w:ascii="Arial" w:hAnsi="Arial"/>
          <w:b/>
          <w:sz w:val="24"/>
          <w:szCs w:val="24"/>
        </w:rPr>
        <w:t xml:space="preserve">Adaptive Knowledge Gating (IE-KRT): </w:t>
      </w:r>
      <w:r>
        <w:rPr>
          <w:rFonts w:ascii="Arial" w:hAnsi="Arial"/>
          <w:sz w:val="24"/>
          <w:szCs w:val="24"/>
        </w:rPr>
        <w:t>A mathematically bounded uncertainty trigger is incorporated at the input layer to eliminate external retrieval on 35.0% of queries while establishing a provable upper bound on false-negative retrieval errors.</w:t>
      </w:r>
    </w:p>
    <w:p w14:paraId="37D88901">
      <w:pPr>
        <w:pStyle w:val="23"/>
        <w:spacing w:before="40" w:after="60" w:line="276" w:lineRule="auto"/>
        <w:jc w:val="both"/>
        <w:rPr>
          <w:sz w:val="24"/>
          <w:szCs w:val="24"/>
        </w:rPr>
      </w:pPr>
      <w:r>
        <w:rPr>
          <w:rFonts w:ascii="Arial" w:hAnsi="Arial"/>
          <w:b/>
          <w:sz w:val="24"/>
          <w:szCs w:val="24"/>
        </w:rPr>
        <w:t xml:space="preserve">Sub-Linear Pre-filtering Funnel: </w:t>
      </w:r>
      <w:r>
        <w:rPr>
          <w:rFonts w:ascii="Arial" w:hAnsi="Arial"/>
          <w:sz w:val="24"/>
          <w:szCs w:val="24"/>
        </w:rPr>
        <w:t>A two-stage vector funnel prunes catalogs of 10,000 enterprise endpoints down to 55 candidates in 3.26 ms, reducing computational complexity from O(N · D) to O(log N + M log M).</w:t>
      </w:r>
    </w:p>
    <w:p w14:paraId="6AC700B2">
      <w:pPr>
        <w:pStyle w:val="23"/>
        <w:spacing w:before="40" w:after="60" w:line="276" w:lineRule="auto"/>
        <w:jc w:val="both"/>
        <w:rPr>
          <w:sz w:val="24"/>
          <w:szCs w:val="24"/>
        </w:rPr>
      </w:pPr>
      <w:r>
        <w:rPr>
          <w:rFonts w:ascii="Arial" w:hAnsi="Arial"/>
          <w:b/>
          <w:sz w:val="24"/>
          <w:szCs w:val="24"/>
        </w:rPr>
        <w:t xml:space="preserve">Dynamic 5-Simplex Multi-Objective Optimization: </w:t>
      </w:r>
      <w:r>
        <w:rPr>
          <w:rFonts w:ascii="Arial" w:hAnsi="Arial"/>
          <w:sz w:val="24"/>
          <w:szCs w:val="24"/>
        </w:rPr>
        <w:t>A dynamic scoring engine normalizes six operational dimensions subject to the 5-simplex invariant, mathematically guaranteeing Pareto-optimal endpoint selection.</w:t>
      </w:r>
    </w:p>
    <w:p w14:paraId="797CC4D0">
      <w:pPr>
        <w:pStyle w:val="23"/>
        <w:spacing w:before="40" w:after="60" w:line="276" w:lineRule="auto"/>
        <w:jc w:val="both"/>
        <w:rPr>
          <w:sz w:val="24"/>
          <w:szCs w:val="24"/>
        </w:rPr>
      </w:pPr>
      <w:r>
        <w:rPr>
          <w:rFonts w:ascii="Arial" w:hAnsi="Arial"/>
          <w:b/>
          <w:sz w:val="24"/>
          <w:szCs w:val="24"/>
        </w:rPr>
        <w:t xml:space="preserve">Evidence Fusion &amp; Conflict Graph Mitigation: </w:t>
      </w:r>
      <w:r>
        <w:rPr>
          <w:rFonts w:ascii="Arial" w:hAnsi="Arial"/>
          <w:sz w:val="24"/>
          <w:szCs w:val="24"/>
        </w:rPr>
        <w:t>An evidence fusion engine deduplicates redundant passages and extracts pairwise discrepancy graphs, compacting prompt tokens by 26.7% and surfacing conflicting numbers prior to generative decoding.</w:t>
      </w:r>
    </w:p>
    <w:p w14:paraId="72D3F5F6">
      <w:pPr>
        <w:pStyle w:val="23"/>
        <w:spacing w:before="40" w:after="60" w:line="276" w:lineRule="auto"/>
        <w:jc w:val="both"/>
        <w:rPr>
          <w:sz w:val="24"/>
          <w:szCs w:val="24"/>
        </w:rPr>
      </w:pPr>
      <w:r>
        <w:rPr>
          <w:rFonts w:ascii="Arial" w:hAnsi="Arial"/>
          <w:b/>
          <w:sz w:val="24"/>
          <w:szCs w:val="24"/>
        </w:rPr>
        <w:t xml:space="preserve">System-Level Performance Telemetry: </w:t>
      </w:r>
      <w:r>
        <w:rPr>
          <w:rFonts w:ascii="Arial" w:hAnsi="Arial"/>
          <w:sz w:val="24"/>
          <w:szCs w:val="24"/>
        </w:rPr>
        <w:t>Comprehensive system-level evaluation is conducted using metrics such as latency, Source Reduction Ratio, token overhead, and hardware telemetry under realistic enterprise workload scenarios.</w:t>
      </w:r>
    </w:p>
    <w:p w14:paraId="10475304">
      <w:pPr>
        <w:spacing w:before="0" w:after="120" w:line="276" w:lineRule="auto"/>
        <w:jc w:val="both"/>
        <w:rPr>
          <w:sz w:val="24"/>
          <w:szCs w:val="24"/>
        </w:rPr>
      </w:pPr>
      <w:r>
        <w:rPr>
          <w:rFonts w:ascii="Arial" w:hAnsi="Arial"/>
          <w:color w:val="232323"/>
          <w:sz w:val="24"/>
          <w:szCs w:val="24"/>
        </w:rPr>
        <w:t>The remainder of the paper is organized as follows. Section 'Related works' reviews related work across four core paradigms. Section 'Proposed model: AMORA' presents the design, mathematical proofs, and algorithmic implementation of the proposed framework. Section 'Results and discussion' discusses experimental results, benchmark comparisons, and system scalability. Section 'Discussion' concludes the paper with operational insights, hardware constraints, and future research directions.</w:t>
      </w:r>
    </w:p>
    <w:p w14:paraId="29E6CFCD">
      <w:pPr>
        <w:keepNext/>
        <w:spacing w:before="320" w:after="120"/>
        <w:jc w:val="both"/>
        <w:rPr>
          <w:sz w:val="24"/>
          <w:szCs w:val="24"/>
        </w:rPr>
      </w:pPr>
      <w:r>
        <w:rPr>
          <w:rFonts w:ascii="Arial" w:hAnsi="Arial"/>
          <w:b/>
          <w:color w:val="0F0F0F"/>
          <w:sz w:val="24"/>
          <w:szCs w:val="24"/>
        </w:rPr>
        <w:t>Related works</w:t>
      </w:r>
    </w:p>
    <w:p w14:paraId="2EB8CAB2">
      <w:pPr>
        <w:spacing w:before="0" w:after="120" w:line="276" w:lineRule="auto"/>
        <w:jc w:val="both"/>
        <w:rPr>
          <w:sz w:val="24"/>
          <w:szCs w:val="24"/>
        </w:rPr>
      </w:pPr>
      <w:r>
        <w:rPr>
          <w:rFonts w:ascii="Arial" w:hAnsi="Arial"/>
          <w:color w:val="232323"/>
          <w:sz w:val="24"/>
          <w:szCs w:val="24"/>
        </w:rPr>
        <w:t>The architecture of AMORA intersects multiple foundational subfields across natural language processing, distributed information retrieval, multi-objective optimization, and neuro-symbolic systems engineering. This section provides a structured, thematic synthesis of existing literature, highlighting quantitative benchmarks and identifying foundational gaps that AMORA directly addresses.</w:t>
      </w:r>
    </w:p>
    <w:p w14:paraId="1C80FB16">
      <w:pPr>
        <w:keepNext/>
        <w:spacing w:before="240" w:after="80"/>
        <w:jc w:val="both"/>
        <w:rPr>
          <w:sz w:val="24"/>
          <w:szCs w:val="24"/>
        </w:rPr>
      </w:pPr>
      <w:r>
        <w:rPr>
          <w:rFonts w:ascii="Arial" w:hAnsi="Arial"/>
          <w:b/>
          <w:color w:val="191919"/>
          <w:sz w:val="24"/>
          <w:szCs w:val="24"/>
        </w:rPr>
        <w:t>Evolution of Retrieval-Augmented Generation</w:t>
      </w:r>
    </w:p>
    <w:p w14:paraId="601C786F">
      <w:pPr>
        <w:spacing w:before="0" w:after="120" w:line="276" w:lineRule="auto"/>
        <w:jc w:val="both"/>
        <w:rPr>
          <w:sz w:val="24"/>
          <w:szCs w:val="24"/>
        </w:rPr>
      </w:pPr>
      <w:r>
        <w:rPr>
          <w:rFonts w:ascii="Arial" w:hAnsi="Arial"/>
          <w:color w:val="232323"/>
          <w:sz w:val="24"/>
          <w:szCs w:val="24"/>
        </w:rPr>
        <w:t>Retrieval-Augmented Generation fundamentally reframes autoregressive language modeling by separating knowledge retrieval from token generation. Foundational models such as REALM and RETRO incorporated dense dual-encoder retrieval mechanisms directly into masked language modeling pre-training objectives, demonstrating substantial gains over standard transformer baselines across open-domain factual benchmarks such as Natural Questions and TriviaQA. However, as parameter counts scaled to tens and hundreds of billions, fine-tuning neural retrieval mechanisms end-to-end became computationally prohibitive for practical engineering. Consequently, research transitioned toward modular, post-hoc RAG architectures.</w:t>
      </w:r>
    </w:p>
    <w:p w14:paraId="1748BBDE">
      <w:pPr>
        <w:spacing w:before="0" w:after="120" w:line="276" w:lineRule="auto"/>
        <w:jc w:val="both"/>
        <w:rPr>
          <w:sz w:val="24"/>
          <w:szCs w:val="24"/>
        </w:rPr>
      </w:pPr>
      <w:r>
        <w:rPr>
          <w:rFonts w:ascii="Arial" w:hAnsi="Arial"/>
          <w:color w:val="232323"/>
          <w:sz w:val="24"/>
          <w:szCs w:val="24"/>
        </w:rPr>
        <w:t>Standard modular RAG pipelines leverage bi-encoder architectures, including Dense Passage Retrieval (DPR), Contriever, and BGE, to compute semantic similarity between queries and chunked passages, executing approximate nearest-neighbor search via Hierarchical Navigable Small World (HNSW) graphs or FAISS indices. Subsequent research introduced multi-query expansion and speculative drafting (e.g., Query2Doc, HyDE, Speculative RAG, and Corrective RAG) to filter irrelevant chunks prior to prompt assembly. Despite these algorithmic refinements, existing frameworks operate under the fundamental assumption of a single, homogeneous, unstructured text corpus. They remain architecturally incapable of dynamically profiling, ranking, and querying structured enterprise assets such as relational database ledgers or parameterized microservice APIs.</w:t>
      </w:r>
    </w:p>
    <w:p w14:paraId="2866ED72">
      <w:pPr>
        <w:keepNext/>
        <w:spacing w:before="240" w:after="80"/>
        <w:jc w:val="both"/>
        <w:rPr>
          <w:sz w:val="24"/>
          <w:szCs w:val="24"/>
        </w:rPr>
      </w:pPr>
      <w:r>
        <w:rPr>
          <w:rFonts w:ascii="Arial" w:hAnsi="Arial"/>
          <w:b/>
          <w:color w:val="191919"/>
          <w:sz w:val="24"/>
          <w:szCs w:val="24"/>
        </w:rPr>
        <w:t>Adaptive, Conditional, and Self-Reflective Retrieval</w:t>
      </w:r>
    </w:p>
    <w:p w14:paraId="571B7E44">
      <w:pPr>
        <w:spacing w:before="0" w:after="120" w:line="276" w:lineRule="auto"/>
        <w:jc w:val="both"/>
        <w:rPr>
          <w:sz w:val="24"/>
          <w:szCs w:val="24"/>
        </w:rPr>
      </w:pPr>
      <w:r>
        <w:rPr>
          <w:rFonts w:ascii="Arial" w:hAnsi="Arial"/>
          <w:color w:val="232323"/>
          <w:sz w:val="24"/>
          <w:szCs w:val="24"/>
        </w:rPr>
        <w:t>Recognizing the substantial latency and computational penalties imposed by unconditional vector lookups, recent literature has explored conditional and adaptive retrieval triggers. FLARE (Forward-Looking Active Retrieval Augmented Generation) monitors the token-level generation probabilities of the decoding LLM; when output confidence drops below a pre-set threshold, generation pauses, a temporary retrieval query is formulated from anticipated sentence tokens, and the sentence is regenerated. While FLARE avoids unnecessary retrieval on fluent sequences, its continuous logit monitoring introduces high decode-loop latency and is incompatible with black-box inference engines.</w:t>
      </w:r>
    </w:p>
    <w:p w14:paraId="5865AD7A">
      <w:pPr>
        <w:spacing w:before="0" w:after="120" w:line="276" w:lineRule="auto"/>
        <w:jc w:val="both"/>
        <w:rPr>
          <w:sz w:val="24"/>
          <w:szCs w:val="24"/>
        </w:rPr>
      </w:pPr>
      <w:r>
        <w:rPr>
          <w:rFonts w:ascii="Arial" w:hAnsi="Arial"/>
          <w:color w:val="232323"/>
          <w:sz w:val="24"/>
          <w:szCs w:val="24"/>
        </w:rPr>
        <w:t>Self-RAG trains models using special reflection tokens, allowing models to self-assess retrieval necessity and critique generated factual support. Although Self-RAG exhibits remarkable flexibility, it requires extensive supervised fine-tuning on specialized instruction corpora, preventing zero-shot adoption across commercial or proprietary enterprise models. Adaptive-RAG deploys a dedicated classifier to categorize incoming queries into discrete complexity tiers, selectively activating no retrieval, single-step retrieval, or iterative multi-step reasoning. Concurrently, SKR prompts models to self-assess their own parametric knowledge prior to executing searches. Nevertheless, these frameworks evaluate retrieval strictly within open-domain academic benchmarks where knowledge is public. In an enterprise environment, an over-confident model self-assessment risks catastrophic false negatives on proprietary corporate records. AMORA overcomes this vulnerability via the INKER Knowledge Retrieval Trigger (IE-KRT), which mathematically couples query structural complexity with factual and temporal sensitivity, establishing a conservative activation threshold (θ = 0.25) that empirically guarantees zero false negatives on private corporate assets.</w:t>
      </w:r>
    </w:p>
    <w:p w14:paraId="304AE717">
      <w:pPr>
        <w:keepNext/>
        <w:spacing w:before="240" w:after="80"/>
        <w:jc w:val="both"/>
        <w:rPr>
          <w:sz w:val="24"/>
          <w:szCs w:val="24"/>
        </w:rPr>
      </w:pPr>
      <w:r>
        <w:rPr>
          <w:rFonts w:ascii="Arial" w:hAnsi="Arial"/>
          <w:b/>
          <w:color w:val="191919"/>
          <w:sz w:val="24"/>
          <w:szCs w:val="24"/>
        </w:rPr>
        <w:t>Tool-Augmented LLMs and Heterogeneous API Coordination</w:t>
      </w:r>
    </w:p>
    <w:p w14:paraId="1771B8C4">
      <w:pPr>
        <w:spacing w:before="0" w:after="120" w:line="276" w:lineRule="auto"/>
        <w:jc w:val="both"/>
        <w:rPr>
          <w:sz w:val="24"/>
          <w:szCs w:val="24"/>
        </w:rPr>
      </w:pPr>
      <w:r>
        <w:rPr>
          <w:rFonts w:ascii="Arial" w:hAnsi="Arial"/>
          <w:color w:val="232323"/>
          <w:sz w:val="24"/>
          <w:szCs w:val="24"/>
        </w:rPr>
        <w:t>To extend language models beyond static text manipulation, tool-augmented systems empower models to interact with digital environments. Toolformer demonstrated that models can self-supervisedly learn to execute functional APIs through inline functional call tokens. Concurrently, ReAct formalized the interleaving of explicit reasoning traces and environmental tool executions, establishing the foundation for modern autonomous agent frameworks.</w:t>
      </w:r>
    </w:p>
    <w:p w14:paraId="53A67DE6">
      <w:pPr>
        <w:spacing w:before="0" w:after="120" w:line="276" w:lineRule="auto"/>
        <w:jc w:val="both"/>
        <w:rPr>
          <w:sz w:val="24"/>
          <w:szCs w:val="24"/>
        </w:rPr>
      </w:pPr>
      <w:r>
        <w:rPr>
          <w:rFonts w:ascii="Arial" w:hAnsi="Arial"/>
          <w:color w:val="232323"/>
          <w:sz w:val="24"/>
          <w:szCs w:val="24"/>
        </w:rPr>
        <w:t>To scale tool usage across massive software ecosystems, Gorilla and ToolLLM investigated instruction-tuning across vast catalogs of real-world RESTful APIs. ToolLLM compiled over 16,000 real-world APIs and introduced ToolBench, demonstrating that fine-tuned 7B models could perform multi-step depth-first tool routing. RestGPT and Chameleon further structured API invocation through hierarchical planners and execution controllers. However, these systems exhibit severe profiling bottlenecks when exposed to enterprise catalogs containing thousands of internal microservices and database views (N ≥ 10,000). Standard implementations feed all candidate tool documentation directly into the LLM prompt, rapidly exceeding context window constraints and inducing high inference latency. AMORA solves this bottleneck through its two-stage vector pre-filtering funnel, which mechanically prunes N = 10,000 endpoints down to M = 55 candidates in 3.26 ms before invoking downstream ranking.</w:t>
      </w:r>
    </w:p>
    <w:p w14:paraId="4E462C14">
      <w:pPr>
        <w:keepNext/>
        <w:spacing w:before="240" w:after="80"/>
        <w:jc w:val="both"/>
        <w:rPr>
          <w:sz w:val="24"/>
          <w:szCs w:val="24"/>
        </w:rPr>
      </w:pPr>
      <w:r>
        <w:rPr>
          <w:rFonts w:ascii="Arial" w:hAnsi="Arial"/>
          <w:b/>
          <w:color w:val="191919"/>
          <w:sz w:val="24"/>
          <w:szCs w:val="24"/>
        </w:rPr>
        <w:t>Multi-Objective Information Retrieval and Pareto Optimization</w:t>
      </w:r>
    </w:p>
    <w:p w14:paraId="0691F98B">
      <w:pPr>
        <w:spacing w:before="0" w:after="120" w:line="276" w:lineRule="auto"/>
        <w:jc w:val="both"/>
        <w:rPr>
          <w:sz w:val="24"/>
          <w:szCs w:val="24"/>
        </w:rPr>
      </w:pPr>
      <w:r>
        <w:rPr>
          <w:rFonts w:ascii="Arial" w:hAnsi="Arial"/>
          <w:color w:val="232323"/>
          <w:sz w:val="24"/>
          <w:szCs w:val="24"/>
        </w:rPr>
        <w:t>Information retrieval in multi-modal environments inherently involves competing, incommensurable criteria. A candidate source may offer exceptional semantic relevance but suffer from high latency, stale records, high monetary query fees, or low historical reliability. Traditional search engines resolve multi-criteria trade-offs using static linear scalarization (e.g., LambdaMART) or constrained non-linear programming. However, static weights cannot adapt to the shifting priorities of heterogeneous enterprise queries: a compliance audit query demands absolute reliability and provenance, while an urgent supply-chain query requires real-time freshness.</w:t>
      </w:r>
    </w:p>
    <w:p w14:paraId="71E2F6AD">
      <w:pPr>
        <w:spacing w:before="0" w:after="120" w:line="276" w:lineRule="auto"/>
        <w:jc w:val="both"/>
        <w:rPr>
          <w:sz w:val="24"/>
          <w:szCs w:val="24"/>
        </w:rPr>
      </w:pPr>
      <w:r>
        <w:rPr>
          <w:rFonts w:ascii="Arial" w:hAnsi="Arial"/>
          <w:color w:val="232323"/>
          <w:sz w:val="24"/>
          <w:szCs w:val="24"/>
        </w:rPr>
        <w:t>In multi-objective optimization literature, Pareto-optimal set identification (NSGA-II, MOEA/D) provides a rigorous foundation for identifying non-dominated solutions across multi-dimensional criteria. In this work, AMORA establishes an analytical bridge between Pareto optimality and adaptive query intent. We formulate a dynamically normalized 6-dimensional scoring function subject to the strict simplex constraint ∑ W_j = 1.0, mathematically proving that dynamic weight updates preserve the Pareto frontier while guaranteeing optimal alignment with detected query modalities.</w:t>
      </w:r>
    </w:p>
    <w:p w14:paraId="37F9EBAB">
      <w:pPr>
        <w:keepNext/>
        <w:spacing w:before="240" w:after="80"/>
        <w:jc w:val="both"/>
        <w:rPr>
          <w:sz w:val="24"/>
          <w:szCs w:val="24"/>
        </w:rPr>
      </w:pPr>
      <w:r>
        <w:rPr>
          <w:rFonts w:ascii="Arial" w:hAnsi="Arial"/>
          <w:b/>
          <w:color w:val="191919"/>
          <w:sz w:val="24"/>
          <w:szCs w:val="24"/>
        </w:rPr>
        <w:t>Text Deduplication, Multi-Source Contradiction, and Truth Discovery</w:t>
      </w:r>
    </w:p>
    <w:p w14:paraId="00E260A8">
      <w:pPr>
        <w:spacing w:before="0" w:after="120" w:line="276" w:lineRule="auto"/>
        <w:jc w:val="both"/>
        <w:rPr>
          <w:sz w:val="24"/>
          <w:szCs w:val="24"/>
        </w:rPr>
      </w:pPr>
      <w:r>
        <w:rPr>
          <w:rFonts w:ascii="Arial" w:hAnsi="Arial"/>
          <w:color w:val="232323"/>
          <w:sz w:val="24"/>
          <w:szCs w:val="24"/>
        </w:rPr>
        <w:t>When multiple heterogeneous tools are invoked simultaneously, their outputs frequently contain redundant information or outright factual discrepancies. In multi-document summarization literature, text deduplication is conventionally handled through character-level n-gram overlap, MinHash locality-sensitive hashing (LSH), or semantic passage cosine thresholds. However, semantic embeddings often fail to detect fine-grained numerical discrepancies (e.g., the vector cosine similarity between 'Stock is 150' and 'Stock is 90' is typically &gt; 0.94, masking the critical operational contradiction).</w:t>
      </w:r>
    </w:p>
    <w:p w14:paraId="29336415">
      <w:pPr>
        <w:spacing w:before="0" w:after="120" w:line="276" w:lineRule="auto"/>
        <w:jc w:val="both"/>
        <w:rPr>
          <w:sz w:val="24"/>
          <w:szCs w:val="24"/>
        </w:rPr>
      </w:pPr>
      <w:r>
        <w:rPr>
          <w:rFonts w:ascii="Arial" w:hAnsi="Arial"/>
          <w:color w:val="232323"/>
          <w:sz w:val="24"/>
          <w:szCs w:val="24"/>
        </w:rPr>
        <w:t>Truth discovery and multi-source credibility modeling have been extensively studied in database literature. Existing truth discovery algorithms iteratively infer source trustworthiness and object truth values via Bayesian networks or expectation-maximization. However, these algorithms assume batch processing over large static relational tables and cannot operate within the sub-10 ms latency envelope required by conversational RAG systems. AMORA bridges this divide by deploying a lightweight, graph-theoretic entity extraction and sliding-window hash deduplication engine that isolates contradictory numerical values across database rows and API responses in O(E^2) time prior to LLM synthesis.</w:t>
      </w:r>
    </w:p>
    <w:p w14:paraId="11ED0BBF">
      <w:pPr>
        <w:spacing w:before="200" w:after="40"/>
        <w:jc w:val="both"/>
        <w:rPr>
          <w:sz w:val="24"/>
          <w:szCs w:val="24"/>
        </w:rPr>
      </w:pPr>
      <w:r>
        <w:rPr>
          <w:b/>
          <w:sz w:val="24"/>
          <w:szCs w:val="24"/>
        </w:rPr>
        <w:t>Table 1. Comprehensive Architectural Comparison of AMORA Against Prior State-of-the-Art Frameworks.</w:t>
      </w:r>
    </w:p>
    <w:tbl>
      <w:tblPr>
        <w:tblStyle w:val="12"/>
        <w:tblW w:w="0" w:type="auto"/>
        <w:jc w:val="center"/>
        <w:tblLayout w:type="autofit"/>
        <w:tblCellMar>
          <w:top w:w="0" w:type="dxa"/>
          <w:left w:w="108" w:type="dxa"/>
          <w:bottom w:w="0" w:type="dxa"/>
          <w:right w:w="108" w:type="dxa"/>
        </w:tblCellMar>
      </w:tblPr>
      <w:tblGrid>
        <w:gridCol w:w="1202"/>
        <w:gridCol w:w="1099"/>
        <w:gridCol w:w="966"/>
        <w:gridCol w:w="1130"/>
        <w:gridCol w:w="1335"/>
        <w:gridCol w:w="1027"/>
        <w:gridCol w:w="1058"/>
        <w:gridCol w:w="1140"/>
        <w:gridCol w:w="864"/>
      </w:tblGrid>
      <w:tr w14:paraId="20F5D2D9">
        <w:tblPrEx>
          <w:tblCellMar>
            <w:top w:w="0" w:type="dxa"/>
            <w:left w:w="108" w:type="dxa"/>
            <w:bottom w:w="0" w:type="dxa"/>
            <w:right w:w="108" w:type="dxa"/>
          </w:tblCellMar>
        </w:tblPrEx>
        <w:trPr>
          <w:jc w:val="center"/>
        </w:trPr>
        <w:tc>
          <w:tcPr>
            <w:tcW w:w="1067" w:type="dxa"/>
            <w:tcBorders>
              <w:top w:val="single" w:color="000000" w:sz="6" w:space="0"/>
              <w:left w:val="nil"/>
              <w:bottom w:val="single" w:color="000000" w:sz="6" w:space="0"/>
              <w:right w:val="nil"/>
            </w:tcBorders>
            <w:shd w:val="clear" w:color="auto" w:fill="F2F2F2"/>
          </w:tcPr>
          <w:p w14:paraId="676BAF9D">
            <w:pPr>
              <w:spacing w:before="40" w:after="40"/>
              <w:jc w:val="both"/>
              <w:rPr>
                <w:sz w:val="24"/>
                <w:szCs w:val="24"/>
              </w:rPr>
            </w:pPr>
            <w:r>
              <w:rPr>
                <w:rFonts w:ascii="Arial" w:hAnsi="Arial"/>
                <w:b/>
                <w:sz w:val="24"/>
                <w:szCs w:val="24"/>
              </w:rPr>
              <w:t>Framework</w:t>
            </w:r>
          </w:p>
        </w:tc>
        <w:tc>
          <w:tcPr>
            <w:tcW w:w="1067" w:type="dxa"/>
            <w:tcBorders>
              <w:top w:val="single" w:color="000000" w:sz="6" w:space="0"/>
              <w:left w:val="nil"/>
              <w:bottom w:val="single" w:color="000000" w:sz="6" w:space="0"/>
              <w:right w:val="nil"/>
            </w:tcBorders>
            <w:shd w:val="clear" w:color="auto" w:fill="F2F2F2"/>
          </w:tcPr>
          <w:p w14:paraId="0723A99B">
            <w:pPr>
              <w:spacing w:before="40" w:after="40"/>
              <w:jc w:val="both"/>
              <w:rPr>
                <w:sz w:val="24"/>
                <w:szCs w:val="24"/>
              </w:rPr>
            </w:pPr>
            <w:r>
              <w:rPr>
                <w:rFonts w:ascii="Arial" w:hAnsi="Arial"/>
                <w:b/>
                <w:sz w:val="24"/>
                <w:szCs w:val="24"/>
              </w:rPr>
              <w:t>Adaptive Gating</w:t>
            </w:r>
          </w:p>
        </w:tc>
        <w:tc>
          <w:tcPr>
            <w:tcW w:w="1067" w:type="dxa"/>
            <w:tcBorders>
              <w:top w:val="single" w:color="000000" w:sz="6" w:space="0"/>
              <w:left w:val="nil"/>
              <w:bottom w:val="single" w:color="000000" w:sz="6" w:space="0"/>
              <w:right w:val="nil"/>
            </w:tcBorders>
            <w:shd w:val="clear" w:color="auto" w:fill="F2F2F2"/>
          </w:tcPr>
          <w:p w14:paraId="11DE7BC3">
            <w:pPr>
              <w:spacing w:before="40" w:after="40"/>
              <w:jc w:val="both"/>
              <w:rPr>
                <w:sz w:val="24"/>
                <w:szCs w:val="24"/>
              </w:rPr>
            </w:pPr>
            <w:r>
              <w:rPr>
                <w:rFonts w:ascii="Arial" w:hAnsi="Arial"/>
                <w:b/>
                <w:sz w:val="24"/>
                <w:szCs w:val="24"/>
              </w:rPr>
              <w:t>Modality Support</w:t>
            </w:r>
          </w:p>
        </w:tc>
        <w:tc>
          <w:tcPr>
            <w:tcW w:w="1067" w:type="dxa"/>
            <w:tcBorders>
              <w:top w:val="single" w:color="000000" w:sz="6" w:space="0"/>
              <w:left w:val="nil"/>
              <w:bottom w:val="single" w:color="000000" w:sz="6" w:space="0"/>
              <w:right w:val="nil"/>
            </w:tcBorders>
            <w:shd w:val="clear" w:color="auto" w:fill="F2F2F2"/>
          </w:tcPr>
          <w:p w14:paraId="37D7DBF7">
            <w:pPr>
              <w:spacing w:before="40" w:after="40"/>
              <w:jc w:val="both"/>
              <w:rPr>
                <w:sz w:val="24"/>
                <w:szCs w:val="24"/>
              </w:rPr>
            </w:pPr>
            <w:r>
              <w:rPr>
                <w:rFonts w:ascii="Arial" w:hAnsi="Arial"/>
                <w:b/>
                <w:sz w:val="24"/>
                <w:szCs w:val="24"/>
              </w:rPr>
              <w:t>Catalog Scalability</w:t>
            </w:r>
          </w:p>
        </w:tc>
        <w:tc>
          <w:tcPr>
            <w:tcW w:w="1067" w:type="dxa"/>
            <w:tcBorders>
              <w:top w:val="single" w:color="000000" w:sz="6" w:space="0"/>
              <w:left w:val="nil"/>
              <w:bottom w:val="single" w:color="000000" w:sz="6" w:space="0"/>
              <w:right w:val="nil"/>
            </w:tcBorders>
            <w:shd w:val="clear" w:color="auto" w:fill="F2F2F2"/>
          </w:tcPr>
          <w:p w14:paraId="13711103">
            <w:pPr>
              <w:spacing w:before="40" w:after="40"/>
              <w:jc w:val="both"/>
              <w:rPr>
                <w:sz w:val="24"/>
                <w:szCs w:val="24"/>
              </w:rPr>
            </w:pPr>
            <w:r>
              <w:rPr>
                <w:rFonts w:ascii="Arial" w:hAnsi="Arial"/>
                <w:b/>
                <w:sz w:val="24"/>
                <w:szCs w:val="24"/>
              </w:rPr>
              <w:t>Multi-Obj. Optimization</w:t>
            </w:r>
          </w:p>
        </w:tc>
        <w:tc>
          <w:tcPr>
            <w:tcW w:w="1067" w:type="dxa"/>
            <w:tcBorders>
              <w:top w:val="single" w:color="000000" w:sz="6" w:space="0"/>
              <w:left w:val="nil"/>
              <w:bottom w:val="single" w:color="000000" w:sz="6" w:space="0"/>
              <w:right w:val="nil"/>
            </w:tcBorders>
            <w:shd w:val="clear" w:color="auto" w:fill="F2F2F2"/>
          </w:tcPr>
          <w:p w14:paraId="70DFB3BA">
            <w:pPr>
              <w:spacing w:before="40" w:after="40"/>
              <w:jc w:val="both"/>
              <w:rPr>
                <w:sz w:val="24"/>
                <w:szCs w:val="24"/>
              </w:rPr>
            </w:pPr>
            <w:r>
              <w:rPr>
                <w:rFonts w:ascii="Arial" w:hAnsi="Arial"/>
                <w:b/>
                <w:sz w:val="24"/>
                <w:szCs w:val="24"/>
              </w:rPr>
              <w:t>Evidence Dedup</w:t>
            </w:r>
          </w:p>
        </w:tc>
        <w:tc>
          <w:tcPr>
            <w:tcW w:w="1067" w:type="dxa"/>
            <w:tcBorders>
              <w:top w:val="single" w:color="000000" w:sz="6" w:space="0"/>
              <w:left w:val="nil"/>
              <w:bottom w:val="single" w:color="000000" w:sz="6" w:space="0"/>
              <w:right w:val="nil"/>
            </w:tcBorders>
            <w:shd w:val="clear" w:color="auto" w:fill="F2F2F2"/>
          </w:tcPr>
          <w:p w14:paraId="1BEC2EEF">
            <w:pPr>
              <w:spacing w:before="40" w:after="40"/>
              <w:jc w:val="both"/>
              <w:rPr>
                <w:sz w:val="24"/>
                <w:szCs w:val="24"/>
              </w:rPr>
            </w:pPr>
            <w:r>
              <w:rPr>
                <w:rFonts w:ascii="Arial" w:hAnsi="Arial"/>
                <w:b/>
                <w:sz w:val="24"/>
                <w:szCs w:val="24"/>
              </w:rPr>
              <w:t>Conflict Detection</w:t>
            </w:r>
          </w:p>
        </w:tc>
        <w:tc>
          <w:tcPr>
            <w:tcW w:w="1067" w:type="dxa"/>
            <w:tcBorders>
              <w:top w:val="single" w:color="000000" w:sz="6" w:space="0"/>
              <w:left w:val="nil"/>
              <w:bottom w:val="single" w:color="000000" w:sz="6" w:space="0"/>
              <w:right w:val="nil"/>
            </w:tcBorders>
            <w:shd w:val="clear" w:color="auto" w:fill="F2F2F2"/>
          </w:tcPr>
          <w:p w14:paraId="06BBDE02">
            <w:pPr>
              <w:spacing w:before="40" w:after="40"/>
              <w:jc w:val="both"/>
              <w:rPr>
                <w:sz w:val="24"/>
                <w:szCs w:val="24"/>
              </w:rPr>
            </w:pPr>
            <w:r>
              <w:rPr>
                <w:rFonts w:ascii="Arial" w:hAnsi="Arial"/>
                <w:b/>
                <w:sz w:val="24"/>
                <w:szCs w:val="24"/>
              </w:rPr>
              <w:t>On-Premises Residency</w:t>
            </w:r>
          </w:p>
        </w:tc>
        <w:tc>
          <w:tcPr>
            <w:tcW w:w="1067" w:type="dxa"/>
            <w:tcBorders>
              <w:top w:val="single" w:color="000000" w:sz="6" w:space="0"/>
              <w:left w:val="nil"/>
              <w:bottom w:val="single" w:color="000000" w:sz="6" w:space="0"/>
              <w:right w:val="nil"/>
            </w:tcBorders>
            <w:shd w:val="clear" w:color="auto" w:fill="F2F2F2"/>
          </w:tcPr>
          <w:p w14:paraId="79E0271D">
            <w:pPr>
              <w:spacing w:before="40" w:after="40"/>
              <w:jc w:val="both"/>
              <w:rPr>
                <w:sz w:val="24"/>
                <w:szCs w:val="24"/>
              </w:rPr>
            </w:pPr>
            <w:r>
              <w:rPr>
                <w:rFonts w:ascii="Arial" w:hAnsi="Arial"/>
                <w:b/>
                <w:sz w:val="24"/>
                <w:szCs w:val="24"/>
              </w:rPr>
              <w:t>Formal Proofs</w:t>
            </w:r>
          </w:p>
        </w:tc>
      </w:tr>
      <w:tr w14:paraId="600FE40F">
        <w:tblPrEx>
          <w:tblCellMar>
            <w:top w:w="0" w:type="dxa"/>
            <w:left w:w="108" w:type="dxa"/>
            <w:bottom w:w="0" w:type="dxa"/>
            <w:right w:w="108" w:type="dxa"/>
          </w:tblCellMar>
        </w:tblPrEx>
        <w:trPr>
          <w:jc w:val="center"/>
        </w:trPr>
        <w:tc>
          <w:tcPr>
            <w:tcW w:w="1067" w:type="dxa"/>
            <w:tcBorders>
              <w:top w:val="single" w:color="EEEEEE" w:sz="2" w:space="0"/>
              <w:left w:val="nil"/>
              <w:bottom w:val="single" w:color="EEEEEE" w:sz="2" w:space="0"/>
              <w:right w:val="nil"/>
            </w:tcBorders>
          </w:tcPr>
          <w:p w14:paraId="2ECC2DD9">
            <w:pPr>
              <w:spacing w:before="40" w:after="40"/>
              <w:jc w:val="both"/>
              <w:rPr>
                <w:sz w:val="24"/>
                <w:szCs w:val="24"/>
              </w:rPr>
            </w:pPr>
            <w:r>
              <w:rPr>
                <w:rFonts w:ascii="Arial" w:hAnsi="Arial"/>
                <w:sz w:val="24"/>
                <w:szCs w:val="24"/>
              </w:rPr>
              <w:t>Standard RAG</w:t>
            </w:r>
          </w:p>
        </w:tc>
        <w:tc>
          <w:tcPr>
            <w:tcW w:w="1067" w:type="dxa"/>
            <w:tcBorders>
              <w:top w:val="single" w:color="EEEEEE" w:sz="2" w:space="0"/>
              <w:left w:val="nil"/>
              <w:bottom w:val="single" w:color="EEEEEE" w:sz="2" w:space="0"/>
              <w:right w:val="nil"/>
            </w:tcBorders>
          </w:tcPr>
          <w:p w14:paraId="1F850236">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3086DE00">
            <w:pPr>
              <w:spacing w:before="40" w:after="40"/>
              <w:jc w:val="both"/>
              <w:rPr>
                <w:sz w:val="24"/>
                <w:szCs w:val="24"/>
              </w:rPr>
            </w:pPr>
            <w:r>
              <w:rPr>
                <w:rFonts w:ascii="Arial" w:hAnsi="Arial"/>
                <w:sz w:val="24"/>
                <w:szCs w:val="24"/>
              </w:rPr>
              <w:t>Text only</w:t>
            </w:r>
          </w:p>
        </w:tc>
        <w:tc>
          <w:tcPr>
            <w:tcW w:w="1067" w:type="dxa"/>
            <w:tcBorders>
              <w:top w:val="single" w:color="EEEEEE" w:sz="2" w:space="0"/>
              <w:left w:val="nil"/>
              <w:bottom w:val="single" w:color="EEEEEE" w:sz="2" w:space="0"/>
              <w:right w:val="nil"/>
            </w:tcBorders>
          </w:tcPr>
          <w:p w14:paraId="5B0AFD9C">
            <w:pPr>
              <w:spacing w:before="40" w:after="40"/>
              <w:jc w:val="both"/>
              <w:rPr>
                <w:sz w:val="24"/>
                <w:szCs w:val="24"/>
              </w:rPr>
            </w:pPr>
            <w:r>
              <w:rPr>
                <w:rFonts w:ascii="Arial" w:hAnsi="Arial"/>
                <w:sz w:val="24"/>
                <w:szCs w:val="24"/>
              </w:rPr>
              <w:t>Low</w:t>
            </w:r>
          </w:p>
        </w:tc>
        <w:tc>
          <w:tcPr>
            <w:tcW w:w="1067" w:type="dxa"/>
            <w:tcBorders>
              <w:top w:val="single" w:color="EEEEEE" w:sz="2" w:space="0"/>
              <w:left w:val="nil"/>
              <w:bottom w:val="single" w:color="EEEEEE" w:sz="2" w:space="0"/>
              <w:right w:val="nil"/>
            </w:tcBorders>
          </w:tcPr>
          <w:p w14:paraId="49DB0CE1">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6C05ABD7">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2F8155EC">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5FA67EFB">
            <w:pPr>
              <w:spacing w:before="40" w:after="40"/>
              <w:jc w:val="both"/>
              <w:rPr>
                <w:sz w:val="24"/>
                <w:szCs w:val="24"/>
              </w:rPr>
            </w:pPr>
            <w:r>
              <w:rPr>
                <w:rFonts w:ascii="Arial" w:hAnsi="Arial"/>
                <w:sz w:val="24"/>
                <w:szCs w:val="24"/>
              </w:rPr>
              <w:t>Yes</w:t>
            </w:r>
          </w:p>
        </w:tc>
        <w:tc>
          <w:tcPr>
            <w:tcW w:w="1067" w:type="dxa"/>
            <w:tcBorders>
              <w:top w:val="single" w:color="EEEEEE" w:sz="2" w:space="0"/>
              <w:left w:val="nil"/>
              <w:bottom w:val="single" w:color="EEEEEE" w:sz="2" w:space="0"/>
              <w:right w:val="nil"/>
            </w:tcBorders>
          </w:tcPr>
          <w:p w14:paraId="01DF616E">
            <w:pPr>
              <w:spacing w:before="40" w:after="40"/>
              <w:jc w:val="both"/>
              <w:rPr>
                <w:sz w:val="24"/>
                <w:szCs w:val="24"/>
              </w:rPr>
            </w:pPr>
            <w:r>
              <w:rPr>
                <w:rFonts w:ascii="Arial" w:hAnsi="Arial"/>
                <w:sz w:val="24"/>
                <w:szCs w:val="24"/>
              </w:rPr>
              <w:t>No</w:t>
            </w:r>
          </w:p>
        </w:tc>
      </w:tr>
      <w:tr w14:paraId="13E904CA">
        <w:tblPrEx>
          <w:tblCellMar>
            <w:top w:w="0" w:type="dxa"/>
            <w:left w:w="108" w:type="dxa"/>
            <w:bottom w:w="0" w:type="dxa"/>
            <w:right w:w="108" w:type="dxa"/>
          </w:tblCellMar>
        </w:tblPrEx>
        <w:trPr>
          <w:jc w:val="center"/>
        </w:trPr>
        <w:tc>
          <w:tcPr>
            <w:tcW w:w="1067" w:type="dxa"/>
            <w:tcBorders>
              <w:top w:val="single" w:color="EEEEEE" w:sz="2" w:space="0"/>
              <w:left w:val="nil"/>
              <w:bottom w:val="single" w:color="EEEEEE" w:sz="2" w:space="0"/>
              <w:right w:val="nil"/>
            </w:tcBorders>
          </w:tcPr>
          <w:p w14:paraId="09410856">
            <w:pPr>
              <w:spacing w:before="40" w:after="40"/>
              <w:jc w:val="both"/>
              <w:rPr>
                <w:sz w:val="24"/>
                <w:szCs w:val="24"/>
              </w:rPr>
            </w:pPr>
            <w:r>
              <w:rPr>
                <w:rFonts w:ascii="Arial" w:hAnsi="Arial"/>
                <w:sz w:val="24"/>
                <w:szCs w:val="24"/>
              </w:rPr>
              <w:t>REALM / RETRO</w:t>
            </w:r>
          </w:p>
        </w:tc>
        <w:tc>
          <w:tcPr>
            <w:tcW w:w="1067" w:type="dxa"/>
            <w:tcBorders>
              <w:top w:val="single" w:color="EEEEEE" w:sz="2" w:space="0"/>
              <w:left w:val="nil"/>
              <w:bottom w:val="single" w:color="EEEEEE" w:sz="2" w:space="0"/>
              <w:right w:val="nil"/>
            </w:tcBorders>
          </w:tcPr>
          <w:p w14:paraId="651F7AA1">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139AB2C7">
            <w:pPr>
              <w:spacing w:before="40" w:after="40"/>
              <w:jc w:val="both"/>
              <w:rPr>
                <w:sz w:val="24"/>
                <w:szCs w:val="24"/>
              </w:rPr>
            </w:pPr>
            <w:r>
              <w:rPr>
                <w:rFonts w:ascii="Arial" w:hAnsi="Arial"/>
                <w:sz w:val="24"/>
                <w:szCs w:val="24"/>
              </w:rPr>
              <w:t>Text only</w:t>
            </w:r>
          </w:p>
        </w:tc>
        <w:tc>
          <w:tcPr>
            <w:tcW w:w="1067" w:type="dxa"/>
            <w:tcBorders>
              <w:top w:val="single" w:color="EEEEEE" w:sz="2" w:space="0"/>
              <w:left w:val="nil"/>
              <w:bottom w:val="single" w:color="EEEEEE" w:sz="2" w:space="0"/>
              <w:right w:val="nil"/>
            </w:tcBorders>
          </w:tcPr>
          <w:p w14:paraId="4FD7771F">
            <w:pPr>
              <w:spacing w:before="40" w:after="40"/>
              <w:jc w:val="both"/>
              <w:rPr>
                <w:sz w:val="24"/>
                <w:szCs w:val="24"/>
              </w:rPr>
            </w:pPr>
            <w:r>
              <w:rPr>
                <w:rFonts w:ascii="Arial" w:hAnsi="Arial"/>
                <w:sz w:val="24"/>
                <w:szCs w:val="24"/>
              </w:rPr>
              <w:t>Low</w:t>
            </w:r>
          </w:p>
        </w:tc>
        <w:tc>
          <w:tcPr>
            <w:tcW w:w="1067" w:type="dxa"/>
            <w:tcBorders>
              <w:top w:val="single" w:color="EEEEEE" w:sz="2" w:space="0"/>
              <w:left w:val="nil"/>
              <w:bottom w:val="single" w:color="EEEEEE" w:sz="2" w:space="0"/>
              <w:right w:val="nil"/>
            </w:tcBorders>
          </w:tcPr>
          <w:p w14:paraId="76C58DB0">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2C887785">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06D1685A">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1C9404AB">
            <w:pPr>
              <w:spacing w:before="40" w:after="40"/>
              <w:jc w:val="both"/>
              <w:rPr>
                <w:sz w:val="24"/>
                <w:szCs w:val="24"/>
              </w:rPr>
            </w:pPr>
            <w:r>
              <w:rPr>
                <w:rFonts w:ascii="Arial" w:hAnsi="Arial"/>
                <w:sz w:val="24"/>
                <w:szCs w:val="24"/>
              </w:rPr>
              <w:t>Yes</w:t>
            </w:r>
          </w:p>
        </w:tc>
        <w:tc>
          <w:tcPr>
            <w:tcW w:w="1067" w:type="dxa"/>
            <w:tcBorders>
              <w:top w:val="single" w:color="EEEEEE" w:sz="2" w:space="0"/>
              <w:left w:val="nil"/>
              <w:bottom w:val="single" w:color="EEEEEE" w:sz="2" w:space="0"/>
              <w:right w:val="nil"/>
            </w:tcBorders>
          </w:tcPr>
          <w:p w14:paraId="7D7EA1DC">
            <w:pPr>
              <w:spacing w:before="40" w:after="40"/>
              <w:jc w:val="both"/>
              <w:rPr>
                <w:sz w:val="24"/>
                <w:szCs w:val="24"/>
              </w:rPr>
            </w:pPr>
            <w:r>
              <w:rPr>
                <w:rFonts w:ascii="Arial" w:hAnsi="Arial"/>
                <w:sz w:val="24"/>
                <w:szCs w:val="24"/>
              </w:rPr>
              <w:t>No</w:t>
            </w:r>
          </w:p>
        </w:tc>
      </w:tr>
      <w:tr w14:paraId="335CEFA5">
        <w:tblPrEx>
          <w:tblCellMar>
            <w:top w:w="0" w:type="dxa"/>
            <w:left w:w="108" w:type="dxa"/>
            <w:bottom w:w="0" w:type="dxa"/>
            <w:right w:w="108" w:type="dxa"/>
          </w:tblCellMar>
        </w:tblPrEx>
        <w:trPr>
          <w:jc w:val="center"/>
        </w:trPr>
        <w:tc>
          <w:tcPr>
            <w:tcW w:w="1067" w:type="dxa"/>
            <w:tcBorders>
              <w:top w:val="single" w:color="EEEEEE" w:sz="2" w:space="0"/>
              <w:left w:val="nil"/>
              <w:bottom w:val="single" w:color="EEEEEE" w:sz="2" w:space="0"/>
              <w:right w:val="nil"/>
            </w:tcBorders>
          </w:tcPr>
          <w:p w14:paraId="54FD0AAC">
            <w:pPr>
              <w:spacing w:before="40" w:after="40"/>
              <w:jc w:val="both"/>
              <w:rPr>
                <w:sz w:val="24"/>
                <w:szCs w:val="24"/>
              </w:rPr>
            </w:pPr>
            <w:r>
              <w:rPr>
                <w:rFonts w:ascii="Arial" w:hAnsi="Arial"/>
                <w:sz w:val="24"/>
                <w:szCs w:val="24"/>
              </w:rPr>
              <w:t>FLARE</w:t>
            </w:r>
          </w:p>
        </w:tc>
        <w:tc>
          <w:tcPr>
            <w:tcW w:w="1067" w:type="dxa"/>
            <w:tcBorders>
              <w:top w:val="single" w:color="EEEEEE" w:sz="2" w:space="0"/>
              <w:left w:val="nil"/>
              <w:bottom w:val="single" w:color="EEEEEE" w:sz="2" w:space="0"/>
              <w:right w:val="nil"/>
            </w:tcBorders>
          </w:tcPr>
          <w:p w14:paraId="7D53578C">
            <w:pPr>
              <w:spacing w:before="40" w:after="40"/>
              <w:jc w:val="both"/>
              <w:rPr>
                <w:sz w:val="24"/>
                <w:szCs w:val="24"/>
              </w:rPr>
            </w:pPr>
            <w:r>
              <w:rPr>
                <w:rFonts w:ascii="Arial" w:hAnsi="Arial"/>
                <w:sz w:val="24"/>
                <w:szCs w:val="24"/>
              </w:rPr>
              <w:t>Yes (Active)</w:t>
            </w:r>
          </w:p>
        </w:tc>
        <w:tc>
          <w:tcPr>
            <w:tcW w:w="1067" w:type="dxa"/>
            <w:tcBorders>
              <w:top w:val="single" w:color="EEEEEE" w:sz="2" w:space="0"/>
              <w:left w:val="nil"/>
              <w:bottom w:val="single" w:color="EEEEEE" w:sz="2" w:space="0"/>
              <w:right w:val="nil"/>
            </w:tcBorders>
          </w:tcPr>
          <w:p w14:paraId="2D629F12">
            <w:pPr>
              <w:spacing w:before="40" w:after="40"/>
              <w:jc w:val="both"/>
              <w:rPr>
                <w:sz w:val="24"/>
                <w:szCs w:val="24"/>
              </w:rPr>
            </w:pPr>
            <w:r>
              <w:rPr>
                <w:rFonts w:ascii="Arial" w:hAnsi="Arial"/>
                <w:sz w:val="24"/>
                <w:szCs w:val="24"/>
              </w:rPr>
              <w:t>Text only</w:t>
            </w:r>
          </w:p>
        </w:tc>
        <w:tc>
          <w:tcPr>
            <w:tcW w:w="1067" w:type="dxa"/>
            <w:tcBorders>
              <w:top w:val="single" w:color="EEEEEE" w:sz="2" w:space="0"/>
              <w:left w:val="nil"/>
              <w:bottom w:val="single" w:color="EEEEEE" w:sz="2" w:space="0"/>
              <w:right w:val="nil"/>
            </w:tcBorders>
          </w:tcPr>
          <w:p w14:paraId="5BC4D581">
            <w:pPr>
              <w:spacing w:before="40" w:after="40"/>
              <w:jc w:val="both"/>
              <w:rPr>
                <w:sz w:val="24"/>
                <w:szCs w:val="24"/>
              </w:rPr>
            </w:pPr>
            <w:r>
              <w:rPr>
                <w:rFonts w:ascii="Arial" w:hAnsi="Arial"/>
                <w:sz w:val="24"/>
                <w:szCs w:val="24"/>
              </w:rPr>
              <w:t>Low</w:t>
            </w:r>
          </w:p>
        </w:tc>
        <w:tc>
          <w:tcPr>
            <w:tcW w:w="1067" w:type="dxa"/>
            <w:tcBorders>
              <w:top w:val="single" w:color="EEEEEE" w:sz="2" w:space="0"/>
              <w:left w:val="nil"/>
              <w:bottom w:val="single" w:color="EEEEEE" w:sz="2" w:space="0"/>
              <w:right w:val="nil"/>
            </w:tcBorders>
          </w:tcPr>
          <w:p w14:paraId="625E7E13">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21A7C8D7">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0A6D0F96">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598D9CE9">
            <w:pPr>
              <w:spacing w:before="40" w:after="40"/>
              <w:jc w:val="both"/>
              <w:rPr>
                <w:sz w:val="24"/>
                <w:szCs w:val="24"/>
              </w:rPr>
            </w:pPr>
            <w:r>
              <w:rPr>
                <w:rFonts w:ascii="Arial" w:hAnsi="Arial"/>
                <w:sz w:val="24"/>
                <w:szCs w:val="24"/>
              </w:rPr>
              <w:t>Yes</w:t>
            </w:r>
          </w:p>
        </w:tc>
        <w:tc>
          <w:tcPr>
            <w:tcW w:w="1067" w:type="dxa"/>
            <w:tcBorders>
              <w:top w:val="single" w:color="EEEEEE" w:sz="2" w:space="0"/>
              <w:left w:val="nil"/>
              <w:bottom w:val="single" w:color="EEEEEE" w:sz="2" w:space="0"/>
              <w:right w:val="nil"/>
            </w:tcBorders>
          </w:tcPr>
          <w:p w14:paraId="5CF2B57C">
            <w:pPr>
              <w:spacing w:before="40" w:after="40"/>
              <w:jc w:val="both"/>
              <w:rPr>
                <w:sz w:val="24"/>
                <w:szCs w:val="24"/>
              </w:rPr>
            </w:pPr>
            <w:r>
              <w:rPr>
                <w:rFonts w:ascii="Arial" w:hAnsi="Arial"/>
                <w:sz w:val="24"/>
                <w:szCs w:val="24"/>
              </w:rPr>
              <w:t>No</w:t>
            </w:r>
          </w:p>
        </w:tc>
      </w:tr>
      <w:tr w14:paraId="752CAC34">
        <w:tblPrEx>
          <w:tblCellMar>
            <w:top w:w="0" w:type="dxa"/>
            <w:left w:w="108" w:type="dxa"/>
            <w:bottom w:w="0" w:type="dxa"/>
            <w:right w:w="108" w:type="dxa"/>
          </w:tblCellMar>
        </w:tblPrEx>
        <w:trPr>
          <w:jc w:val="center"/>
        </w:trPr>
        <w:tc>
          <w:tcPr>
            <w:tcW w:w="1067" w:type="dxa"/>
            <w:tcBorders>
              <w:top w:val="single" w:color="EEEEEE" w:sz="2" w:space="0"/>
              <w:left w:val="nil"/>
              <w:bottom w:val="single" w:color="EEEEEE" w:sz="2" w:space="0"/>
              <w:right w:val="nil"/>
            </w:tcBorders>
          </w:tcPr>
          <w:p w14:paraId="10770266">
            <w:pPr>
              <w:spacing w:before="40" w:after="40"/>
              <w:jc w:val="both"/>
              <w:rPr>
                <w:sz w:val="24"/>
                <w:szCs w:val="24"/>
              </w:rPr>
            </w:pPr>
            <w:r>
              <w:rPr>
                <w:rFonts w:ascii="Arial" w:hAnsi="Arial"/>
                <w:sz w:val="24"/>
                <w:szCs w:val="24"/>
              </w:rPr>
              <w:t>Self-RAG</w:t>
            </w:r>
          </w:p>
        </w:tc>
        <w:tc>
          <w:tcPr>
            <w:tcW w:w="1067" w:type="dxa"/>
            <w:tcBorders>
              <w:top w:val="single" w:color="EEEEEE" w:sz="2" w:space="0"/>
              <w:left w:val="nil"/>
              <w:bottom w:val="single" w:color="EEEEEE" w:sz="2" w:space="0"/>
              <w:right w:val="nil"/>
            </w:tcBorders>
          </w:tcPr>
          <w:p w14:paraId="05A40A53">
            <w:pPr>
              <w:spacing w:before="40" w:after="40"/>
              <w:jc w:val="both"/>
              <w:rPr>
                <w:sz w:val="24"/>
                <w:szCs w:val="24"/>
              </w:rPr>
            </w:pPr>
            <w:r>
              <w:rPr>
                <w:rFonts w:ascii="Arial" w:hAnsi="Arial"/>
                <w:sz w:val="24"/>
                <w:szCs w:val="24"/>
              </w:rPr>
              <w:t>Yes (Reflect)</w:t>
            </w:r>
          </w:p>
        </w:tc>
        <w:tc>
          <w:tcPr>
            <w:tcW w:w="1067" w:type="dxa"/>
            <w:tcBorders>
              <w:top w:val="single" w:color="EEEEEE" w:sz="2" w:space="0"/>
              <w:left w:val="nil"/>
              <w:bottom w:val="single" w:color="EEEEEE" w:sz="2" w:space="0"/>
              <w:right w:val="nil"/>
            </w:tcBorders>
          </w:tcPr>
          <w:p w14:paraId="79F5D21F">
            <w:pPr>
              <w:spacing w:before="40" w:after="40"/>
              <w:jc w:val="both"/>
              <w:rPr>
                <w:sz w:val="24"/>
                <w:szCs w:val="24"/>
              </w:rPr>
            </w:pPr>
            <w:r>
              <w:rPr>
                <w:rFonts w:ascii="Arial" w:hAnsi="Arial"/>
                <w:sz w:val="24"/>
                <w:szCs w:val="24"/>
              </w:rPr>
              <w:t>Text only</w:t>
            </w:r>
          </w:p>
        </w:tc>
        <w:tc>
          <w:tcPr>
            <w:tcW w:w="1067" w:type="dxa"/>
            <w:tcBorders>
              <w:top w:val="single" w:color="EEEEEE" w:sz="2" w:space="0"/>
              <w:left w:val="nil"/>
              <w:bottom w:val="single" w:color="EEEEEE" w:sz="2" w:space="0"/>
              <w:right w:val="nil"/>
            </w:tcBorders>
          </w:tcPr>
          <w:p w14:paraId="6215C3A3">
            <w:pPr>
              <w:spacing w:before="40" w:after="40"/>
              <w:jc w:val="both"/>
              <w:rPr>
                <w:sz w:val="24"/>
                <w:szCs w:val="24"/>
              </w:rPr>
            </w:pPr>
            <w:r>
              <w:rPr>
                <w:rFonts w:ascii="Arial" w:hAnsi="Arial"/>
                <w:sz w:val="24"/>
                <w:szCs w:val="24"/>
              </w:rPr>
              <w:t>Low</w:t>
            </w:r>
          </w:p>
        </w:tc>
        <w:tc>
          <w:tcPr>
            <w:tcW w:w="1067" w:type="dxa"/>
            <w:tcBorders>
              <w:top w:val="single" w:color="EEEEEE" w:sz="2" w:space="0"/>
              <w:left w:val="nil"/>
              <w:bottom w:val="single" w:color="EEEEEE" w:sz="2" w:space="0"/>
              <w:right w:val="nil"/>
            </w:tcBorders>
          </w:tcPr>
          <w:p w14:paraId="62EA42BA">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4A993DD2">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3987B128">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536D1574">
            <w:pPr>
              <w:spacing w:before="40" w:after="40"/>
              <w:jc w:val="both"/>
              <w:rPr>
                <w:sz w:val="24"/>
                <w:szCs w:val="24"/>
              </w:rPr>
            </w:pPr>
            <w:r>
              <w:rPr>
                <w:rFonts w:ascii="Arial" w:hAnsi="Arial"/>
                <w:sz w:val="24"/>
                <w:szCs w:val="24"/>
              </w:rPr>
              <w:t>Yes</w:t>
            </w:r>
          </w:p>
        </w:tc>
        <w:tc>
          <w:tcPr>
            <w:tcW w:w="1067" w:type="dxa"/>
            <w:tcBorders>
              <w:top w:val="single" w:color="EEEEEE" w:sz="2" w:space="0"/>
              <w:left w:val="nil"/>
              <w:bottom w:val="single" w:color="EEEEEE" w:sz="2" w:space="0"/>
              <w:right w:val="nil"/>
            </w:tcBorders>
          </w:tcPr>
          <w:p w14:paraId="09DBEBB0">
            <w:pPr>
              <w:spacing w:before="40" w:after="40"/>
              <w:jc w:val="both"/>
              <w:rPr>
                <w:sz w:val="24"/>
                <w:szCs w:val="24"/>
              </w:rPr>
            </w:pPr>
            <w:r>
              <w:rPr>
                <w:rFonts w:ascii="Arial" w:hAnsi="Arial"/>
                <w:sz w:val="24"/>
                <w:szCs w:val="24"/>
              </w:rPr>
              <w:t>No</w:t>
            </w:r>
          </w:p>
        </w:tc>
      </w:tr>
      <w:tr w14:paraId="76E11DA6">
        <w:tblPrEx>
          <w:tblCellMar>
            <w:top w:w="0" w:type="dxa"/>
            <w:left w:w="108" w:type="dxa"/>
            <w:bottom w:w="0" w:type="dxa"/>
            <w:right w:w="108" w:type="dxa"/>
          </w:tblCellMar>
        </w:tblPrEx>
        <w:trPr>
          <w:jc w:val="center"/>
        </w:trPr>
        <w:tc>
          <w:tcPr>
            <w:tcW w:w="1067" w:type="dxa"/>
            <w:tcBorders>
              <w:top w:val="single" w:color="EEEEEE" w:sz="2" w:space="0"/>
              <w:left w:val="nil"/>
              <w:bottom w:val="single" w:color="EEEEEE" w:sz="2" w:space="0"/>
              <w:right w:val="nil"/>
            </w:tcBorders>
          </w:tcPr>
          <w:p w14:paraId="05156E4A">
            <w:pPr>
              <w:spacing w:before="40" w:after="40"/>
              <w:jc w:val="both"/>
              <w:rPr>
                <w:sz w:val="24"/>
                <w:szCs w:val="24"/>
              </w:rPr>
            </w:pPr>
            <w:r>
              <w:rPr>
                <w:rFonts w:ascii="Arial" w:hAnsi="Arial"/>
                <w:sz w:val="24"/>
                <w:szCs w:val="24"/>
              </w:rPr>
              <w:t>ToolLLM</w:t>
            </w:r>
          </w:p>
        </w:tc>
        <w:tc>
          <w:tcPr>
            <w:tcW w:w="1067" w:type="dxa"/>
            <w:tcBorders>
              <w:top w:val="single" w:color="EEEEEE" w:sz="2" w:space="0"/>
              <w:left w:val="nil"/>
              <w:bottom w:val="single" w:color="EEEEEE" w:sz="2" w:space="0"/>
              <w:right w:val="nil"/>
            </w:tcBorders>
          </w:tcPr>
          <w:p w14:paraId="4524A2F4">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7E2766BC">
            <w:pPr>
              <w:spacing w:before="40" w:after="40"/>
              <w:jc w:val="both"/>
              <w:rPr>
                <w:sz w:val="24"/>
                <w:szCs w:val="24"/>
              </w:rPr>
            </w:pPr>
            <w:r>
              <w:rPr>
                <w:rFonts w:ascii="Arial" w:hAnsi="Arial"/>
                <w:sz w:val="24"/>
                <w:szCs w:val="24"/>
              </w:rPr>
              <w:t>REST APIs</w:t>
            </w:r>
          </w:p>
        </w:tc>
        <w:tc>
          <w:tcPr>
            <w:tcW w:w="1067" w:type="dxa"/>
            <w:tcBorders>
              <w:top w:val="single" w:color="EEEEEE" w:sz="2" w:space="0"/>
              <w:left w:val="nil"/>
              <w:bottom w:val="single" w:color="EEEEEE" w:sz="2" w:space="0"/>
              <w:right w:val="nil"/>
            </w:tcBorders>
          </w:tcPr>
          <w:p w14:paraId="24F35F15">
            <w:pPr>
              <w:spacing w:before="40" w:after="40"/>
              <w:jc w:val="both"/>
              <w:rPr>
                <w:sz w:val="24"/>
                <w:szCs w:val="24"/>
              </w:rPr>
            </w:pPr>
            <w:r>
              <w:rPr>
                <w:rFonts w:ascii="Arial" w:hAnsi="Arial"/>
                <w:sz w:val="24"/>
                <w:szCs w:val="24"/>
              </w:rPr>
              <w:t>16,000 APIs</w:t>
            </w:r>
          </w:p>
        </w:tc>
        <w:tc>
          <w:tcPr>
            <w:tcW w:w="1067" w:type="dxa"/>
            <w:tcBorders>
              <w:top w:val="single" w:color="EEEEEE" w:sz="2" w:space="0"/>
              <w:left w:val="nil"/>
              <w:bottom w:val="single" w:color="EEEEEE" w:sz="2" w:space="0"/>
              <w:right w:val="nil"/>
            </w:tcBorders>
          </w:tcPr>
          <w:p w14:paraId="19EF9BFE">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707287E2">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274D7CEA">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24854907">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412D5EA1">
            <w:pPr>
              <w:spacing w:before="40" w:after="40"/>
              <w:jc w:val="both"/>
              <w:rPr>
                <w:sz w:val="24"/>
                <w:szCs w:val="24"/>
              </w:rPr>
            </w:pPr>
            <w:r>
              <w:rPr>
                <w:rFonts w:ascii="Arial" w:hAnsi="Arial"/>
                <w:sz w:val="24"/>
                <w:szCs w:val="24"/>
              </w:rPr>
              <w:t>No</w:t>
            </w:r>
          </w:p>
        </w:tc>
      </w:tr>
      <w:tr w14:paraId="207F33DA">
        <w:tblPrEx>
          <w:tblCellMar>
            <w:top w:w="0" w:type="dxa"/>
            <w:left w:w="108" w:type="dxa"/>
            <w:bottom w:w="0" w:type="dxa"/>
            <w:right w:w="108" w:type="dxa"/>
          </w:tblCellMar>
        </w:tblPrEx>
        <w:trPr>
          <w:jc w:val="center"/>
        </w:trPr>
        <w:tc>
          <w:tcPr>
            <w:tcW w:w="1067" w:type="dxa"/>
            <w:tcBorders>
              <w:top w:val="single" w:color="EEEEEE" w:sz="2" w:space="0"/>
              <w:left w:val="nil"/>
              <w:bottom w:val="single" w:color="EEEEEE" w:sz="2" w:space="0"/>
              <w:right w:val="nil"/>
            </w:tcBorders>
          </w:tcPr>
          <w:p w14:paraId="4B942CEE">
            <w:pPr>
              <w:spacing w:before="40" w:after="40"/>
              <w:jc w:val="both"/>
              <w:rPr>
                <w:sz w:val="24"/>
                <w:szCs w:val="24"/>
              </w:rPr>
            </w:pPr>
            <w:r>
              <w:rPr>
                <w:rFonts w:ascii="Arial" w:hAnsi="Arial"/>
                <w:sz w:val="24"/>
                <w:szCs w:val="24"/>
              </w:rPr>
              <w:t>Gorilla</w:t>
            </w:r>
          </w:p>
        </w:tc>
        <w:tc>
          <w:tcPr>
            <w:tcW w:w="1067" w:type="dxa"/>
            <w:tcBorders>
              <w:top w:val="single" w:color="EEEEEE" w:sz="2" w:space="0"/>
              <w:left w:val="nil"/>
              <w:bottom w:val="single" w:color="EEEEEE" w:sz="2" w:space="0"/>
              <w:right w:val="nil"/>
            </w:tcBorders>
          </w:tcPr>
          <w:p w14:paraId="5355D8A1">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638A5A37">
            <w:pPr>
              <w:spacing w:before="40" w:after="40"/>
              <w:jc w:val="both"/>
              <w:rPr>
                <w:sz w:val="24"/>
                <w:szCs w:val="24"/>
              </w:rPr>
            </w:pPr>
            <w:r>
              <w:rPr>
                <w:rFonts w:ascii="Arial" w:hAnsi="Arial"/>
                <w:sz w:val="24"/>
                <w:szCs w:val="24"/>
              </w:rPr>
              <w:t>REST APIs</w:t>
            </w:r>
          </w:p>
        </w:tc>
        <w:tc>
          <w:tcPr>
            <w:tcW w:w="1067" w:type="dxa"/>
            <w:tcBorders>
              <w:top w:val="single" w:color="EEEEEE" w:sz="2" w:space="0"/>
              <w:left w:val="nil"/>
              <w:bottom w:val="single" w:color="EEEEEE" w:sz="2" w:space="0"/>
              <w:right w:val="nil"/>
            </w:tcBorders>
          </w:tcPr>
          <w:p w14:paraId="3F3E031D">
            <w:pPr>
              <w:spacing w:before="40" w:after="40"/>
              <w:jc w:val="both"/>
              <w:rPr>
                <w:sz w:val="24"/>
                <w:szCs w:val="24"/>
              </w:rPr>
            </w:pPr>
            <w:r>
              <w:rPr>
                <w:rFonts w:ascii="Arial" w:hAnsi="Arial"/>
                <w:sz w:val="24"/>
                <w:szCs w:val="24"/>
              </w:rPr>
              <w:t>1,600 APIs</w:t>
            </w:r>
          </w:p>
        </w:tc>
        <w:tc>
          <w:tcPr>
            <w:tcW w:w="1067" w:type="dxa"/>
            <w:tcBorders>
              <w:top w:val="single" w:color="EEEEEE" w:sz="2" w:space="0"/>
              <w:left w:val="nil"/>
              <w:bottom w:val="single" w:color="EEEEEE" w:sz="2" w:space="0"/>
              <w:right w:val="nil"/>
            </w:tcBorders>
          </w:tcPr>
          <w:p w14:paraId="5E011776">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1D7461FE">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5AE02758">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0AF80001">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1DCA3D93">
            <w:pPr>
              <w:spacing w:before="40" w:after="40"/>
              <w:jc w:val="both"/>
              <w:rPr>
                <w:sz w:val="24"/>
                <w:szCs w:val="24"/>
              </w:rPr>
            </w:pPr>
            <w:r>
              <w:rPr>
                <w:rFonts w:ascii="Arial" w:hAnsi="Arial"/>
                <w:sz w:val="24"/>
                <w:szCs w:val="24"/>
              </w:rPr>
              <w:t>No</w:t>
            </w:r>
          </w:p>
        </w:tc>
      </w:tr>
      <w:tr w14:paraId="7D2B6BD5">
        <w:tblPrEx>
          <w:tblCellMar>
            <w:top w:w="0" w:type="dxa"/>
            <w:left w:w="108" w:type="dxa"/>
            <w:bottom w:w="0" w:type="dxa"/>
            <w:right w:w="108" w:type="dxa"/>
          </w:tblCellMar>
        </w:tblPrEx>
        <w:trPr>
          <w:jc w:val="center"/>
        </w:trPr>
        <w:tc>
          <w:tcPr>
            <w:tcW w:w="1067" w:type="dxa"/>
            <w:tcBorders>
              <w:top w:val="single" w:color="EEEEEE" w:sz="2" w:space="0"/>
              <w:left w:val="nil"/>
              <w:bottom w:val="single" w:color="EEEEEE" w:sz="2" w:space="0"/>
              <w:right w:val="nil"/>
            </w:tcBorders>
          </w:tcPr>
          <w:p w14:paraId="11719ED4">
            <w:pPr>
              <w:spacing w:before="40" w:after="40"/>
              <w:jc w:val="both"/>
              <w:rPr>
                <w:sz w:val="24"/>
                <w:szCs w:val="24"/>
              </w:rPr>
            </w:pPr>
            <w:r>
              <w:rPr>
                <w:rFonts w:ascii="Arial" w:hAnsi="Arial"/>
                <w:sz w:val="24"/>
                <w:szCs w:val="24"/>
              </w:rPr>
              <w:t>Adaptive-RAG</w:t>
            </w:r>
          </w:p>
        </w:tc>
        <w:tc>
          <w:tcPr>
            <w:tcW w:w="1067" w:type="dxa"/>
            <w:tcBorders>
              <w:top w:val="single" w:color="EEEEEE" w:sz="2" w:space="0"/>
              <w:left w:val="nil"/>
              <w:bottom w:val="single" w:color="EEEEEE" w:sz="2" w:space="0"/>
              <w:right w:val="nil"/>
            </w:tcBorders>
          </w:tcPr>
          <w:p w14:paraId="49EC526D">
            <w:pPr>
              <w:spacing w:before="40" w:after="40"/>
              <w:jc w:val="both"/>
              <w:rPr>
                <w:sz w:val="24"/>
                <w:szCs w:val="24"/>
              </w:rPr>
            </w:pPr>
            <w:r>
              <w:rPr>
                <w:rFonts w:ascii="Arial" w:hAnsi="Arial"/>
                <w:sz w:val="24"/>
                <w:szCs w:val="24"/>
              </w:rPr>
              <w:t>Yes (Classifier)</w:t>
            </w:r>
          </w:p>
        </w:tc>
        <w:tc>
          <w:tcPr>
            <w:tcW w:w="1067" w:type="dxa"/>
            <w:tcBorders>
              <w:top w:val="single" w:color="EEEEEE" w:sz="2" w:space="0"/>
              <w:left w:val="nil"/>
              <w:bottom w:val="single" w:color="EEEEEE" w:sz="2" w:space="0"/>
              <w:right w:val="nil"/>
            </w:tcBorders>
          </w:tcPr>
          <w:p w14:paraId="7BFF6ECD">
            <w:pPr>
              <w:spacing w:before="40" w:after="40"/>
              <w:jc w:val="both"/>
              <w:rPr>
                <w:sz w:val="24"/>
                <w:szCs w:val="24"/>
              </w:rPr>
            </w:pPr>
            <w:r>
              <w:rPr>
                <w:rFonts w:ascii="Arial" w:hAnsi="Arial"/>
                <w:sz w:val="24"/>
                <w:szCs w:val="24"/>
              </w:rPr>
              <w:t>Text only</w:t>
            </w:r>
          </w:p>
        </w:tc>
        <w:tc>
          <w:tcPr>
            <w:tcW w:w="1067" w:type="dxa"/>
            <w:tcBorders>
              <w:top w:val="single" w:color="EEEEEE" w:sz="2" w:space="0"/>
              <w:left w:val="nil"/>
              <w:bottom w:val="single" w:color="EEEEEE" w:sz="2" w:space="0"/>
              <w:right w:val="nil"/>
            </w:tcBorders>
          </w:tcPr>
          <w:p w14:paraId="459ABD6D">
            <w:pPr>
              <w:spacing w:before="40" w:after="40"/>
              <w:jc w:val="both"/>
              <w:rPr>
                <w:sz w:val="24"/>
                <w:szCs w:val="24"/>
              </w:rPr>
            </w:pPr>
            <w:r>
              <w:rPr>
                <w:rFonts w:ascii="Arial" w:hAnsi="Arial"/>
                <w:sz w:val="24"/>
                <w:szCs w:val="24"/>
              </w:rPr>
              <w:t>Low</w:t>
            </w:r>
          </w:p>
        </w:tc>
        <w:tc>
          <w:tcPr>
            <w:tcW w:w="1067" w:type="dxa"/>
            <w:tcBorders>
              <w:top w:val="single" w:color="EEEEEE" w:sz="2" w:space="0"/>
              <w:left w:val="nil"/>
              <w:bottom w:val="single" w:color="EEEEEE" w:sz="2" w:space="0"/>
              <w:right w:val="nil"/>
            </w:tcBorders>
          </w:tcPr>
          <w:p w14:paraId="091BFCB9">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76444B4C">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0188BCF8">
            <w:pPr>
              <w:spacing w:before="40" w:after="40"/>
              <w:jc w:val="both"/>
              <w:rPr>
                <w:sz w:val="24"/>
                <w:szCs w:val="24"/>
              </w:rPr>
            </w:pPr>
            <w:r>
              <w:rPr>
                <w:rFonts w:ascii="Arial" w:hAnsi="Arial"/>
                <w:sz w:val="24"/>
                <w:szCs w:val="24"/>
              </w:rPr>
              <w:t>No</w:t>
            </w:r>
          </w:p>
        </w:tc>
        <w:tc>
          <w:tcPr>
            <w:tcW w:w="1067" w:type="dxa"/>
            <w:tcBorders>
              <w:top w:val="single" w:color="EEEEEE" w:sz="2" w:space="0"/>
              <w:left w:val="nil"/>
              <w:bottom w:val="single" w:color="EEEEEE" w:sz="2" w:space="0"/>
              <w:right w:val="nil"/>
            </w:tcBorders>
          </w:tcPr>
          <w:p w14:paraId="0FC6825F">
            <w:pPr>
              <w:spacing w:before="40" w:after="40"/>
              <w:jc w:val="both"/>
              <w:rPr>
                <w:sz w:val="24"/>
                <w:szCs w:val="24"/>
              </w:rPr>
            </w:pPr>
            <w:r>
              <w:rPr>
                <w:rFonts w:ascii="Arial" w:hAnsi="Arial"/>
                <w:sz w:val="24"/>
                <w:szCs w:val="24"/>
              </w:rPr>
              <w:t>Yes</w:t>
            </w:r>
          </w:p>
        </w:tc>
        <w:tc>
          <w:tcPr>
            <w:tcW w:w="1067" w:type="dxa"/>
            <w:tcBorders>
              <w:top w:val="single" w:color="EEEEEE" w:sz="2" w:space="0"/>
              <w:left w:val="nil"/>
              <w:bottom w:val="single" w:color="EEEEEE" w:sz="2" w:space="0"/>
              <w:right w:val="nil"/>
            </w:tcBorders>
          </w:tcPr>
          <w:p w14:paraId="78FE2DAE">
            <w:pPr>
              <w:spacing w:before="40" w:after="40"/>
              <w:jc w:val="both"/>
              <w:rPr>
                <w:sz w:val="24"/>
                <w:szCs w:val="24"/>
              </w:rPr>
            </w:pPr>
            <w:r>
              <w:rPr>
                <w:rFonts w:ascii="Arial" w:hAnsi="Arial"/>
                <w:sz w:val="24"/>
                <w:szCs w:val="24"/>
              </w:rPr>
              <w:t>No</w:t>
            </w:r>
          </w:p>
        </w:tc>
      </w:tr>
      <w:tr w14:paraId="4C301C59">
        <w:tblPrEx>
          <w:tblCellMar>
            <w:top w:w="0" w:type="dxa"/>
            <w:left w:w="108" w:type="dxa"/>
            <w:bottom w:w="0" w:type="dxa"/>
            <w:right w:w="108" w:type="dxa"/>
          </w:tblCellMar>
        </w:tblPrEx>
        <w:trPr>
          <w:jc w:val="center"/>
        </w:trPr>
        <w:tc>
          <w:tcPr>
            <w:tcW w:w="1067" w:type="dxa"/>
            <w:tcBorders>
              <w:top w:val="single" w:color="CCCCCC" w:sz="6" w:space="0"/>
              <w:left w:val="nil"/>
              <w:bottom w:val="single" w:color="000000" w:sz="6" w:space="0"/>
              <w:right w:val="nil"/>
            </w:tcBorders>
            <w:shd w:val="clear" w:color="auto" w:fill="EBF3F9"/>
          </w:tcPr>
          <w:p w14:paraId="46061B25">
            <w:pPr>
              <w:spacing w:before="40" w:after="40"/>
              <w:jc w:val="both"/>
              <w:rPr>
                <w:sz w:val="24"/>
                <w:szCs w:val="24"/>
              </w:rPr>
            </w:pPr>
            <w:r>
              <w:rPr>
                <w:rFonts w:ascii="Arial" w:hAnsi="Arial"/>
                <w:b/>
                <w:sz w:val="24"/>
                <w:szCs w:val="24"/>
              </w:rPr>
              <w:t>AMO</w:t>
            </w:r>
            <w:r>
              <w:rPr>
                <w:rFonts w:hint="default"/>
                <w:b/>
                <w:sz w:val="24"/>
                <w:szCs w:val="24"/>
                <w:lang w:val="en-US"/>
              </w:rPr>
              <w:t>F</w:t>
            </w:r>
            <w:r>
              <w:rPr>
                <w:rFonts w:ascii="Arial" w:hAnsi="Arial"/>
                <w:b/>
                <w:sz w:val="24"/>
                <w:szCs w:val="24"/>
              </w:rPr>
              <w:t xml:space="preserve"> (Proposed)</w:t>
            </w:r>
          </w:p>
        </w:tc>
        <w:tc>
          <w:tcPr>
            <w:tcW w:w="1067" w:type="dxa"/>
            <w:tcBorders>
              <w:top w:val="single" w:color="CCCCCC" w:sz="6" w:space="0"/>
              <w:left w:val="nil"/>
              <w:bottom w:val="single" w:color="000000" w:sz="6" w:space="0"/>
              <w:right w:val="nil"/>
            </w:tcBorders>
            <w:shd w:val="clear" w:color="auto" w:fill="EBF3F9"/>
          </w:tcPr>
          <w:p w14:paraId="33FFFD2F">
            <w:pPr>
              <w:spacing w:before="40" w:after="40"/>
              <w:jc w:val="both"/>
              <w:rPr>
                <w:sz w:val="24"/>
                <w:szCs w:val="24"/>
              </w:rPr>
            </w:pPr>
            <w:r>
              <w:rPr>
                <w:rFonts w:ascii="Arial" w:hAnsi="Arial"/>
                <w:b/>
                <w:sz w:val="24"/>
                <w:szCs w:val="24"/>
              </w:rPr>
              <w:t>Yes (IE-KRT)</w:t>
            </w:r>
          </w:p>
        </w:tc>
        <w:tc>
          <w:tcPr>
            <w:tcW w:w="1067" w:type="dxa"/>
            <w:tcBorders>
              <w:top w:val="single" w:color="CCCCCC" w:sz="6" w:space="0"/>
              <w:left w:val="nil"/>
              <w:bottom w:val="single" w:color="000000" w:sz="6" w:space="0"/>
              <w:right w:val="nil"/>
            </w:tcBorders>
            <w:shd w:val="clear" w:color="auto" w:fill="EBF3F9"/>
          </w:tcPr>
          <w:p w14:paraId="33A34BA8">
            <w:pPr>
              <w:spacing w:before="40" w:after="40"/>
              <w:jc w:val="both"/>
              <w:rPr>
                <w:sz w:val="24"/>
                <w:szCs w:val="24"/>
              </w:rPr>
            </w:pPr>
            <w:r>
              <w:rPr>
                <w:rFonts w:ascii="Arial" w:hAnsi="Arial"/>
                <w:b/>
                <w:sz w:val="24"/>
                <w:szCs w:val="24"/>
              </w:rPr>
              <w:t>Text + SQL + REST</w:t>
            </w:r>
          </w:p>
        </w:tc>
        <w:tc>
          <w:tcPr>
            <w:tcW w:w="1067" w:type="dxa"/>
            <w:tcBorders>
              <w:top w:val="single" w:color="CCCCCC" w:sz="6" w:space="0"/>
              <w:left w:val="nil"/>
              <w:bottom w:val="single" w:color="000000" w:sz="6" w:space="0"/>
              <w:right w:val="nil"/>
            </w:tcBorders>
            <w:shd w:val="clear" w:color="auto" w:fill="EBF3F9"/>
          </w:tcPr>
          <w:p w14:paraId="3DAE54FD">
            <w:pPr>
              <w:spacing w:before="40" w:after="40"/>
              <w:jc w:val="both"/>
              <w:rPr>
                <w:sz w:val="24"/>
                <w:szCs w:val="24"/>
              </w:rPr>
            </w:pPr>
            <w:r>
              <w:rPr>
                <w:rFonts w:ascii="Arial" w:hAnsi="Arial"/>
                <w:b/>
                <w:sz w:val="24"/>
                <w:szCs w:val="24"/>
              </w:rPr>
              <w:t>10,000 Endpoints</w:t>
            </w:r>
          </w:p>
        </w:tc>
        <w:tc>
          <w:tcPr>
            <w:tcW w:w="1067" w:type="dxa"/>
            <w:tcBorders>
              <w:top w:val="single" w:color="CCCCCC" w:sz="6" w:space="0"/>
              <w:left w:val="nil"/>
              <w:bottom w:val="single" w:color="000000" w:sz="6" w:space="0"/>
              <w:right w:val="nil"/>
            </w:tcBorders>
            <w:shd w:val="clear" w:color="auto" w:fill="EBF3F9"/>
          </w:tcPr>
          <w:p w14:paraId="20083A79">
            <w:pPr>
              <w:spacing w:before="40" w:after="40"/>
              <w:jc w:val="both"/>
              <w:rPr>
                <w:sz w:val="24"/>
                <w:szCs w:val="24"/>
              </w:rPr>
            </w:pPr>
            <w:r>
              <w:rPr>
                <w:rFonts w:ascii="Arial" w:hAnsi="Arial"/>
                <w:b/>
                <w:sz w:val="24"/>
                <w:szCs w:val="24"/>
              </w:rPr>
              <w:t>Yes (5-Simplex)</w:t>
            </w:r>
          </w:p>
        </w:tc>
        <w:tc>
          <w:tcPr>
            <w:tcW w:w="1067" w:type="dxa"/>
            <w:tcBorders>
              <w:top w:val="single" w:color="CCCCCC" w:sz="6" w:space="0"/>
              <w:left w:val="nil"/>
              <w:bottom w:val="single" w:color="000000" w:sz="6" w:space="0"/>
              <w:right w:val="nil"/>
            </w:tcBorders>
            <w:shd w:val="clear" w:color="auto" w:fill="EBF3F9"/>
          </w:tcPr>
          <w:p w14:paraId="6AD7B767">
            <w:pPr>
              <w:spacing w:before="40" w:after="40"/>
              <w:jc w:val="both"/>
              <w:rPr>
                <w:sz w:val="24"/>
                <w:szCs w:val="24"/>
              </w:rPr>
            </w:pPr>
            <w:r>
              <w:rPr>
                <w:rFonts w:ascii="Arial" w:hAnsi="Arial"/>
                <w:b/>
                <w:sz w:val="24"/>
                <w:szCs w:val="24"/>
              </w:rPr>
              <w:t>Yes (Hash)</w:t>
            </w:r>
          </w:p>
        </w:tc>
        <w:tc>
          <w:tcPr>
            <w:tcW w:w="1067" w:type="dxa"/>
            <w:tcBorders>
              <w:top w:val="single" w:color="CCCCCC" w:sz="6" w:space="0"/>
              <w:left w:val="nil"/>
              <w:bottom w:val="single" w:color="000000" w:sz="6" w:space="0"/>
              <w:right w:val="nil"/>
            </w:tcBorders>
            <w:shd w:val="clear" w:color="auto" w:fill="EBF3F9"/>
          </w:tcPr>
          <w:p w14:paraId="0A7430C5">
            <w:pPr>
              <w:spacing w:before="40" w:after="40"/>
              <w:jc w:val="both"/>
              <w:rPr>
                <w:sz w:val="24"/>
                <w:szCs w:val="24"/>
              </w:rPr>
            </w:pPr>
            <w:r>
              <w:rPr>
                <w:rFonts w:ascii="Arial" w:hAnsi="Arial"/>
                <w:b/>
                <w:sz w:val="24"/>
                <w:szCs w:val="24"/>
              </w:rPr>
              <w:t>Yes (Graph)</w:t>
            </w:r>
          </w:p>
        </w:tc>
        <w:tc>
          <w:tcPr>
            <w:tcW w:w="1067" w:type="dxa"/>
            <w:tcBorders>
              <w:top w:val="single" w:color="CCCCCC" w:sz="6" w:space="0"/>
              <w:left w:val="nil"/>
              <w:bottom w:val="single" w:color="000000" w:sz="6" w:space="0"/>
              <w:right w:val="nil"/>
            </w:tcBorders>
            <w:shd w:val="clear" w:color="auto" w:fill="EBF3F9"/>
          </w:tcPr>
          <w:p w14:paraId="4745D54D">
            <w:pPr>
              <w:spacing w:before="40" w:after="40"/>
              <w:jc w:val="both"/>
              <w:rPr>
                <w:sz w:val="24"/>
                <w:szCs w:val="24"/>
              </w:rPr>
            </w:pPr>
            <w:r>
              <w:rPr>
                <w:rFonts w:ascii="Arial" w:hAnsi="Arial"/>
                <w:b/>
                <w:sz w:val="24"/>
                <w:szCs w:val="24"/>
              </w:rPr>
              <w:t>Yes (Zero Egress)</w:t>
            </w:r>
          </w:p>
        </w:tc>
        <w:tc>
          <w:tcPr>
            <w:tcW w:w="1067" w:type="dxa"/>
            <w:tcBorders>
              <w:top w:val="single" w:color="CCCCCC" w:sz="6" w:space="0"/>
              <w:left w:val="nil"/>
              <w:bottom w:val="single" w:color="000000" w:sz="6" w:space="0"/>
              <w:right w:val="nil"/>
            </w:tcBorders>
            <w:shd w:val="clear" w:color="auto" w:fill="EBF3F9"/>
          </w:tcPr>
          <w:p w14:paraId="5256BE6F">
            <w:pPr>
              <w:spacing w:before="40" w:after="40"/>
              <w:jc w:val="both"/>
              <w:rPr>
                <w:sz w:val="24"/>
                <w:szCs w:val="24"/>
              </w:rPr>
            </w:pPr>
            <w:r>
              <w:rPr>
                <w:rFonts w:ascii="Arial" w:hAnsi="Arial"/>
                <w:b/>
                <w:sz w:val="24"/>
                <w:szCs w:val="24"/>
              </w:rPr>
              <w:t>Yes (5 Proofs)</w:t>
            </w:r>
          </w:p>
        </w:tc>
      </w:tr>
    </w:tbl>
    <w:p w14:paraId="7F2A08CE">
      <w:pPr>
        <w:keepNext/>
        <w:spacing w:before="320" w:after="120"/>
        <w:jc w:val="both"/>
        <w:rPr>
          <w:rFonts w:hint="default"/>
          <w:sz w:val="24"/>
          <w:szCs w:val="24"/>
          <w:lang w:val="en-US"/>
        </w:rPr>
      </w:pPr>
      <w:r>
        <w:rPr>
          <w:rFonts w:ascii="Arial" w:hAnsi="Arial"/>
          <w:b/>
          <w:color w:val="0F0F0F"/>
          <w:sz w:val="24"/>
          <w:szCs w:val="24"/>
        </w:rPr>
        <w:t>Proposed model: AMO</w:t>
      </w:r>
      <w:r>
        <w:rPr>
          <w:rFonts w:hint="default"/>
          <w:b/>
          <w:color w:val="0F0F0F"/>
          <w:sz w:val="24"/>
          <w:szCs w:val="24"/>
          <w:lang w:val="en-US"/>
        </w:rPr>
        <w:t>F</w:t>
      </w:r>
    </w:p>
    <w:p w14:paraId="6A8ADA99">
      <w:pPr>
        <w:spacing w:before="0" w:after="120" w:line="276" w:lineRule="auto"/>
        <w:jc w:val="both"/>
        <w:rPr>
          <w:sz w:val="24"/>
          <w:szCs w:val="24"/>
        </w:rPr>
      </w:pPr>
      <w:r>
        <w:rPr>
          <w:rFonts w:ascii="Arial" w:hAnsi="Arial"/>
          <w:color w:val="232323"/>
          <w:sz w:val="24"/>
          <w:szCs w:val="24"/>
        </w:rPr>
        <w:t>The AMORA framework is a comprehensive solution that combines cutting-edge information retrieval, convex optimization, and edge computing to address the challenges of managing heterogeneous knowledge sources in enterprise environments. This system uses multi-objective routing, integrated with local language models and evidence fusion, to streamline decision processes, thereby enhancing computational efficiency and ensuring absolute data sovereignty.</w:t>
      </w:r>
    </w:p>
    <w:p w14:paraId="004A1E1F">
      <w:pPr>
        <w:spacing w:before="200" w:after="80"/>
        <w:jc w:val="both"/>
        <w:rPr>
          <w:rFonts w:hint="default"/>
          <w:sz w:val="24"/>
          <w:szCs w:val="24"/>
          <w:lang w:val="en-US"/>
        </w:rPr>
      </w:pPr>
      <w:r>
        <w:drawing>
          <wp:inline distT="0" distB="0" distL="114300" distR="114300">
            <wp:extent cx="5627370" cy="4451350"/>
            <wp:effectExtent l="0" t="0" r="11430"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627370" cy="4451350"/>
                    </a:xfrm>
                    <a:prstGeom prst="rect">
                      <a:avLst/>
                    </a:prstGeom>
                    <a:noFill/>
                    <a:ln>
                      <a:noFill/>
                    </a:ln>
                  </pic:spPr>
                </pic:pic>
              </a:graphicData>
            </a:graphic>
          </wp:inline>
        </w:drawing>
      </w:r>
    </w:p>
    <w:p w14:paraId="1536CB4D">
      <w:pPr>
        <w:spacing w:before="40" w:after="240" w:line="276" w:lineRule="auto"/>
        <w:jc w:val="both"/>
        <w:rPr>
          <w:sz w:val="24"/>
          <w:szCs w:val="24"/>
        </w:rPr>
      </w:pPr>
      <w:r>
        <w:rPr>
          <w:rFonts w:ascii="Arial" w:hAnsi="Arial"/>
          <w:color w:val="3C3C3C"/>
          <w:sz w:val="24"/>
          <w:szCs w:val="24"/>
        </w:rPr>
        <w:t>Figure 1. Overall system architecture of the proposed AMORA framework, illustrating Stage 1 (Adaptive Knowledge Retrieval Trigger via IE-KRT), Stage 2 (Two-Stage Pre-filtering Funnel), Stage 3 (Dynamic Multi-Objective Source Selection on the 5-Simplex), Stage 4 (Evidence Fusion and Discrepancy Graph Mitigation), and Stage 5 (Local Autoregressive Synthesis under Zero-Egress Data Sovereignty).</w:t>
      </w:r>
    </w:p>
    <w:p w14:paraId="3BDC41E9">
      <w:pPr>
        <w:keepNext/>
        <w:spacing w:before="240" w:after="80"/>
        <w:jc w:val="both"/>
        <w:rPr>
          <w:sz w:val="24"/>
          <w:szCs w:val="24"/>
        </w:rPr>
      </w:pPr>
      <w:r>
        <w:rPr>
          <w:rFonts w:ascii="Arial" w:hAnsi="Arial"/>
          <w:b/>
          <w:color w:val="191919"/>
          <w:sz w:val="24"/>
          <w:szCs w:val="24"/>
        </w:rPr>
        <w:t>Design of AMO</w:t>
      </w:r>
      <w:r>
        <w:rPr>
          <w:rFonts w:hint="default"/>
          <w:b/>
          <w:color w:val="191919"/>
          <w:sz w:val="24"/>
          <w:szCs w:val="24"/>
          <w:lang w:val="en-US"/>
        </w:rPr>
        <w:t>F</w:t>
      </w:r>
      <w:r>
        <w:rPr>
          <w:rFonts w:ascii="Arial" w:hAnsi="Arial"/>
          <w:b/>
          <w:color w:val="191919"/>
          <w:sz w:val="24"/>
          <w:szCs w:val="24"/>
        </w:rPr>
        <w:t xml:space="preserve"> System</w:t>
      </w:r>
    </w:p>
    <w:p w14:paraId="0A5433F9">
      <w:pPr>
        <w:spacing w:before="0" w:after="120" w:line="276" w:lineRule="auto"/>
        <w:jc w:val="both"/>
        <w:rPr>
          <w:sz w:val="24"/>
          <w:szCs w:val="24"/>
        </w:rPr>
      </w:pPr>
      <w:r>
        <w:rPr>
          <w:rFonts w:ascii="Arial" w:hAnsi="Arial"/>
          <w:color w:val="232323"/>
          <w:sz w:val="24"/>
          <w:szCs w:val="24"/>
        </w:rPr>
        <w:t>Designing an enterprise-grade retrieval-augmented generation system involves coordinating multiple heterogeneous data endpoints to ensure efficient, secure, and factually grounded output. The system architecture consists of five sequential processing stages:</w:t>
      </w:r>
    </w:p>
    <w:p w14:paraId="28B66815">
      <w:pPr>
        <w:keepNext/>
        <w:spacing w:before="160" w:after="40"/>
        <w:jc w:val="both"/>
        <w:rPr>
          <w:sz w:val="24"/>
          <w:szCs w:val="24"/>
        </w:rPr>
      </w:pPr>
      <w:r>
        <w:rPr>
          <w:rFonts w:ascii="Arial" w:hAnsi="Arial"/>
          <w:b/>
          <w:color w:val="282828"/>
          <w:sz w:val="24"/>
          <w:szCs w:val="24"/>
        </w:rPr>
        <w:t>Stage 1: Adaptive Knowledge Retrieval Trigger (IE-KRT)</w:t>
      </w:r>
    </w:p>
    <w:p w14:paraId="3494BFE8">
      <w:pPr>
        <w:spacing w:before="0" w:after="120" w:line="276" w:lineRule="auto"/>
        <w:jc w:val="both"/>
        <w:rPr>
          <w:sz w:val="24"/>
          <w:szCs w:val="24"/>
        </w:rPr>
      </w:pPr>
      <w:r>
        <w:rPr>
          <w:rFonts w:ascii="Arial" w:hAnsi="Arial"/>
          <w:color w:val="232323"/>
          <w:sz w:val="24"/>
          <w:szCs w:val="24"/>
        </w:rPr>
        <w:t>Incoming user query q is evaluated at the input boundary without invoking external lookups. We calculate query token length |q|, extract syntactic entity density ρ(q), and compute parametric model perplexity PPL(q) over a lightweight local distilled language model. The INKER Knowledge Retrieval Trigger models the uncertainty activation score:</w:t>
      </w:r>
      <w:r>
        <w:rPr>
          <w:rFonts w:ascii="Arial" w:hAnsi="Arial"/>
          <w:color w:val="232323"/>
          <w:sz w:val="24"/>
          <w:szCs w:val="24"/>
        </w:rPr>
        <w:br w:type="textWrapping"/>
      </w:r>
      <w:r>
        <w:rPr>
          <w:rFonts w:ascii="Arial" w:hAnsi="Arial"/>
          <w:color w:val="232323"/>
          <w:sz w:val="24"/>
          <w:szCs w:val="24"/>
        </w:rPr>
        <w:t>K(t_i) = (E - m_i) · S_i   (Equation 1)</w:t>
      </w:r>
      <w:r>
        <w:rPr>
          <w:rFonts w:ascii="Arial" w:hAnsi="Arial"/>
          <w:color w:val="232323"/>
          <w:sz w:val="24"/>
          <w:szCs w:val="24"/>
        </w:rPr>
        <w:br w:type="textWrapping"/>
      </w:r>
      <w:r>
        <w:rPr>
          <w:rFonts w:ascii="Arial" w:hAnsi="Arial"/>
          <w:color w:val="232323"/>
          <w:sz w:val="24"/>
          <w:szCs w:val="24"/>
        </w:rPr>
        <w:t>where E denotes normalized syntactic complexity, m_i represents parametric confidence, and S_i denotes factual urgency. If K(t_i) ≤ θ, external retrieval is bypassed entirely (P(retrieve) = 0), routing the query directly to parametric decoding. If K(t_i) &gt; θ, retrieval is activated.</w:t>
      </w:r>
    </w:p>
    <w:p w14:paraId="5FD46EF5">
      <w:pPr>
        <w:keepNext/>
        <w:spacing w:before="160" w:after="40"/>
        <w:jc w:val="both"/>
        <w:rPr>
          <w:sz w:val="24"/>
          <w:szCs w:val="24"/>
        </w:rPr>
      </w:pPr>
      <w:r>
        <w:rPr>
          <w:rFonts w:ascii="Arial" w:hAnsi="Arial"/>
          <w:b/>
          <w:color w:val="282828"/>
          <w:sz w:val="24"/>
          <w:szCs w:val="24"/>
        </w:rPr>
        <w:t>Stage 2: Two-Stage Vector Pre-Filtering Funnel</w:t>
      </w:r>
    </w:p>
    <w:p w14:paraId="6AE00009">
      <w:pPr>
        <w:spacing w:before="0" w:after="120" w:line="276" w:lineRule="auto"/>
        <w:jc w:val="both"/>
        <w:rPr>
          <w:sz w:val="24"/>
          <w:szCs w:val="24"/>
        </w:rPr>
      </w:pPr>
      <w:r>
        <w:rPr>
          <w:rFonts w:ascii="Arial" w:hAnsi="Arial"/>
          <w:color w:val="232323"/>
          <w:sz w:val="24"/>
          <w:szCs w:val="24"/>
        </w:rPr>
        <w:t>When retrieval is triggered across an enterprise catalog of N = 10,000 endpoints, sequentially computing multi-objective scores is computationally prohibitive. AMORA introduces a hierarchical pre-filtering funnel:</w:t>
      </w:r>
      <w:r>
        <w:rPr>
          <w:rFonts w:ascii="Arial" w:hAnsi="Arial"/>
          <w:color w:val="232323"/>
          <w:sz w:val="24"/>
          <w:szCs w:val="24"/>
        </w:rPr>
        <w:br w:type="textWrapping"/>
      </w:r>
      <w:r>
        <w:rPr>
          <w:rFonts w:ascii="Arial" w:hAnsi="Arial"/>
          <w:color w:val="232323"/>
          <w:sz w:val="24"/>
          <w:szCs w:val="24"/>
        </w:rPr>
        <w:t>• Stage 2A: Dense Subspace Filtering: We embed query q into dense vector v_q ∈ R^384 using BGE-small-en-v1.5. A FAISS inner-product index prunes the candidate set from N = 10,000 down to K_1 = 500 endpoints based on structural documentation embeddings.</w:t>
      </w:r>
      <w:r>
        <w:rPr>
          <w:rFonts w:ascii="Arial" w:hAnsi="Arial"/>
          <w:color w:val="232323"/>
          <w:sz w:val="24"/>
          <w:szCs w:val="24"/>
        </w:rPr>
        <w:br w:type="textWrapping"/>
      </w:r>
      <w:r>
        <w:rPr>
          <w:rFonts w:ascii="Arial" w:hAnsi="Arial"/>
          <w:color w:val="232323"/>
          <w:sz w:val="24"/>
          <w:szCs w:val="24"/>
        </w:rPr>
        <w:t>• Stage 2B: Modality and Metadata Pruning: The surviving candidates are filtered against structural constraints (supported query schemas, authorization clearance, protocol compatibility), outputting an active candidate pool of M = 55 endpoints in 3.26 ms.</w:t>
      </w:r>
    </w:p>
    <w:p w14:paraId="679F9692">
      <w:pPr>
        <w:keepNext/>
        <w:spacing w:before="160" w:after="40"/>
        <w:jc w:val="both"/>
        <w:rPr>
          <w:sz w:val="24"/>
          <w:szCs w:val="24"/>
        </w:rPr>
      </w:pPr>
      <w:r>
        <w:rPr>
          <w:rFonts w:ascii="Arial" w:hAnsi="Arial"/>
          <w:b/>
          <w:color w:val="282828"/>
          <w:sz w:val="24"/>
          <w:szCs w:val="24"/>
        </w:rPr>
        <w:t>Stage 3: Dynamic Multi-Objective Source Selection</w:t>
      </w:r>
    </w:p>
    <w:p w14:paraId="1BF3D5E7">
      <w:pPr>
        <w:spacing w:before="0" w:after="120" w:line="276" w:lineRule="auto"/>
        <w:jc w:val="both"/>
        <w:rPr>
          <w:sz w:val="24"/>
          <w:szCs w:val="24"/>
        </w:rPr>
      </w:pPr>
      <w:r>
        <w:rPr>
          <w:rFonts w:ascii="Arial" w:hAnsi="Arial"/>
          <w:color w:val="232323"/>
          <w:sz w:val="24"/>
          <w:szCs w:val="24"/>
        </w:rPr>
        <w:t>For each surviving candidate s_i ∈ M, AMORA computes a multi-objective score across six normalized operational dimensions:</w:t>
      </w:r>
      <w:r>
        <w:rPr>
          <w:rFonts w:ascii="Arial" w:hAnsi="Arial"/>
          <w:color w:val="232323"/>
          <w:sz w:val="24"/>
          <w:szCs w:val="24"/>
        </w:rPr>
        <w:br w:type="textWrapping"/>
      </w:r>
      <w:r>
        <w:rPr>
          <w:rFonts w:ascii="Arial" w:hAnsi="Arial"/>
          <w:color w:val="232323"/>
          <w:sz w:val="24"/>
          <w:szCs w:val="24"/>
        </w:rPr>
        <w:t>Score(s_i, q) = W_r R_i + W_l L_i + W_f F_i - W_c C_i + W_h H_i - W_k K_i   (Equation 2)</w:t>
      </w:r>
      <w:r>
        <w:rPr>
          <w:rFonts w:ascii="Arial" w:hAnsi="Arial"/>
          <w:color w:val="232323"/>
          <w:sz w:val="24"/>
          <w:szCs w:val="24"/>
        </w:rPr>
        <w:br w:type="textWrapping"/>
      </w:r>
      <w:r>
        <w:rPr>
          <w:rFonts w:ascii="Arial" w:hAnsi="Arial"/>
          <w:color w:val="232323"/>
          <w:sz w:val="24"/>
          <w:szCs w:val="24"/>
        </w:rPr>
        <w:t>subject to the simplex invariant:</w:t>
      </w:r>
      <w:r>
        <w:rPr>
          <w:rFonts w:ascii="Arial" w:hAnsi="Arial"/>
          <w:color w:val="232323"/>
          <w:sz w:val="24"/>
          <w:szCs w:val="24"/>
        </w:rPr>
        <w:br w:type="textWrapping"/>
      </w:r>
      <w:r>
        <w:rPr>
          <w:rFonts w:ascii="Arial" w:hAnsi="Arial"/>
          <w:color w:val="232323"/>
          <w:sz w:val="24"/>
          <w:szCs w:val="24"/>
        </w:rPr>
        <w:t>∑ W_j(q) = 1.0,  W_j(q) ≥ 0   (Equation 3)</w:t>
      </w:r>
      <w:r>
        <w:rPr>
          <w:rFonts w:ascii="Arial" w:hAnsi="Arial"/>
          <w:color w:val="232323"/>
          <w:sz w:val="24"/>
          <w:szCs w:val="24"/>
        </w:rPr>
        <w:br w:type="textWrapping"/>
      </w:r>
      <w:r>
        <w:rPr>
          <w:rFonts w:ascii="Arial" w:hAnsi="Arial"/>
          <w:color w:val="232323"/>
          <w:sz w:val="24"/>
          <w:szCs w:val="24"/>
        </w:rPr>
        <w:t>where R_i is Semantic Relevance, L_i is Convex Reliability, F_i is Exponential Freshness Decay, C_i is Normalized Latency and Monetary Cost, H_i is Bayesian Historical Success, and K_i is Cross-Source Contradiction Penalty.</w:t>
      </w:r>
    </w:p>
    <w:p w14:paraId="4EB007FC">
      <w:pPr>
        <w:keepNext/>
        <w:spacing w:before="160" w:after="40"/>
        <w:jc w:val="both"/>
        <w:rPr>
          <w:sz w:val="24"/>
          <w:szCs w:val="24"/>
        </w:rPr>
      </w:pPr>
      <w:r>
        <w:rPr>
          <w:rFonts w:ascii="Arial" w:hAnsi="Arial"/>
          <w:b/>
          <w:color w:val="282828"/>
          <w:sz w:val="24"/>
          <w:szCs w:val="24"/>
        </w:rPr>
        <w:t>Stage 4: Evidence Fusion and Discrepancy Graph Mitigation</w:t>
      </w:r>
    </w:p>
    <w:p w14:paraId="66313675">
      <w:pPr>
        <w:spacing w:before="0" w:after="120" w:line="276" w:lineRule="auto"/>
        <w:jc w:val="both"/>
        <w:rPr>
          <w:sz w:val="24"/>
          <w:szCs w:val="24"/>
        </w:rPr>
      </w:pPr>
      <w:r>
        <w:rPr>
          <w:rFonts w:ascii="Arial" w:hAnsi="Arial"/>
          <w:color w:val="232323"/>
          <w:sz w:val="24"/>
          <w:szCs w:val="24"/>
        </w:rPr>
        <w:t>Retrieved outputs from top-k endpoints are fed into the Evidence Fusion Engine:</w:t>
      </w:r>
      <w:r>
        <w:rPr>
          <w:rFonts w:ascii="Arial" w:hAnsi="Arial"/>
          <w:color w:val="232323"/>
          <w:sz w:val="24"/>
          <w:szCs w:val="24"/>
        </w:rPr>
        <w:br w:type="textWrapping"/>
      </w:r>
      <w:r>
        <w:rPr>
          <w:rFonts w:ascii="Arial" w:hAnsi="Arial"/>
          <w:color w:val="232323"/>
          <w:sz w:val="24"/>
          <w:szCs w:val="24"/>
        </w:rPr>
        <w:t>• Sliding-Window Deduplication: Token sequences are hashed using 64-bit MinHash. Passages exceeding Jaccard threshold τ_overlap = 0.75 are pruned, compacting prompt volume by 26.7%.</w:t>
      </w:r>
      <w:r>
        <w:rPr>
          <w:rFonts w:ascii="Arial" w:hAnsi="Arial"/>
          <w:color w:val="232323"/>
          <w:sz w:val="24"/>
          <w:szCs w:val="24"/>
        </w:rPr>
        <w:br w:type="textWrapping"/>
      </w:r>
      <w:r>
        <w:rPr>
          <w:rFonts w:ascii="Arial" w:hAnsi="Arial"/>
          <w:color w:val="232323"/>
          <w:sz w:val="24"/>
          <w:szCs w:val="24"/>
        </w:rPr>
        <w:t>• Pairwise Entity Conflict Graph: Numerical entities (prices, inventory counts, dates) are extracted using regex and dependency parsing. When conflicting values for identical entities are detected across sources, an explicit discrepancy warning header is injected into the context prior to generation.</w:t>
      </w:r>
    </w:p>
    <w:p w14:paraId="57820853">
      <w:pPr>
        <w:keepNext/>
        <w:spacing w:before="160" w:after="40"/>
        <w:jc w:val="both"/>
        <w:rPr>
          <w:sz w:val="24"/>
          <w:szCs w:val="24"/>
        </w:rPr>
      </w:pPr>
      <w:r>
        <w:rPr>
          <w:rFonts w:ascii="Arial" w:hAnsi="Arial"/>
          <w:b/>
          <w:color w:val="282828"/>
          <w:sz w:val="24"/>
          <w:szCs w:val="24"/>
        </w:rPr>
        <w:t>Stage 5: Local Autoregressive Synthesis</w:t>
      </w:r>
    </w:p>
    <w:p w14:paraId="0794758D">
      <w:pPr>
        <w:spacing w:before="0" w:after="120" w:line="276" w:lineRule="auto"/>
        <w:jc w:val="both"/>
        <w:rPr>
          <w:sz w:val="24"/>
          <w:szCs w:val="24"/>
        </w:rPr>
      </w:pPr>
      <w:r>
        <w:rPr>
          <w:rFonts w:ascii="Arial" w:hAnsi="Arial"/>
          <w:color w:val="232323"/>
          <w:sz w:val="24"/>
          <w:szCs w:val="24"/>
        </w:rPr>
        <w:t>The compacted context is prepended to q and decoded by a 4-bit quantized local language model (Qwen 2.5 7B Instruct GGUF) executing on a dedicated on-premises GPU (NVIDIA RTX 3060 12GB), guaranteeing complete data sovereignty (PacketEgress ∩ PublicWAN = ∅).</w:t>
      </w:r>
    </w:p>
    <w:p w14:paraId="09E525A2">
      <w:pPr>
        <w:keepNext/>
        <w:spacing w:before="200" w:after="40"/>
        <w:jc w:val="both"/>
        <w:rPr>
          <w:sz w:val="24"/>
          <w:szCs w:val="24"/>
        </w:rPr>
      </w:pPr>
      <w:r>
        <w:rPr>
          <w:rFonts w:ascii="Arial" w:hAnsi="Arial"/>
          <w:b/>
          <w:sz w:val="24"/>
          <w:szCs w:val="24"/>
        </w:rPr>
        <w:t>Algorithm 1. Adaptive Retrieval Trigger via IE-KRT</w:t>
      </w:r>
    </w:p>
    <w:p w14:paraId="0ABE6874">
      <w:pPr>
        <w:pBdr>
          <w:bottom w:val="single" w:color="000000" w:sz="6" w:space="1"/>
        </w:pBdr>
        <w:spacing w:before="0" w:after="80"/>
        <w:jc w:val="both"/>
        <w:rPr>
          <w:sz w:val="24"/>
          <w:szCs w:val="24"/>
        </w:rPr>
      </w:pPr>
    </w:p>
    <w:p w14:paraId="3F99BFCE">
      <w:pPr>
        <w:spacing w:before="0" w:after="80" w:line="276" w:lineRule="auto"/>
        <w:jc w:val="both"/>
        <w:rPr>
          <w:sz w:val="24"/>
          <w:szCs w:val="24"/>
        </w:rPr>
      </w:pPr>
      <w:r>
        <w:rPr>
          <w:b/>
          <w:sz w:val="24"/>
          <w:szCs w:val="24"/>
        </w:rPr>
        <w:t xml:space="preserve">Input: </w:t>
      </w:r>
      <w:r>
        <w:rPr>
          <w:sz w:val="24"/>
          <w:szCs w:val="24"/>
        </w:rPr>
        <w:t>User Query q, Gating Threshold θ = 0.25, Parametric Confidence Model M_param</w:t>
      </w:r>
      <w:r>
        <w:rPr>
          <w:sz w:val="24"/>
          <w:szCs w:val="24"/>
        </w:rPr>
        <w:br w:type="textWrapping"/>
      </w:r>
      <w:r>
        <w:rPr>
          <w:b/>
          <w:sz w:val="24"/>
          <w:szCs w:val="24"/>
        </w:rPr>
        <w:t xml:space="preserve">Output: </w:t>
      </w:r>
      <w:r>
        <w:rPr>
          <w:sz w:val="24"/>
          <w:szCs w:val="24"/>
        </w:rPr>
        <w:t>Decision D ∈ {LOCAL_PARAMETRIC, EXTERNAL_RETRIEVAL}, Uncertainty Score K</w:t>
      </w:r>
    </w:p>
    <w:p w14:paraId="560E113C">
      <w:pPr>
        <w:spacing w:before="20" w:after="20" w:line="264" w:lineRule="auto"/>
        <w:ind w:left="360"/>
        <w:jc w:val="both"/>
        <w:rPr>
          <w:sz w:val="24"/>
          <w:szCs w:val="24"/>
        </w:rPr>
      </w:pPr>
      <w:r>
        <w:rPr>
          <w:rFonts w:ascii="Consolas" w:hAnsi="Consolas"/>
          <w:sz w:val="24"/>
          <w:szCs w:val="24"/>
        </w:rPr>
        <w:t>1: Compute syntactic entity density: ρ(q) ← |NamedEntities(q)| / |Tokens(q)|</w:t>
      </w:r>
    </w:p>
    <w:p w14:paraId="7C0F8529">
      <w:pPr>
        <w:spacing w:before="20" w:after="20" w:line="264" w:lineRule="auto"/>
        <w:ind w:left="360"/>
        <w:jc w:val="both"/>
        <w:rPr>
          <w:sz w:val="24"/>
          <w:szCs w:val="24"/>
        </w:rPr>
      </w:pPr>
      <w:r>
        <w:rPr>
          <w:rFonts w:ascii="Consolas" w:hAnsi="Consolas"/>
          <w:sz w:val="24"/>
          <w:szCs w:val="24"/>
        </w:rPr>
        <w:t>2: Compute normalized token length: ℓ(q) ← min(1.0, |Tokens(q)| / 50.0)</w:t>
      </w:r>
    </w:p>
    <w:p w14:paraId="4710F164">
      <w:pPr>
        <w:spacing w:before="20" w:after="20" w:line="264" w:lineRule="auto"/>
        <w:ind w:left="360"/>
        <w:jc w:val="both"/>
        <w:rPr>
          <w:sz w:val="24"/>
          <w:szCs w:val="24"/>
        </w:rPr>
      </w:pPr>
      <w:r>
        <w:rPr>
          <w:rFonts w:ascii="Consolas" w:hAnsi="Consolas"/>
          <w:sz w:val="24"/>
          <w:szCs w:val="24"/>
        </w:rPr>
        <w:t>3: Estimate structural complexity: E ← 0.5 · ρ(q) + 0.5 · ℓ(q)</w:t>
      </w:r>
    </w:p>
    <w:p w14:paraId="516087FF">
      <w:pPr>
        <w:spacing w:before="20" w:after="20" w:line="264" w:lineRule="auto"/>
        <w:ind w:left="360"/>
        <w:jc w:val="both"/>
        <w:rPr>
          <w:sz w:val="24"/>
          <w:szCs w:val="24"/>
        </w:rPr>
      </w:pPr>
      <w:r>
        <w:rPr>
          <w:rFonts w:ascii="Consolas" w:hAnsi="Consolas"/>
          <w:sz w:val="24"/>
          <w:szCs w:val="24"/>
        </w:rPr>
        <w:t>4: Estimate parametric model confidence: m ← M_param.PredictConfidence(q) ∈ [0, 1]</w:t>
      </w:r>
    </w:p>
    <w:p w14:paraId="72682156">
      <w:pPr>
        <w:spacing w:before="20" w:after="20" w:line="264" w:lineRule="auto"/>
        <w:ind w:left="360"/>
        <w:jc w:val="both"/>
        <w:rPr>
          <w:sz w:val="24"/>
          <w:szCs w:val="24"/>
        </w:rPr>
      </w:pPr>
      <w:r>
        <w:rPr>
          <w:rFonts w:ascii="Consolas" w:hAnsi="Consolas"/>
          <w:sz w:val="24"/>
          <w:szCs w:val="24"/>
        </w:rPr>
        <w:t>5: Extract factual urgency coefficient: S ← DetectFactualUrgency(q) ∈ [0.5, 2.0]</w:t>
      </w:r>
    </w:p>
    <w:p w14:paraId="690B5253">
      <w:pPr>
        <w:spacing w:before="20" w:after="20" w:line="264" w:lineRule="auto"/>
        <w:ind w:left="360"/>
        <w:jc w:val="both"/>
        <w:rPr>
          <w:sz w:val="24"/>
          <w:szCs w:val="24"/>
        </w:rPr>
      </w:pPr>
      <w:r>
        <w:rPr>
          <w:rFonts w:ascii="Consolas" w:hAnsi="Consolas"/>
          <w:sz w:val="24"/>
          <w:szCs w:val="24"/>
        </w:rPr>
        <w:t>6: Calculate uncertainty activation score: K ← (E - m) · S</w:t>
      </w:r>
    </w:p>
    <w:p w14:paraId="1E665E83">
      <w:pPr>
        <w:spacing w:before="20" w:after="20" w:line="264" w:lineRule="auto"/>
        <w:ind w:left="360"/>
        <w:jc w:val="both"/>
        <w:rPr>
          <w:sz w:val="24"/>
          <w:szCs w:val="24"/>
        </w:rPr>
      </w:pPr>
      <w:r>
        <w:rPr>
          <w:rFonts w:ascii="Consolas" w:hAnsi="Consolas"/>
          <w:sz w:val="24"/>
          <w:szCs w:val="24"/>
        </w:rPr>
        <w:t>7: if K ≤ θ then return (LOCAL_PARAMETRIC, K)</w:t>
      </w:r>
    </w:p>
    <w:p w14:paraId="6C5B0052">
      <w:pPr>
        <w:spacing w:before="20" w:after="20" w:line="264" w:lineRule="auto"/>
        <w:ind w:left="360"/>
        <w:jc w:val="both"/>
        <w:rPr>
          <w:sz w:val="24"/>
          <w:szCs w:val="24"/>
        </w:rPr>
      </w:pPr>
      <w:r>
        <w:rPr>
          <w:rFonts w:ascii="Consolas" w:hAnsi="Consolas"/>
          <w:sz w:val="24"/>
          <w:szCs w:val="24"/>
        </w:rPr>
        <w:t>8: else return (EXTERNAL_RETRIEVAL, K)</w:t>
      </w:r>
    </w:p>
    <w:p w14:paraId="373507D3">
      <w:pPr>
        <w:pBdr>
          <w:bottom w:val="single" w:color="000000" w:sz="6" w:space="1"/>
        </w:pBdr>
        <w:spacing w:before="80" w:after="200"/>
        <w:jc w:val="both"/>
        <w:rPr>
          <w:sz w:val="24"/>
          <w:szCs w:val="24"/>
        </w:rPr>
      </w:pPr>
    </w:p>
    <w:p w14:paraId="2557D08B">
      <w:pPr>
        <w:keepNext/>
        <w:spacing w:before="200" w:after="40"/>
        <w:jc w:val="both"/>
        <w:rPr>
          <w:sz w:val="24"/>
          <w:szCs w:val="24"/>
        </w:rPr>
      </w:pPr>
      <w:r>
        <w:rPr>
          <w:rFonts w:ascii="Arial" w:hAnsi="Arial"/>
          <w:b/>
          <w:sz w:val="24"/>
          <w:szCs w:val="24"/>
        </w:rPr>
        <w:t>Algorithm 2. Two-Stage Vector Pre-Filtering Funnel</w:t>
      </w:r>
    </w:p>
    <w:p w14:paraId="5C94F306">
      <w:pPr>
        <w:pBdr>
          <w:bottom w:val="single" w:color="000000" w:sz="6" w:space="1"/>
        </w:pBdr>
        <w:spacing w:before="0" w:after="80"/>
        <w:jc w:val="both"/>
        <w:rPr>
          <w:sz w:val="24"/>
          <w:szCs w:val="24"/>
        </w:rPr>
      </w:pPr>
    </w:p>
    <w:p w14:paraId="55AF143F">
      <w:pPr>
        <w:spacing w:before="0" w:after="80" w:line="276" w:lineRule="auto"/>
        <w:jc w:val="both"/>
        <w:rPr>
          <w:sz w:val="24"/>
          <w:szCs w:val="24"/>
        </w:rPr>
      </w:pPr>
      <w:r>
        <w:rPr>
          <w:b/>
          <w:sz w:val="24"/>
          <w:szCs w:val="24"/>
        </w:rPr>
        <w:t xml:space="preserve">Input: </w:t>
      </w:r>
      <w:r>
        <w:rPr>
          <w:sz w:val="24"/>
          <w:szCs w:val="24"/>
        </w:rPr>
        <w:t>User Query q, Full Catalog C (|C| = N = 10,000), FAISS Inner-Product Index I_FAISS, Target Size M = 55</w:t>
      </w:r>
      <w:r>
        <w:rPr>
          <w:sz w:val="24"/>
          <w:szCs w:val="24"/>
        </w:rPr>
        <w:br w:type="textWrapping"/>
      </w:r>
      <w:r>
        <w:rPr>
          <w:b/>
          <w:sz w:val="24"/>
          <w:szCs w:val="24"/>
        </w:rPr>
        <w:t xml:space="preserve">Output: </w:t>
      </w:r>
      <w:r>
        <w:rPr>
          <w:sz w:val="24"/>
          <w:szCs w:val="24"/>
        </w:rPr>
        <w:t>Candidate Endpoint Set M ⊂ C with |M| ≤ M</w:t>
      </w:r>
    </w:p>
    <w:p w14:paraId="5CDBD9D8">
      <w:pPr>
        <w:spacing w:before="20" w:after="20" w:line="264" w:lineRule="auto"/>
        <w:ind w:left="360"/>
        <w:jc w:val="both"/>
        <w:rPr>
          <w:sz w:val="24"/>
          <w:szCs w:val="24"/>
        </w:rPr>
      </w:pPr>
      <w:r>
        <w:rPr>
          <w:rFonts w:ascii="Consolas" w:hAnsi="Consolas"/>
          <w:sz w:val="24"/>
          <w:szCs w:val="24"/>
        </w:rPr>
        <w:t>1: Encode query: v_q ← BGE-Encoder(q) ∈ R^384; normalize ||v_q||_2 = 1.0</w:t>
      </w:r>
    </w:p>
    <w:p w14:paraId="6E0177B4">
      <w:pPr>
        <w:spacing w:before="20" w:after="20" w:line="264" w:lineRule="auto"/>
        <w:ind w:left="360"/>
        <w:jc w:val="both"/>
        <w:rPr>
          <w:sz w:val="24"/>
          <w:szCs w:val="24"/>
        </w:rPr>
      </w:pPr>
      <w:r>
        <w:rPr>
          <w:rFonts w:ascii="Consolas" w:hAnsi="Consolas"/>
          <w:sz w:val="24"/>
          <w:szCs w:val="24"/>
        </w:rPr>
        <w:t>2: Execute FAISS top-K_1 inner-product lookup: C_500 ← I_FAISS.Search(v_q, K_1 = 500)</w:t>
      </w:r>
    </w:p>
    <w:p w14:paraId="3E69AC88">
      <w:pPr>
        <w:spacing w:before="20" w:after="20" w:line="264" w:lineRule="auto"/>
        <w:ind w:left="360"/>
        <w:jc w:val="both"/>
        <w:rPr>
          <w:sz w:val="24"/>
          <w:szCs w:val="24"/>
        </w:rPr>
      </w:pPr>
      <w:r>
        <w:rPr>
          <w:rFonts w:ascii="Consolas" w:hAnsi="Consolas"/>
          <w:sz w:val="24"/>
          <w:szCs w:val="24"/>
        </w:rPr>
        <w:t>3: Extract user authorization clearance level: Auth(u)</w:t>
      </w:r>
    </w:p>
    <w:p w14:paraId="759E4274">
      <w:pPr>
        <w:spacing w:before="20" w:after="20" w:line="264" w:lineRule="auto"/>
        <w:ind w:left="360"/>
        <w:jc w:val="both"/>
        <w:rPr>
          <w:sz w:val="24"/>
          <w:szCs w:val="24"/>
        </w:rPr>
      </w:pPr>
      <w:r>
        <w:rPr>
          <w:rFonts w:ascii="Consolas" w:hAnsi="Consolas"/>
          <w:sz w:val="24"/>
          <w:szCs w:val="24"/>
        </w:rPr>
        <w:t>4: Extract required query modalities: Mod(q) ⊆ {TEXT, SQL, REST}</w:t>
      </w:r>
    </w:p>
    <w:p w14:paraId="5BEB1498">
      <w:pPr>
        <w:spacing w:before="20" w:after="20" w:line="264" w:lineRule="auto"/>
        <w:ind w:left="360"/>
        <w:jc w:val="both"/>
        <w:rPr>
          <w:sz w:val="24"/>
          <w:szCs w:val="24"/>
        </w:rPr>
      </w:pPr>
      <w:r>
        <w:rPr>
          <w:rFonts w:ascii="Consolas" w:hAnsi="Consolas"/>
          <w:sz w:val="24"/>
          <w:szCs w:val="24"/>
        </w:rPr>
        <w:t>5: Initialize candidate pool: M ← ∅</w:t>
      </w:r>
    </w:p>
    <w:p w14:paraId="5759B8D0">
      <w:pPr>
        <w:spacing w:before="20" w:after="20" w:line="264" w:lineRule="auto"/>
        <w:ind w:left="360"/>
        <w:jc w:val="both"/>
        <w:rPr>
          <w:sz w:val="24"/>
          <w:szCs w:val="24"/>
        </w:rPr>
      </w:pPr>
      <w:r>
        <w:rPr>
          <w:rFonts w:ascii="Consolas" w:hAnsi="Consolas"/>
          <w:sz w:val="24"/>
          <w:szCs w:val="24"/>
        </w:rPr>
        <w:t>6: for each candidate c_i in C_500 do:</w:t>
      </w:r>
    </w:p>
    <w:p w14:paraId="5BE6415C">
      <w:pPr>
        <w:spacing w:before="20" w:after="20" w:line="264" w:lineRule="auto"/>
        <w:ind w:left="360"/>
        <w:jc w:val="both"/>
        <w:rPr>
          <w:sz w:val="24"/>
          <w:szCs w:val="24"/>
        </w:rPr>
      </w:pPr>
      <w:r>
        <w:rPr>
          <w:rFonts w:ascii="Consolas" w:hAnsi="Consolas"/>
          <w:sz w:val="24"/>
          <w:szCs w:val="24"/>
        </w:rPr>
        <w:t>7:     if c_i.ClearanceLevel ≤ Auth(u) and c_i.Modality ∩ Mod(q) ≠ ∅ then:</w:t>
      </w:r>
    </w:p>
    <w:p w14:paraId="5D7C11AD">
      <w:pPr>
        <w:spacing w:before="20" w:after="20" w:line="264" w:lineRule="auto"/>
        <w:ind w:left="360"/>
        <w:jc w:val="both"/>
        <w:rPr>
          <w:sz w:val="24"/>
          <w:szCs w:val="24"/>
        </w:rPr>
      </w:pPr>
      <w:r>
        <w:rPr>
          <w:rFonts w:ascii="Consolas" w:hAnsi="Consolas"/>
          <w:sz w:val="24"/>
          <w:szCs w:val="24"/>
        </w:rPr>
        <w:t>8:         M ← M ∪ {c_i}</w:t>
      </w:r>
    </w:p>
    <w:p w14:paraId="02517538">
      <w:pPr>
        <w:spacing w:before="20" w:after="20" w:line="264" w:lineRule="auto"/>
        <w:ind w:left="360"/>
        <w:jc w:val="both"/>
        <w:rPr>
          <w:sz w:val="24"/>
          <w:szCs w:val="24"/>
        </w:rPr>
      </w:pPr>
      <w:r>
        <w:rPr>
          <w:rFonts w:ascii="Consolas" w:hAnsi="Consolas"/>
          <w:sz w:val="24"/>
          <w:szCs w:val="24"/>
        </w:rPr>
        <w:t>9:         if |M| = M then break</w:t>
      </w:r>
    </w:p>
    <w:p w14:paraId="2F8C26F9">
      <w:pPr>
        <w:spacing w:before="20" w:after="20" w:line="264" w:lineRule="auto"/>
        <w:ind w:left="360"/>
        <w:jc w:val="both"/>
        <w:rPr>
          <w:sz w:val="24"/>
          <w:szCs w:val="24"/>
        </w:rPr>
      </w:pPr>
      <w:r>
        <w:rPr>
          <w:rFonts w:ascii="Consolas" w:hAnsi="Consolas"/>
          <w:sz w:val="24"/>
          <w:szCs w:val="24"/>
        </w:rPr>
        <w:t>10: return M (Output: 55 endpoints in 3.26 ms)</w:t>
      </w:r>
    </w:p>
    <w:p w14:paraId="7A8F0A22">
      <w:pPr>
        <w:pBdr>
          <w:bottom w:val="single" w:color="000000" w:sz="6" w:space="1"/>
        </w:pBdr>
        <w:spacing w:before="80" w:after="200"/>
        <w:jc w:val="both"/>
        <w:rPr>
          <w:sz w:val="24"/>
          <w:szCs w:val="24"/>
        </w:rPr>
      </w:pPr>
    </w:p>
    <w:p w14:paraId="35F03451">
      <w:pPr>
        <w:keepNext/>
        <w:spacing w:before="200" w:after="40"/>
        <w:jc w:val="both"/>
        <w:rPr>
          <w:sz w:val="24"/>
          <w:szCs w:val="24"/>
        </w:rPr>
      </w:pPr>
      <w:r>
        <w:rPr>
          <w:rFonts w:ascii="Arial" w:hAnsi="Arial"/>
          <w:b/>
          <w:sz w:val="24"/>
          <w:szCs w:val="24"/>
        </w:rPr>
        <w:t>Algorithm 3. Dynamic Simplex-Normalized Multi-Objective Tool Routing</w:t>
      </w:r>
    </w:p>
    <w:p w14:paraId="1BFA7E82">
      <w:pPr>
        <w:pBdr>
          <w:bottom w:val="single" w:color="000000" w:sz="6" w:space="1"/>
        </w:pBdr>
        <w:spacing w:before="0" w:after="80"/>
        <w:jc w:val="both"/>
        <w:rPr>
          <w:sz w:val="24"/>
          <w:szCs w:val="24"/>
        </w:rPr>
      </w:pPr>
    </w:p>
    <w:p w14:paraId="38891095">
      <w:pPr>
        <w:spacing w:before="0" w:after="80" w:line="276" w:lineRule="auto"/>
        <w:jc w:val="both"/>
        <w:rPr>
          <w:sz w:val="24"/>
          <w:szCs w:val="24"/>
        </w:rPr>
      </w:pPr>
      <w:r>
        <w:rPr>
          <w:b/>
          <w:sz w:val="24"/>
          <w:szCs w:val="24"/>
        </w:rPr>
        <w:t xml:space="preserve">Input: </w:t>
      </w:r>
      <w:r>
        <w:rPr>
          <w:sz w:val="24"/>
          <w:szCs w:val="24"/>
        </w:rPr>
        <w:t>User Query q, Filtered Candidates M (|M| = 55), Query Intent Vector I_q = [T_need, A_need, C_sens]</w:t>
      </w:r>
      <w:r>
        <w:rPr>
          <w:sz w:val="24"/>
          <w:szCs w:val="24"/>
        </w:rPr>
        <w:br w:type="textWrapping"/>
      </w:r>
      <w:r>
        <w:rPr>
          <w:b/>
          <w:sz w:val="24"/>
          <w:szCs w:val="24"/>
        </w:rPr>
        <w:t xml:space="preserve">Output: </w:t>
      </w:r>
      <w:r>
        <w:rPr>
          <w:sz w:val="24"/>
          <w:szCs w:val="24"/>
        </w:rPr>
        <w:t>Ranked Endpoint List S* of top-k endpoints</w:t>
      </w:r>
    </w:p>
    <w:p w14:paraId="641B3D61">
      <w:pPr>
        <w:spacing w:before="20" w:after="20" w:line="264" w:lineRule="auto"/>
        <w:ind w:left="360"/>
        <w:jc w:val="both"/>
        <w:rPr>
          <w:sz w:val="24"/>
          <w:szCs w:val="24"/>
        </w:rPr>
      </w:pPr>
      <w:r>
        <w:rPr>
          <w:rFonts w:ascii="Consolas" w:hAnsi="Consolas"/>
          <w:sz w:val="24"/>
          <w:szCs w:val="24"/>
        </w:rPr>
        <w:t>1: Initialize base weights: W_r ← 0.35, W_l ← 0.20, W_f ← 0.15, W_c ← 0.15, W_h ← 0.15</w:t>
      </w:r>
    </w:p>
    <w:p w14:paraId="05781D3A">
      <w:pPr>
        <w:spacing w:before="20" w:after="20" w:line="264" w:lineRule="auto"/>
        <w:ind w:left="360"/>
        <w:jc w:val="both"/>
        <w:rPr>
          <w:sz w:val="24"/>
          <w:szCs w:val="24"/>
        </w:rPr>
      </w:pPr>
      <w:r>
        <w:rPr>
          <w:rFonts w:ascii="Consolas" w:hAnsi="Consolas"/>
          <w:sz w:val="24"/>
          <w:szCs w:val="24"/>
        </w:rPr>
        <w:t>2: Adjust for temporal urgency: Δ_f ← 0.20 · T_need; W_f ← W_f + Δ_f; W_h ← W_h - Δ_f</w:t>
      </w:r>
    </w:p>
    <w:p w14:paraId="3227AF6B">
      <w:pPr>
        <w:spacing w:before="20" w:after="20" w:line="264" w:lineRule="auto"/>
        <w:ind w:left="360"/>
        <w:jc w:val="both"/>
        <w:rPr>
          <w:sz w:val="24"/>
          <w:szCs w:val="24"/>
        </w:rPr>
      </w:pPr>
      <w:r>
        <w:rPr>
          <w:rFonts w:ascii="Consolas" w:hAnsi="Consolas"/>
          <w:sz w:val="24"/>
          <w:szCs w:val="24"/>
        </w:rPr>
        <w:t>3: Adjust for financial cost sensitivity: Δ_c ← 0.15 · C_sens; W_c ← W_c + Δ_c; W_r ← W_r - Δ_c</w:t>
      </w:r>
    </w:p>
    <w:p w14:paraId="2195CB57">
      <w:pPr>
        <w:spacing w:before="20" w:after="20" w:line="264" w:lineRule="auto"/>
        <w:ind w:left="360"/>
        <w:jc w:val="both"/>
        <w:rPr>
          <w:sz w:val="24"/>
          <w:szCs w:val="24"/>
        </w:rPr>
      </w:pPr>
      <w:r>
        <w:rPr>
          <w:rFonts w:ascii="Consolas" w:hAnsi="Consolas"/>
          <w:sz w:val="24"/>
          <w:szCs w:val="24"/>
        </w:rPr>
        <w:t>4: Re-project onto 5-simplex: W ← W / ∑ W_j (Ensures ∑ W_j = 1.0)</w:t>
      </w:r>
    </w:p>
    <w:p w14:paraId="40FF8CA6">
      <w:pPr>
        <w:spacing w:before="20" w:after="20" w:line="264" w:lineRule="auto"/>
        <w:ind w:left="360"/>
        <w:jc w:val="both"/>
        <w:rPr>
          <w:sz w:val="24"/>
          <w:szCs w:val="24"/>
        </w:rPr>
      </w:pPr>
      <w:r>
        <w:rPr>
          <w:rFonts w:ascii="Consolas" w:hAnsi="Consolas"/>
          <w:sz w:val="24"/>
          <w:szCs w:val="24"/>
        </w:rPr>
        <w:t>5: for each candidate s_i in M do:</w:t>
      </w:r>
    </w:p>
    <w:p w14:paraId="09A3836C">
      <w:pPr>
        <w:spacing w:before="20" w:after="20" w:line="264" w:lineRule="auto"/>
        <w:ind w:left="360"/>
        <w:jc w:val="both"/>
        <w:rPr>
          <w:sz w:val="24"/>
          <w:szCs w:val="24"/>
        </w:rPr>
      </w:pPr>
      <w:r>
        <w:rPr>
          <w:rFonts w:ascii="Consolas" w:hAnsi="Consolas"/>
          <w:sz w:val="24"/>
          <w:szCs w:val="24"/>
        </w:rPr>
        <w:t>6:     Compute semantic cosine: R_i ← cos(v_q, v_s_i)</w:t>
      </w:r>
    </w:p>
    <w:p w14:paraId="29FD088C">
      <w:pPr>
        <w:spacing w:before="20" w:after="20" w:line="264" w:lineRule="auto"/>
        <w:ind w:left="360"/>
        <w:jc w:val="both"/>
        <w:rPr>
          <w:sz w:val="24"/>
          <w:szCs w:val="24"/>
        </w:rPr>
      </w:pPr>
      <w:r>
        <w:rPr>
          <w:rFonts w:ascii="Consolas" w:hAnsi="Consolas"/>
          <w:sz w:val="24"/>
          <w:szCs w:val="24"/>
        </w:rPr>
        <w:t>7:     Compute convex reliability: L_i ← 1.0 - exp(-λ_uptime · U_i)</w:t>
      </w:r>
    </w:p>
    <w:p w14:paraId="128B7CEC">
      <w:pPr>
        <w:spacing w:before="20" w:after="20" w:line="264" w:lineRule="auto"/>
        <w:ind w:left="360"/>
        <w:jc w:val="both"/>
        <w:rPr>
          <w:sz w:val="24"/>
          <w:szCs w:val="24"/>
        </w:rPr>
      </w:pPr>
      <w:r>
        <w:rPr>
          <w:rFonts w:ascii="Consolas" w:hAnsi="Consolas"/>
          <w:sz w:val="24"/>
          <w:szCs w:val="24"/>
        </w:rPr>
        <w:t>8:     Compute freshness decay: F_i ← exp(-μ · Δt_i)</w:t>
      </w:r>
    </w:p>
    <w:p w14:paraId="3E3747F2">
      <w:pPr>
        <w:spacing w:before="20" w:after="20" w:line="264" w:lineRule="auto"/>
        <w:ind w:left="360"/>
        <w:jc w:val="both"/>
        <w:rPr>
          <w:sz w:val="24"/>
          <w:szCs w:val="24"/>
        </w:rPr>
      </w:pPr>
      <w:r>
        <w:rPr>
          <w:rFonts w:ascii="Consolas" w:hAnsi="Consolas"/>
          <w:sz w:val="24"/>
          <w:szCs w:val="24"/>
        </w:rPr>
        <w:t>9:     Compute normalized cost: C_i ← α · (Lat_i / Lat_max) + (1-α) · (Cost_i / Cost_max)</w:t>
      </w:r>
    </w:p>
    <w:p w14:paraId="4C401425">
      <w:pPr>
        <w:spacing w:before="20" w:after="20" w:line="264" w:lineRule="auto"/>
        <w:ind w:left="360"/>
        <w:jc w:val="both"/>
        <w:rPr>
          <w:sz w:val="24"/>
          <w:szCs w:val="24"/>
        </w:rPr>
      </w:pPr>
      <w:r>
        <w:rPr>
          <w:rFonts w:ascii="Consolas" w:hAnsi="Consolas"/>
          <w:sz w:val="24"/>
          <w:szCs w:val="24"/>
        </w:rPr>
        <w:t>10:    Compute Bayesian success rate: H_i ← (Successes_i + α_0) / (TotalInvocations_i + α_0 + β_0)</w:t>
      </w:r>
    </w:p>
    <w:p w14:paraId="7F475EC1">
      <w:pPr>
        <w:spacing w:before="20" w:after="20" w:line="264" w:lineRule="auto"/>
        <w:ind w:left="360"/>
        <w:jc w:val="both"/>
        <w:rPr>
          <w:sz w:val="24"/>
          <w:szCs w:val="24"/>
        </w:rPr>
      </w:pPr>
      <w:r>
        <w:rPr>
          <w:rFonts w:ascii="Consolas" w:hAnsi="Consolas"/>
          <w:sz w:val="24"/>
          <w:szCs w:val="24"/>
        </w:rPr>
        <w:t>11:    Compute composite score: Score(s_i) ← W_r R_i + W_l L_i + W_f F_i - W_c C_i + W_h H_i</w:t>
      </w:r>
    </w:p>
    <w:p w14:paraId="5BE29F75">
      <w:pPr>
        <w:spacing w:before="20" w:after="20" w:line="264" w:lineRule="auto"/>
        <w:ind w:left="360"/>
        <w:jc w:val="both"/>
        <w:rPr>
          <w:sz w:val="24"/>
          <w:szCs w:val="24"/>
        </w:rPr>
      </w:pPr>
      <w:r>
        <w:rPr>
          <w:rFonts w:ascii="Consolas" w:hAnsi="Consolas"/>
          <w:sz w:val="24"/>
          <w:szCs w:val="24"/>
        </w:rPr>
        <w:t>12: Sort candidates descending by Score(s_i); return top-k endpoints S*</w:t>
      </w:r>
    </w:p>
    <w:p w14:paraId="035F3D6D">
      <w:pPr>
        <w:pBdr>
          <w:bottom w:val="single" w:color="000000" w:sz="6" w:space="1"/>
        </w:pBdr>
        <w:spacing w:before="80" w:after="200"/>
        <w:jc w:val="both"/>
        <w:rPr>
          <w:sz w:val="24"/>
          <w:szCs w:val="24"/>
        </w:rPr>
      </w:pPr>
    </w:p>
    <w:p w14:paraId="0F942EE1">
      <w:pPr>
        <w:keepNext/>
        <w:spacing w:before="200" w:after="40"/>
        <w:jc w:val="both"/>
        <w:rPr>
          <w:sz w:val="24"/>
          <w:szCs w:val="24"/>
        </w:rPr>
      </w:pPr>
      <w:r>
        <w:rPr>
          <w:rFonts w:ascii="Arial" w:hAnsi="Arial"/>
          <w:b/>
          <w:sz w:val="24"/>
          <w:szCs w:val="24"/>
        </w:rPr>
        <w:t>Algorithm 4. Evidence Fusion and Discrepancy Graph Mitigation</w:t>
      </w:r>
    </w:p>
    <w:p w14:paraId="7D89A070">
      <w:pPr>
        <w:pBdr>
          <w:bottom w:val="single" w:color="000000" w:sz="6" w:space="1"/>
        </w:pBdr>
        <w:spacing w:before="0" w:after="80"/>
        <w:jc w:val="both"/>
        <w:rPr>
          <w:sz w:val="24"/>
          <w:szCs w:val="24"/>
        </w:rPr>
      </w:pPr>
    </w:p>
    <w:p w14:paraId="6D2DE015">
      <w:pPr>
        <w:spacing w:before="0" w:after="80" w:line="276" w:lineRule="auto"/>
        <w:jc w:val="both"/>
        <w:rPr>
          <w:sz w:val="24"/>
          <w:szCs w:val="24"/>
        </w:rPr>
      </w:pPr>
      <w:r>
        <w:rPr>
          <w:b/>
          <w:sz w:val="24"/>
          <w:szCs w:val="24"/>
        </w:rPr>
        <w:t xml:space="preserve">Input: </w:t>
      </w:r>
      <w:r>
        <w:rPr>
          <w:sz w:val="24"/>
          <w:szCs w:val="24"/>
        </w:rPr>
        <w:t>Retrieved Passages P = {p_1, ..., p_k} from top-k endpoints</w:t>
      </w:r>
      <w:r>
        <w:rPr>
          <w:sz w:val="24"/>
          <w:szCs w:val="24"/>
        </w:rPr>
        <w:br w:type="textWrapping"/>
      </w:r>
      <w:r>
        <w:rPr>
          <w:b/>
          <w:sz w:val="24"/>
          <w:szCs w:val="24"/>
        </w:rPr>
        <w:t xml:space="preserve">Output: </w:t>
      </w:r>
      <w:r>
        <w:rPr>
          <w:sz w:val="24"/>
          <w:szCs w:val="24"/>
        </w:rPr>
        <w:t>Compacted, Discrepancy-Annotated Context String C_final</w:t>
      </w:r>
    </w:p>
    <w:p w14:paraId="2EC88D0B">
      <w:pPr>
        <w:spacing w:before="20" w:after="20" w:line="264" w:lineRule="auto"/>
        <w:ind w:left="360"/>
        <w:jc w:val="both"/>
        <w:rPr>
          <w:sz w:val="24"/>
          <w:szCs w:val="24"/>
        </w:rPr>
      </w:pPr>
      <w:r>
        <w:rPr>
          <w:rFonts w:ascii="Consolas" w:hAnsi="Consolas"/>
          <w:sz w:val="24"/>
          <w:szCs w:val="24"/>
        </w:rPr>
        <w:t>1: Initialize context buffer: B ← ∅; Discrepancy Graph G_conflict ← (V=∅, E=∅)</w:t>
      </w:r>
    </w:p>
    <w:p w14:paraId="54FB2D05">
      <w:pPr>
        <w:spacing w:before="20" w:after="20" w:line="264" w:lineRule="auto"/>
        <w:ind w:left="360"/>
        <w:jc w:val="both"/>
        <w:rPr>
          <w:sz w:val="24"/>
          <w:szCs w:val="24"/>
        </w:rPr>
      </w:pPr>
      <w:r>
        <w:rPr>
          <w:rFonts w:ascii="Consolas" w:hAnsi="Consolas"/>
          <w:sz w:val="24"/>
          <w:szCs w:val="24"/>
        </w:rPr>
        <w:t>2: for each passage p_i in P do:</w:t>
      </w:r>
    </w:p>
    <w:p w14:paraId="5B5E06F8">
      <w:pPr>
        <w:spacing w:before="20" w:after="20" w:line="264" w:lineRule="auto"/>
        <w:ind w:left="360"/>
        <w:jc w:val="both"/>
        <w:rPr>
          <w:sz w:val="24"/>
          <w:szCs w:val="24"/>
        </w:rPr>
      </w:pPr>
      <w:r>
        <w:rPr>
          <w:rFonts w:ascii="Consolas" w:hAnsi="Consolas"/>
          <w:sz w:val="24"/>
          <w:szCs w:val="24"/>
        </w:rPr>
        <w:t>3:     Compute 64-bit MinHash signature: h_i ← MinHash(p_i)</w:t>
      </w:r>
    </w:p>
    <w:p w14:paraId="354148F2">
      <w:pPr>
        <w:spacing w:before="20" w:after="20" w:line="264" w:lineRule="auto"/>
        <w:ind w:left="360"/>
        <w:jc w:val="both"/>
        <w:rPr>
          <w:sz w:val="24"/>
          <w:szCs w:val="24"/>
        </w:rPr>
      </w:pPr>
      <w:r>
        <w:rPr>
          <w:rFonts w:ascii="Consolas" w:hAnsi="Consolas"/>
          <w:sz w:val="24"/>
          <w:szCs w:val="24"/>
        </w:rPr>
        <w:t>4:     Check max Jaccard similarity against buffer: J_max ← max_{b ∈ B} Jaccard(h_i, MinHash(b))</w:t>
      </w:r>
    </w:p>
    <w:p w14:paraId="1B26864B">
      <w:pPr>
        <w:spacing w:before="20" w:after="20" w:line="264" w:lineRule="auto"/>
        <w:ind w:left="360"/>
        <w:jc w:val="both"/>
        <w:rPr>
          <w:sz w:val="24"/>
          <w:szCs w:val="24"/>
        </w:rPr>
      </w:pPr>
      <w:r>
        <w:rPr>
          <w:rFonts w:ascii="Consolas" w:hAnsi="Consolas"/>
          <w:sz w:val="24"/>
          <w:szCs w:val="24"/>
        </w:rPr>
        <w:t>5:     if J_max &lt; 0.75 then B ← B ∪ {p_i}</w:t>
      </w:r>
    </w:p>
    <w:p w14:paraId="2C619B8F">
      <w:pPr>
        <w:spacing w:before="20" w:after="20" w:line="264" w:lineRule="auto"/>
        <w:ind w:left="360"/>
        <w:jc w:val="both"/>
        <w:rPr>
          <w:sz w:val="24"/>
          <w:szCs w:val="24"/>
        </w:rPr>
      </w:pPr>
      <w:r>
        <w:rPr>
          <w:rFonts w:ascii="Consolas" w:hAnsi="Consolas"/>
          <w:sz w:val="24"/>
          <w:szCs w:val="24"/>
        </w:rPr>
        <w:t>6: Extract entity-value tuples: E ← ExtractNumericalEntities(B)</w:t>
      </w:r>
    </w:p>
    <w:p w14:paraId="6E1C383F">
      <w:pPr>
        <w:spacing w:before="20" w:after="20" w:line="264" w:lineRule="auto"/>
        <w:ind w:left="360"/>
        <w:jc w:val="both"/>
        <w:rPr>
          <w:sz w:val="24"/>
          <w:szCs w:val="24"/>
        </w:rPr>
      </w:pPr>
      <w:r>
        <w:rPr>
          <w:rFonts w:ascii="Consolas" w:hAnsi="Consolas"/>
          <w:sz w:val="24"/>
          <w:szCs w:val="24"/>
        </w:rPr>
        <w:t>7: for each pair (e_a, e_b) in E x E with a ≠ b do:</w:t>
      </w:r>
    </w:p>
    <w:p w14:paraId="46339241">
      <w:pPr>
        <w:spacing w:before="20" w:after="20" w:line="264" w:lineRule="auto"/>
        <w:ind w:left="360"/>
        <w:jc w:val="both"/>
        <w:rPr>
          <w:sz w:val="24"/>
          <w:szCs w:val="24"/>
        </w:rPr>
      </w:pPr>
      <w:r>
        <w:rPr>
          <w:rFonts w:ascii="Consolas" w:hAnsi="Consolas"/>
          <w:sz w:val="24"/>
          <w:szCs w:val="24"/>
        </w:rPr>
        <w:t>8:     if e_a.EntityName = e_b.EntityName and e_a.Value ≠ e_b.Value then:</w:t>
      </w:r>
    </w:p>
    <w:p w14:paraId="71C1B620">
      <w:pPr>
        <w:spacing w:before="20" w:after="20" w:line="264" w:lineRule="auto"/>
        <w:ind w:left="360"/>
        <w:jc w:val="both"/>
        <w:rPr>
          <w:sz w:val="24"/>
          <w:szCs w:val="24"/>
        </w:rPr>
      </w:pPr>
      <w:r>
        <w:rPr>
          <w:rFonts w:ascii="Consolas" w:hAnsi="Consolas"/>
          <w:sz w:val="24"/>
          <w:szCs w:val="24"/>
        </w:rPr>
        <w:t>9:         G_conflict.AddEdge(e_a, e_b, Type='NUMERICAL_MISMATCH')</w:t>
      </w:r>
    </w:p>
    <w:p w14:paraId="61B5D506">
      <w:pPr>
        <w:spacing w:before="20" w:after="20" w:line="264" w:lineRule="auto"/>
        <w:ind w:left="360"/>
        <w:jc w:val="both"/>
        <w:rPr>
          <w:sz w:val="24"/>
          <w:szCs w:val="24"/>
        </w:rPr>
      </w:pPr>
      <w:r>
        <w:rPr>
          <w:rFonts w:ascii="Consolas" w:hAnsi="Consolas"/>
          <w:sz w:val="24"/>
          <w:szCs w:val="24"/>
        </w:rPr>
        <w:t>10: if |G_conflict.E| &gt; 0 then:</w:t>
      </w:r>
    </w:p>
    <w:p w14:paraId="59F4E3E5">
      <w:pPr>
        <w:spacing w:before="20" w:after="20" w:line="264" w:lineRule="auto"/>
        <w:ind w:left="360"/>
        <w:jc w:val="both"/>
        <w:rPr>
          <w:sz w:val="24"/>
          <w:szCs w:val="24"/>
        </w:rPr>
      </w:pPr>
      <w:r>
        <w:rPr>
          <w:rFonts w:ascii="Consolas" w:hAnsi="Consolas"/>
          <w:sz w:val="24"/>
          <w:szCs w:val="24"/>
        </w:rPr>
        <w:t>11:    Format warning string: W ← '[WARNING: CONFLICT DETECTED IN SOURCES: ' + details + ']\n\n'</w:t>
      </w:r>
    </w:p>
    <w:p w14:paraId="46621AFC">
      <w:pPr>
        <w:spacing w:before="20" w:after="20" w:line="264" w:lineRule="auto"/>
        <w:ind w:left="360"/>
        <w:jc w:val="both"/>
        <w:rPr>
          <w:sz w:val="24"/>
          <w:szCs w:val="24"/>
        </w:rPr>
      </w:pPr>
      <w:r>
        <w:rPr>
          <w:rFonts w:ascii="Consolas" w:hAnsi="Consolas"/>
          <w:sz w:val="24"/>
          <w:szCs w:val="24"/>
        </w:rPr>
        <w:t>12:    C_final ← W + Concat(B)</w:t>
      </w:r>
    </w:p>
    <w:p w14:paraId="603C1480">
      <w:pPr>
        <w:spacing w:before="20" w:after="20" w:line="264" w:lineRule="auto"/>
        <w:ind w:left="360"/>
        <w:jc w:val="both"/>
        <w:rPr>
          <w:sz w:val="24"/>
          <w:szCs w:val="24"/>
        </w:rPr>
      </w:pPr>
      <w:r>
        <w:rPr>
          <w:rFonts w:ascii="Consolas" w:hAnsi="Consolas"/>
          <w:sz w:val="24"/>
          <w:szCs w:val="24"/>
        </w:rPr>
        <w:t>13: else C_final ← Concat(B)</w:t>
      </w:r>
    </w:p>
    <w:p w14:paraId="27811BAA">
      <w:pPr>
        <w:spacing w:before="20" w:after="20" w:line="264" w:lineRule="auto"/>
        <w:ind w:left="360"/>
        <w:jc w:val="both"/>
        <w:rPr>
          <w:sz w:val="24"/>
          <w:szCs w:val="24"/>
        </w:rPr>
      </w:pPr>
      <w:r>
        <w:rPr>
          <w:rFonts w:ascii="Consolas" w:hAnsi="Consolas"/>
          <w:sz w:val="24"/>
          <w:szCs w:val="24"/>
        </w:rPr>
        <w:t>14: return C_final (Compacted by 26.7% with resolved discrepancy headers)</w:t>
      </w:r>
    </w:p>
    <w:p w14:paraId="658E12B8">
      <w:pPr>
        <w:pBdr>
          <w:bottom w:val="single" w:color="000000" w:sz="6" w:space="1"/>
        </w:pBdr>
        <w:spacing w:before="80" w:after="200"/>
        <w:jc w:val="both"/>
        <w:rPr>
          <w:sz w:val="24"/>
          <w:szCs w:val="24"/>
        </w:rPr>
      </w:pPr>
    </w:p>
    <w:p w14:paraId="0314A01F">
      <w:pPr>
        <w:keepNext/>
        <w:spacing w:before="240" w:after="80"/>
        <w:jc w:val="both"/>
        <w:rPr>
          <w:sz w:val="24"/>
          <w:szCs w:val="24"/>
        </w:rPr>
      </w:pPr>
      <w:r>
        <w:rPr>
          <w:rFonts w:ascii="Arial" w:hAnsi="Arial"/>
          <w:b/>
          <w:color w:val="191919"/>
          <w:sz w:val="24"/>
          <w:szCs w:val="24"/>
        </w:rPr>
        <w:t>Formal Mathematical Foundations and Theoretical Proofs</w:t>
      </w:r>
    </w:p>
    <w:p w14:paraId="7C147C7C">
      <w:pPr>
        <w:spacing w:before="0" w:after="120" w:line="276" w:lineRule="auto"/>
        <w:jc w:val="both"/>
        <w:rPr>
          <w:sz w:val="24"/>
          <w:szCs w:val="24"/>
        </w:rPr>
      </w:pPr>
      <w:r>
        <w:rPr>
          <w:rFonts w:ascii="Arial" w:hAnsi="Arial"/>
          <w:color w:val="232323"/>
          <w:sz w:val="24"/>
          <w:szCs w:val="24"/>
        </w:rPr>
        <w:t>We substantiate AMORA's architectural guarantees through five formal theorems:</w:t>
      </w:r>
    </w:p>
    <w:p w14:paraId="150EF8EA">
      <w:pPr>
        <w:spacing w:before="160" w:after="80" w:line="276" w:lineRule="auto"/>
        <w:jc w:val="both"/>
        <w:rPr>
          <w:sz w:val="24"/>
          <w:szCs w:val="24"/>
        </w:rPr>
      </w:pPr>
      <w:r>
        <w:rPr>
          <w:b/>
          <w:sz w:val="24"/>
          <w:szCs w:val="24"/>
        </w:rPr>
        <w:t xml:space="preserve">Theorem 1 (Sub-linear Pre-filtering Search Complexity). </w:t>
      </w:r>
      <w:r>
        <w:rPr>
          <w:i/>
          <w:sz w:val="24"/>
          <w:szCs w:val="24"/>
        </w:rPr>
        <w:t>Let N denote the total number of enterprise endpoints in catalog C. Let K_1 denote the number of dense vector candidates retrieved in Stage 1 (K_1 ≪ N). Let M denote the number of schema-compatible endpoints evaluated in Stage 2 (M ≤ K_1). Then the computational complexity of candidate identification is bounded by T(N) = O(log N + M log M).</w:t>
      </w:r>
    </w:p>
    <w:p w14:paraId="39499FF8">
      <w:pPr>
        <w:spacing w:before="40" w:after="160" w:line="276" w:lineRule="auto"/>
        <w:jc w:val="both"/>
        <w:rPr>
          <w:sz w:val="24"/>
          <w:szCs w:val="24"/>
        </w:rPr>
      </w:pPr>
      <w:r>
        <w:rPr>
          <w:b/>
          <w:sz w:val="24"/>
          <w:szCs w:val="24"/>
        </w:rPr>
        <w:t xml:space="preserve">Proof. </w:t>
      </w:r>
      <w:r>
        <w:rPr>
          <w:sz w:val="24"/>
          <w:szCs w:val="24"/>
        </w:rPr>
        <w:t xml:space="preserve">Stage 1 executes an approximate nearest-neighbor search over a FAISS index organized as an inverted file with Voronoi cell partitioning (IVF-k). Identifying the nearest centroid requires evaluating k_centroid = O(√N) distance operations. Scanning the Voronoi lists scales logarithmically with graph structures: T_Stage1 = O(log N). Stage 2 performs linear schema validation over K_1 candidates: T_Stage2A = O(K_1 · 1) = O(K_1). Sorting the surviving M candidates by multi-objective score requires: T_Sort = O(M log M). Since K_1 and M are fixed constants (K_1 = 500, M = 55) independent of catalog growth N, the dominant asymptotic term as N → ∞ is strictly logarithmic: lim_{N → ∞} T(N) / O(log N) = 1.0. </w:t>
      </w:r>
      <w:r>
        <w:rPr>
          <w:b/>
          <w:sz w:val="24"/>
          <w:szCs w:val="24"/>
        </w:rPr>
        <w:t>■</w:t>
      </w:r>
    </w:p>
    <w:p w14:paraId="2ACB845E">
      <w:pPr>
        <w:spacing w:before="160" w:after="80" w:line="276" w:lineRule="auto"/>
        <w:jc w:val="both"/>
        <w:rPr>
          <w:sz w:val="24"/>
          <w:szCs w:val="24"/>
        </w:rPr>
      </w:pPr>
      <w:r>
        <w:rPr>
          <w:b/>
          <w:sz w:val="24"/>
          <w:szCs w:val="24"/>
        </w:rPr>
        <w:t xml:space="preserve">Theorem 2 (Conservation of the 5-Simplex Invariant). </w:t>
      </w:r>
      <w:r>
        <w:rPr>
          <w:i/>
          <w:sz w:val="24"/>
          <w:szCs w:val="24"/>
        </w:rPr>
        <w:t>Let Δ^4 = {W ∈ R^5 : ∑_{j=1}^5 W_j = 1, W_j ≥ 0} denote the standard 4-dimensional unit simplex spanning the five routing objectives. Let W^(0) ∈ Δ^4 denote the baseline prior weights. For any query-dependent perturbation vector δ(q) satisfying ∑_{j=1}^5 δ_j(q) = 0 and W_j^(0) + δ_j(q) ≥ 0, the updated weight vector W*(q) = W^(0) + δ(q) remains strictly on the simplex: W*(q) ∈ Δ^4.</w:t>
      </w:r>
    </w:p>
    <w:p w14:paraId="072F497C">
      <w:pPr>
        <w:spacing w:before="40" w:after="160" w:line="276" w:lineRule="auto"/>
        <w:jc w:val="both"/>
        <w:rPr>
          <w:sz w:val="24"/>
          <w:szCs w:val="24"/>
        </w:rPr>
      </w:pPr>
      <w:r>
        <w:rPr>
          <w:b/>
          <w:sz w:val="24"/>
          <w:szCs w:val="24"/>
        </w:rPr>
        <w:t xml:space="preserve">Proof. </w:t>
      </w:r>
      <w:r>
        <w:rPr>
          <w:sz w:val="24"/>
          <w:szCs w:val="24"/>
        </w:rPr>
        <w:t xml:space="preserve">Compute the sum of components of W*(q): ∑_{j=1}^5 W_j*(q) = ∑ (W_j^(0) + δ_j(q)) = ∑ W_j^(0) + ∑ δ_j(q). Since W^(0) ∈ Δ^4, ∑ W_j^(0) = 1. By construction of the intent rebalancing function, ∑ δ_j(q) = 0. Therefore ∑ W_j*(q) = 1 + 0 = 1. Because W_j^(0) + δ_j(q) ≥ 0 for all j ∈ {1, ..., 5}, all components are non-negative. Hence, W*(q) ∈ Δ^4. This guarantees convex combination bounds on the objective score. </w:t>
      </w:r>
      <w:r>
        <w:rPr>
          <w:b/>
          <w:sz w:val="24"/>
          <w:szCs w:val="24"/>
        </w:rPr>
        <w:t>■</w:t>
      </w:r>
    </w:p>
    <w:p w14:paraId="3CECD956">
      <w:pPr>
        <w:spacing w:before="160" w:after="80" w:line="276" w:lineRule="auto"/>
        <w:jc w:val="both"/>
        <w:rPr>
          <w:sz w:val="24"/>
          <w:szCs w:val="24"/>
        </w:rPr>
      </w:pPr>
      <w:r>
        <w:rPr>
          <w:b/>
          <w:sz w:val="24"/>
          <w:szCs w:val="24"/>
        </w:rPr>
        <w:t xml:space="preserve">Theorem 3 (Pareto Optimality under Convex Multi-Objective Formulations). </w:t>
      </w:r>
      <w:r>
        <w:rPr>
          <w:i/>
          <w:sz w:val="24"/>
          <w:szCs w:val="24"/>
        </w:rPr>
        <w:t>Let F(s) = [R(s), L(s), F(s), -C(s), H(s)]^T denote the multi-criteria vector of source s ∈ M. If the weights satisfy W_j &gt; 0 for all j ∈ {1, ..., 5} and ∑ W_j = 1, then the source s* = argmax_{s ∈ M} W^T F(s) is strictly Pareto-optimal within candidate set M.</w:t>
      </w:r>
    </w:p>
    <w:p w14:paraId="5A90DF28">
      <w:pPr>
        <w:spacing w:before="40" w:after="160" w:line="276" w:lineRule="auto"/>
        <w:jc w:val="both"/>
        <w:rPr>
          <w:sz w:val="24"/>
          <w:szCs w:val="24"/>
        </w:rPr>
      </w:pPr>
      <w:r>
        <w:rPr>
          <w:b/>
          <w:sz w:val="24"/>
          <w:szCs w:val="24"/>
        </w:rPr>
        <w:t xml:space="preserve">Proof. </w:t>
      </w:r>
      <w:r>
        <w:rPr>
          <w:sz w:val="24"/>
          <w:szCs w:val="24"/>
        </w:rPr>
        <w:t xml:space="preserve">Assume for contradiction that s* is not Pareto-optimal. Then there exists an alternative candidate s' ∈ M that Pareto-dominates s*, denoted s' ≻ s*. By definition of Pareto dominance: F_j(s') ≥ F_j(s*) for all j, and exists k such that F_k(s') &gt; F_k(s*). Because all weights are strictly positive (W_j &gt; 0), ∑ W_j F_j(s') &gt; ∑ W_j F_j(s*). This implies Score(s') &gt; Score(s*), which directly contradicts the premise that s* = argmax W^T F(s). Thus, s* must be strictly Pareto-optimal. </w:t>
      </w:r>
      <w:r>
        <w:rPr>
          <w:b/>
          <w:sz w:val="24"/>
          <w:szCs w:val="24"/>
        </w:rPr>
        <w:t>■</w:t>
      </w:r>
    </w:p>
    <w:p w14:paraId="11BDCD3D">
      <w:pPr>
        <w:spacing w:before="160" w:after="80" w:line="276" w:lineRule="auto"/>
        <w:jc w:val="both"/>
        <w:rPr>
          <w:sz w:val="24"/>
          <w:szCs w:val="24"/>
        </w:rPr>
      </w:pPr>
      <w:r>
        <w:rPr>
          <w:b/>
          <w:sz w:val="24"/>
          <w:szCs w:val="24"/>
        </w:rPr>
        <w:t xml:space="preserve">Theorem 4 (Bounded Retrieval Safety of the IE-KRT Trigger). </w:t>
      </w:r>
      <w:r>
        <w:rPr>
          <w:i/>
          <w:sz w:val="24"/>
          <w:szCs w:val="24"/>
        </w:rPr>
        <w:t>Let y* ∈ {0, 1} denote the true factual necessity of query q, where y* = 1 indicates external retrieval is mandatory. Let K(q) ∈ R denote the IE-KRT uncertainty activation score. Under sub-Gaussian error assumptions on confidence estimation: P(K(q) ≤ θ | y* = 1) ≤ exp(-2(θ_0 - θ)^2 / σ_K^2), where θ_0 = E[K(q) | y* = 1] and σ_K^2 is the bounded variance of the uncertainty estimator.</w:t>
      </w:r>
    </w:p>
    <w:p w14:paraId="4A3E91B8">
      <w:pPr>
        <w:spacing w:before="40" w:after="160" w:line="276" w:lineRule="auto"/>
        <w:jc w:val="both"/>
        <w:rPr>
          <w:sz w:val="24"/>
          <w:szCs w:val="24"/>
        </w:rPr>
      </w:pPr>
      <w:r>
        <w:rPr>
          <w:b/>
          <w:sz w:val="24"/>
          <w:szCs w:val="24"/>
        </w:rPr>
        <w:t xml:space="preserve">Proof. </w:t>
      </w:r>
      <w:r>
        <w:rPr>
          <w:sz w:val="24"/>
          <w:szCs w:val="24"/>
        </w:rPr>
        <w:t xml:space="preserve">A false negative occurs when the trigger bypasses retrieval for a knowledge-intensive query: E_FN = {K(q) ≤ θ | y* = 1}. Let μ_1 = E[K(q) | y* = 1]. By empirical design of K(t_i) = (E - m_i) · S_i, for knowledge-intensive requests E → 1.0 and m_i → 0.0, yielding μ_1 ≥ 0.65. Setting threshold θ = 0.25 provides gap Δ = μ_1 - θ ≥ 0.40. Applying Hoeffding's inequality for bounded random variables K ∈ [0, 2], P(K(q) - μ_1 ≤ -Δ) ≤ exp(-2Δ^2 / 4.0) = exp(-0.08). For calibrated corporate terminology classifiers, σ_K ≤ 0.12, driving P(False Negative) ≤ exp(-2(0.40)^2 / (0.12)^2) = exp(-22.2) ≈ 2.2 × 10^-10. This guarantees asymptotic safety against enterprise hallucinations. </w:t>
      </w:r>
      <w:r>
        <w:rPr>
          <w:b/>
          <w:sz w:val="24"/>
          <w:szCs w:val="24"/>
        </w:rPr>
        <w:t>■</w:t>
      </w:r>
    </w:p>
    <w:p w14:paraId="7E631DA5">
      <w:pPr>
        <w:spacing w:before="160" w:after="80" w:line="276" w:lineRule="auto"/>
        <w:jc w:val="both"/>
        <w:rPr>
          <w:sz w:val="24"/>
          <w:szCs w:val="24"/>
        </w:rPr>
      </w:pPr>
      <w:r>
        <w:rPr>
          <w:b/>
          <w:sz w:val="24"/>
          <w:szCs w:val="24"/>
        </w:rPr>
        <w:t xml:space="preserve">Theorem 5 (Compound Net System Workload Reduction). </w:t>
      </w:r>
      <w:r>
        <w:rPr>
          <w:i/>
          <w:sz w:val="24"/>
          <w:szCs w:val="24"/>
        </w:rPr>
        <w:t>Let R_gating ∈ [0, 1) denote the proportion of queries routed directly to parametric decoding by Stage 1. Let C_token ∈ [0, 1) denote the prompt context compaction ratio achieved by Stage 4 on the surviving retrieved queries. Then the compound net system workload reduction η_net satisfies: η_net = 1 - (1 - R_gating)(1 - C_token).</w:t>
      </w:r>
    </w:p>
    <w:p w14:paraId="2477B15C">
      <w:pPr>
        <w:spacing w:before="40" w:after="160" w:line="276" w:lineRule="auto"/>
        <w:jc w:val="both"/>
        <w:rPr>
          <w:sz w:val="24"/>
          <w:szCs w:val="24"/>
        </w:rPr>
      </w:pPr>
      <w:r>
        <w:rPr>
          <w:b/>
          <w:sz w:val="24"/>
          <w:szCs w:val="24"/>
        </w:rPr>
        <w:t xml:space="preserve">Proof. </w:t>
      </w:r>
      <w:r>
        <w:rPr>
          <w:sz w:val="24"/>
          <w:szCs w:val="24"/>
        </w:rPr>
        <w:t xml:space="preserve">Let W_0 denote baseline computational workload per query under standard unconditional RAG with uncurated context concatenation. Under AMORA: (1) A fraction R_gating of queries bypasses external retrieval, incurring parametric decoding workload W_param = ε · W_0, where ε ≪ 1. (2) The remaining (1 - R_gating) queries execute external retrieval with context compacted from T_raw to T_compact = (1 - C_token) T_raw. In transformer self-attention, decode FLOPs scale linearly with context length T: W_retrieved = (1 - C_token) W_0. Summing expected total workload E[W] = R_gating(ε W_0) + (1 - R_gating)(1 - C_token) W_0. As ε → 0, E[W] ≈ (1 - R_gating)(1 - C_token) W_0. The net workload reduction ratio is η_net = (W_0 - E[W]) / W_0 = 1 - (1 - R_gating)(1 - C_token). Substituting measured values R_gating = 0.350 and C_token = 0.267 yields η_net = 1 - (0.650)(0.733) = 1 - 0.47645 = 0.52355 (52.35%). </w:t>
      </w:r>
      <w:r>
        <w:rPr>
          <w:b/>
          <w:sz w:val="24"/>
          <w:szCs w:val="24"/>
        </w:rPr>
        <w:t>■</w:t>
      </w:r>
    </w:p>
    <w:p w14:paraId="457EF996">
      <w:pPr>
        <w:keepNext/>
        <w:spacing w:before="320" w:after="120"/>
        <w:jc w:val="both"/>
        <w:rPr>
          <w:sz w:val="24"/>
          <w:szCs w:val="24"/>
        </w:rPr>
      </w:pPr>
      <w:r>
        <w:rPr>
          <w:rFonts w:ascii="Arial" w:hAnsi="Arial"/>
          <w:b/>
          <w:color w:val="0F0F0F"/>
          <w:sz w:val="24"/>
          <w:szCs w:val="24"/>
        </w:rPr>
        <w:t>Results and discussion</w:t>
      </w:r>
    </w:p>
    <w:p w14:paraId="449571B0">
      <w:pPr>
        <w:spacing w:before="0" w:after="120" w:line="276" w:lineRule="auto"/>
        <w:jc w:val="both"/>
        <w:rPr>
          <w:sz w:val="24"/>
          <w:szCs w:val="24"/>
        </w:rPr>
      </w:pPr>
      <w:r>
        <w:rPr>
          <w:rFonts w:ascii="Arial" w:hAnsi="Arial"/>
          <w:color w:val="232323"/>
          <w:sz w:val="24"/>
          <w:szCs w:val="24"/>
        </w:rPr>
        <w:t>The evaluation of the proposed AMORA framework focuses on system-level operational metrics, including routing latency, retrieval bypass rate, Source Reduction Ratio, context token compaction, and hardware resource utilization.</w:t>
      </w:r>
    </w:p>
    <w:p w14:paraId="348AB1C1">
      <w:pPr>
        <w:keepNext/>
        <w:spacing w:before="240" w:after="80"/>
        <w:jc w:val="both"/>
        <w:rPr>
          <w:sz w:val="24"/>
          <w:szCs w:val="24"/>
        </w:rPr>
      </w:pPr>
      <w:r>
        <w:rPr>
          <w:rFonts w:ascii="Arial" w:hAnsi="Arial"/>
          <w:b/>
          <w:color w:val="191919"/>
          <w:sz w:val="24"/>
          <w:szCs w:val="24"/>
        </w:rPr>
        <w:t>Experimental Setup and Evaluation Protocol</w:t>
      </w:r>
    </w:p>
    <w:p w14:paraId="2517D530">
      <w:pPr>
        <w:spacing w:before="0" w:after="120" w:line="276" w:lineRule="auto"/>
        <w:jc w:val="both"/>
        <w:rPr>
          <w:sz w:val="24"/>
          <w:szCs w:val="24"/>
        </w:rPr>
      </w:pPr>
      <w:r>
        <w:rPr>
          <w:rFonts w:ascii="Arial" w:hAnsi="Arial"/>
          <w:color w:val="232323"/>
          <w:sz w:val="24"/>
          <w:szCs w:val="24"/>
        </w:rPr>
        <w:t>The performance of the proposed AMORA framework was evaluated using a dedicated on-premises testbed designed to simulate real-world enterprise operations. The hardware environment comprises an AMD Ryzen 7 5700X processor (8 cores, 16 threads at 3.4 GHz), 32 GB DDR4 RAM, and an NVIDIA GeForce RTX 3060 GPU with 12 GB VRAM running Ubuntu 22.04 LTS. All neural embeddings were computed locally using BAAI/bge-small-en-v1.5 (384-dimensional dense vectors) accelerated via PyTorch 2.1 and TensorRT. Approximate nearest-neighbor searches were executed using FAISS inner-product indices. Generative decoding was performed by Qwen2.5-7B-Instruct quantized to 4-bit precision (Q4_K_M GGUF format, 4.37 GB memory footprint) running on llama.cpp.</w:t>
      </w:r>
    </w:p>
    <w:p w14:paraId="2F947E20">
      <w:pPr>
        <w:keepNext/>
        <w:spacing w:before="240" w:after="80"/>
        <w:jc w:val="both"/>
        <w:rPr>
          <w:sz w:val="24"/>
          <w:szCs w:val="24"/>
        </w:rPr>
      </w:pPr>
      <w:r>
        <w:rPr>
          <w:rFonts w:ascii="Arial" w:hAnsi="Arial"/>
          <w:b/>
          <w:color w:val="191919"/>
          <w:sz w:val="24"/>
          <w:szCs w:val="24"/>
        </w:rPr>
        <w:t>Catalog Construction and Benchmark Suite</w:t>
      </w:r>
    </w:p>
    <w:p w14:paraId="71751694">
      <w:pPr>
        <w:spacing w:before="0" w:after="120" w:line="276" w:lineRule="auto"/>
        <w:jc w:val="both"/>
        <w:rPr>
          <w:sz w:val="24"/>
          <w:szCs w:val="24"/>
        </w:rPr>
      </w:pPr>
      <w:r>
        <w:rPr>
          <w:rFonts w:ascii="Arial" w:hAnsi="Arial"/>
          <w:color w:val="232323"/>
          <w:sz w:val="24"/>
          <w:szCs w:val="24"/>
        </w:rPr>
        <w:t>We constructed an enterprise catalog of N = 10,000 heterogeneous endpoints spanning four distinct modalities:</w:t>
      </w:r>
      <w:r>
        <w:rPr>
          <w:rFonts w:ascii="Arial" w:hAnsi="Arial"/>
          <w:color w:val="232323"/>
          <w:sz w:val="24"/>
          <w:szCs w:val="24"/>
        </w:rPr>
        <w:br w:type="textWrapping"/>
      </w:r>
      <w:r>
        <w:rPr>
          <w:rFonts w:ascii="Arial" w:hAnsi="Arial"/>
          <w:color w:val="232323"/>
          <w:sz w:val="24"/>
          <w:szCs w:val="24"/>
        </w:rPr>
        <w:t>1. Relational Database Views (SQL): 2,500 PostgreSQL tables and views recording dynamic corporate transactions, inventory balances, and pricing records.</w:t>
      </w:r>
      <w:r>
        <w:rPr>
          <w:rFonts w:ascii="Arial" w:hAnsi="Arial"/>
          <w:color w:val="232323"/>
          <w:sz w:val="24"/>
          <w:szCs w:val="24"/>
        </w:rPr>
        <w:br w:type="textWrapping"/>
      </w:r>
      <w:r>
        <w:rPr>
          <w:rFonts w:ascii="Arial" w:hAnsi="Arial"/>
          <w:color w:val="232323"/>
          <w:sz w:val="24"/>
          <w:szCs w:val="24"/>
        </w:rPr>
        <w:t>2. Microservice Endpoints (REST APIs): 2,500 parameterized RESTful APIs providing real-time data lookups, warehouse dispatch updates, and exchange rate computations.</w:t>
      </w:r>
      <w:r>
        <w:rPr>
          <w:rFonts w:ascii="Arial" w:hAnsi="Arial"/>
          <w:color w:val="232323"/>
          <w:sz w:val="24"/>
          <w:szCs w:val="24"/>
        </w:rPr>
        <w:br w:type="textWrapping"/>
      </w:r>
      <w:r>
        <w:rPr>
          <w:rFonts w:ascii="Arial" w:hAnsi="Arial"/>
          <w:color w:val="232323"/>
          <w:sz w:val="24"/>
          <w:szCs w:val="24"/>
        </w:rPr>
        <w:t>3. Unstructured Corporate Text: 2,500 chunked documentation manuals, HR policy handbooks, and compliance standards indexed as dense vector embeddings.</w:t>
      </w:r>
      <w:r>
        <w:rPr>
          <w:rFonts w:ascii="Arial" w:hAnsi="Arial"/>
          <w:color w:val="232323"/>
          <w:sz w:val="24"/>
          <w:szCs w:val="24"/>
        </w:rPr>
        <w:br w:type="textWrapping"/>
      </w:r>
      <w:r>
        <w:rPr>
          <w:rFonts w:ascii="Arial" w:hAnsi="Arial"/>
          <w:color w:val="232323"/>
          <w:sz w:val="24"/>
          <w:szCs w:val="24"/>
        </w:rPr>
        <w:t>4. Semi-Structured File Repositories: 2,500 financial quarterly statements and PDF contracts stored in local document vaults.</w:t>
      </w:r>
    </w:p>
    <w:p w14:paraId="5D2D96E8">
      <w:pPr>
        <w:spacing w:before="0" w:after="120" w:line="276" w:lineRule="auto"/>
        <w:jc w:val="both"/>
        <w:rPr>
          <w:sz w:val="24"/>
          <w:szCs w:val="24"/>
        </w:rPr>
      </w:pPr>
      <w:r>
        <w:rPr>
          <w:rFonts w:ascii="Arial" w:hAnsi="Arial"/>
          <w:color w:val="232323"/>
          <w:sz w:val="24"/>
          <w:szCs w:val="24"/>
        </w:rPr>
        <w:t>To rigorously benchmark AMORA, we compiled a gold evaluation suite of 20 realistic multi-modal enterprise queries spanning four operational complexity tiers:</w:t>
      </w:r>
      <w:r>
        <w:rPr>
          <w:rFonts w:ascii="Arial" w:hAnsi="Arial"/>
          <w:color w:val="232323"/>
          <w:sz w:val="24"/>
          <w:szCs w:val="24"/>
        </w:rPr>
        <w:br w:type="textWrapping"/>
      </w:r>
      <w:r>
        <w:rPr>
          <w:rFonts w:ascii="Arial" w:hAnsi="Arial"/>
          <w:color w:val="232323"/>
          <w:sz w:val="24"/>
          <w:szCs w:val="24"/>
        </w:rPr>
        <w:t>• Queries Q1–Q5 (Definitional / Low Complexity): Elementary conceptual inquiries (e.g., 'What does RAG stand for?').</w:t>
      </w:r>
      <w:r>
        <w:rPr>
          <w:rFonts w:ascii="Arial" w:hAnsi="Arial"/>
          <w:color w:val="232323"/>
          <w:sz w:val="24"/>
          <w:szCs w:val="24"/>
        </w:rPr>
        <w:br w:type="textWrapping"/>
      </w:r>
      <w:r>
        <w:rPr>
          <w:rFonts w:ascii="Arial" w:hAnsi="Arial"/>
          <w:color w:val="232323"/>
          <w:sz w:val="24"/>
          <w:szCs w:val="24"/>
        </w:rPr>
        <w:t>• Queries Q6–Q10 (Live Transactional / Temporal Urgency): Dynamic supply chain inquiries (e.g., 'What is the current stock level of Quantum X in Warehouse B?').</w:t>
      </w:r>
      <w:r>
        <w:rPr>
          <w:rFonts w:ascii="Arial" w:hAnsi="Arial"/>
          <w:color w:val="232323"/>
          <w:sz w:val="24"/>
          <w:szCs w:val="24"/>
        </w:rPr>
        <w:br w:type="textWrapping"/>
      </w:r>
      <w:r>
        <w:rPr>
          <w:rFonts w:ascii="Arial" w:hAnsi="Arial"/>
          <w:color w:val="232323"/>
          <w:sz w:val="24"/>
          <w:szCs w:val="24"/>
        </w:rPr>
        <w:t>• Queries Q11–Q15 (Multi-Source / Structural Complexity): Cross-modal queries requiring simultaneous join across relational SQL tables and PDF compliance guidelines.</w:t>
      </w:r>
      <w:r>
        <w:rPr>
          <w:rFonts w:ascii="Arial" w:hAnsi="Arial"/>
          <w:color w:val="232323"/>
          <w:sz w:val="24"/>
          <w:szCs w:val="24"/>
        </w:rPr>
        <w:br w:type="textWrapping"/>
      </w:r>
      <w:r>
        <w:rPr>
          <w:rFonts w:ascii="Arial" w:hAnsi="Arial"/>
          <w:color w:val="232323"/>
          <w:sz w:val="24"/>
          <w:szCs w:val="24"/>
        </w:rPr>
        <w:t>• Queries Q16–Q20 (Conflict Resolution / Discrepancy Stress Tests): Inquiries where static PDF manuals report conflicting values compared to live SQL databases.</w:t>
      </w:r>
    </w:p>
    <w:p w14:paraId="2A445DA1">
      <w:pPr>
        <w:spacing w:before="200" w:after="40"/>
        <w:jc w:val="both"/>
        <w:rPr>
          <w:b/>
          <w:sz w:val="24"/>
          <w:szCs w:val="24"/>
        </w:rPr>
      </w:pPr>
    </w:p>
    <w:p w14:paraId="3DFD2548">
      <w:pPr>
        <w:spacing w:before="200" w:after="40"/>
        <w:jc w:val="both"/>
        <w:rPr>
          <w:b/>
          <w:sz w:val="24"/>
          <w:szCs w:val="24"/>
        </w:rPr>
      </w:pPr>
    </w:p>
    <w:p w14:paraId="05EB55BA">
      <w:pPr>
        <w:spacing w:before="200" w:after="40"/>
        <w:jc w:val="both"/>
        <w:rPr>
          <w:b/>
          <w:sz w:val="24"/>
          <w:szCs w:val="24"/>
        </w:rPr>
      </w:pPr>
    </w:p>
    <w:p w14:paraId="6698BE7A">
      <w:pPr>
        <w:spacing w:before="200" w:after="40"/>
        <w:jc w:val="both"/>
        <w:rPr>
          <w:b/>
          <w:sz w:val="24"/>
          <w:szCs w:val="24"/>
        </w:rPr>
      </w:pPr>
    </w:p>
    <w:p w14:paraId="403D3D8A">
      <w:pPr>
        <w:spacing w:before="200" w:after="40"/>
        <w:jc w:val="both"/>
        <w:rPr>
          <w:sz w:val="24"/>
          <w:szCs w:val="24"/>
        </w:rPr>
      </w:pPr>
      <w:r>
        <w:rPr>
          <w:b/>
          <w:sz w:val="24"/>
          <w:szCs w:val="24"/>
        </w:rPr>
        <w:t>Table 2. Comprehensive Benchmark Comparison of AMORA Against Baselines across 20 Enterprise Queries.</w:t>
      </w:r>
    </w:p>
    <w:tbl>
      <w:tblPr>
        <w:tblStyle w:val="12"/>
        <w:tblW w:w="0" w:type="auto"/>
        <w:jc w:val="center"/>
        <w:tblLayout w:type="autofit"/>
        <w:tblCellMar>
          <w:top w:w="0" w:type="dxa"/>
          <w:left w:w="108" w:type="dxa"/>
          <w:bottom w:w="0" w:type="dxa"/>
          <w:right w:w="108" w:type="dxa"/>
        </w:tblCellMar>
      </w:tblPr>
      <w:tblGrid>
        <w:gridCol w:w="1581"/>
        <w:gridCol w:w="1360"/>
        <w:gridCol w:w="1313"/>
        <w:gridCol w:w="1457"/>
        <w:gridCol w:w="1313"/>
        <w:gridCol w:w="1313"/>
        <w:gridCol w:w="1484"/>
      </w:tblGrid>
      <w:tr w14:paraId="73C700B6">
        <w:tblPrEx>
          <w:tblCellMar>
            <w:top w:w="0" w:type="dxa"/>
            <w:left w:w="108" w:type="dxa"/>
            <w:bottom w:w="0" w:type="dxa"/>
            <w:right w:w="108" w:type="dxa"/>
          </w:tblCellMar>
        </w:tblPrEx>
        <w:trPr>
          <w:jc w:val="center"/>
        </w:trPr>
        <w:tc>
          <w:tcPr>
            <w:tcW w:w="1372" w:type="dxa"/>
            <w:tcBorders>
              <w:top w:val="single" w:color="000000" w:sz="6" w:space="0"/>
              <w:left w:val="nil"/>
              <w:bottom w:val="single" w:color="000000" w:sz="6" w:space="0"/>
              <w:right w:val="nil"/>
            </w:tcBorders>
            <w:shd w:val="clear" w:color="auto" w:fill="F2F2F2"/>
          </w:tcPr>
          <w:p w14:paraId="71B5FF2A">
            <w:pPr>
              <w:spacing w:before="40" w:after="40"/>
              <w:jc w:val="both"/>
              <w:rPr>
                <w:sz w:val="24"/>
                <w:szCs w:val="24"/>
              </w:rPr>
            </w:pPr>
            <w:r>
              <w:rPr>
                <w:rFonts w:ascii="Arial" w:hAnsi="Arial"/>
                <w:b/>
                <w:sz w:val="24"/>
                <w:szCs w:val="24"/>
              </w:rPr>
              <w:t>Metric</w:t>
            </w:r>
          </w:p>
        </w:tc>
        <w:tc>
          <w:tcPr>
            <w:tcW w:w="1372" w:type="dxa"/>
            <w:tcBorders>
              <w:top w:val="single" w:color="000000" w:sz="6" w:space="0"/>
              <w:left w:val="nil"/>
              <w:bottom w:val="single" w:color="000000" w:sz="6" w:space="0"/>
              <w:right w:val="nil"/>
            </w:tcBorders>
            <w:shd w:val="clear" w:color="auto" w:fill="F2F2F2"/>
          </w:tcPr>
          <w:p w14:paraId="3E502114">
            <w:pPr>
              <w:spacing w:before="40" w:after="40"/>
              <w:jc w:val="both"/>
              <w:rPr>
                <w:sz w:val="24"/>
                <w:szCs w:val="24"/>
              </w:rPr>
            </w:pPr>
            <w:r>
              <w:rPr>
                <w:rFonts w:ascii="Arial" w:hAnsi="Arial"/>
                <w:b/>
                <w:sz w:val="24"/>
                <w:szCs w:val="24"/>
              </w:rPr>
              <w:t>Baseline 1 (Standard RAG)</w:t>
            </w:r>
          </w:p>
        </w:tc>
        <w:tc>
          <w:tcPr>
            <w:tcW w:w="1372" w:type="dxa"/>
            <w:tcBorders>
              <w:top w:val="single" w:color="000000" w:sz="6" w:space="0"/>
              <w:left w:val="nil"/>
              <w:bottom w:val="single" w:color="000000" w:sz="6" w:space="0"/>
              <w:right w:val="nil"/>
            </w:tcBorders>
            <w:shd w:val="clear" w:color="auto" w:fill="F2F2F2"/>
          </w:tcPr>
          <w:p w14:paraId="17864271">
            <w:pPr>
              <w:spacing w:before="40" w:after="40"/>
              <w:jc w:val="both"/>
              <w:rPr>
                <w:sz w:val="24"/>
                <w:szCs w:val="24"/>
              </w:rPr>
            </w:pPr>
            <w:r>
              <w:rPr>
                <w:rFonts w:ascii="Arial" w:hAnsi="Arial"/>
                <w:b/>
                <w:sz w:val="24"/>
                <w:szCs w:val="24"/>
              </w:rPr>
              <w:t>Baseline 2 (FLARE)</w:t>
            </w:r>
          </w:p>
        </w:tc>
        <w:tc>
          <w:tcPr>
            <w:tcW w:w="1372" w:type="dxa"/>
            <w:tcBorders>
              <w:top w:val="single" w:color="000000" w:sz="6" w:space="0"/>
              <w:left w:val="nil"/>
              <w:bottom w:val="single" w:color="000000" w:sz="6" w:space="0"/>
              <w:right w:val="nil"/>
            </w:tcBorders>
            <w:shd w:val="clear" w:color="auto" w:fill="F2F2F2"/>
          </w:tcPr>
          <w:p w14:paraId="4AB6533B">
            <w:pPr>
              <w:spacing w:before="40" w:after="40"/>
              <w:jc w:val="both"/>
              <w:rPr>
                <w:sz w:val="24"/>
                <w:szCs w:val="24"/>
              </w:rPr>
            </w:pPr>
            <w:r>
              <w:rPr>
                <w:rFonts w:ascii="Arial" w:hAnsi="Arial"/>
                <w:b/>
                <w:sz w:val="24"/>
                <w:szCs w:val="24"/>
              </w:rPr>
              <w:t>Baseline 3 (Similarity)</w:t>
            </w:r>
          </w:p>
        </w:tc>
        <w:tc>
          <w:tcPr>
            <w:tcW w:w="1372" w:type="dxa"/>
            <w:tcBorders>
              <w:top w:val="single" w:color="000000" w:sz="6" w:space="0"/>
              <w:left w:val="nil"/>
              <w:bottom w:val="single" w:color="000000" w:sz="6" w:space="0"/>
              <w:right w:val="nil"/>
            </w:tcBorders>
            <w:shd w:val="clear" w:color="auto" w:fill="F2F2F2"/>
          </w:tcPr>
          <w:p w14:paraId="4D6AF58C">
            <w:pPr>
              <w:spacing w:before="40" w:after="40"/>
              <w:jc w:val="both"/>
              <w:rPr>
                <w:sz w:val="24"/>
                <w:szCs w:val="24"/>
              </w:rPr>
            </w:pPr>
            <w:r>
              <w:rPr>
                <w:rFonts w:ascii="Arial" w:hAnsi="Arial"/>
                <w:b/>
                <w:sz w:val="24"/>
                <w:szCs w:val="24"/>
              </w:rPr>
              <w:t>Baseline 4 (Self-RAG)</w:t>
            </w:r>
          </w:p>
        </w:tc>
        <w:tc>
          <w:tcPr>
            <w:tcW w:w="1372" w:type="dxa"/>
            <w:tcBorders>
              <w:top w:val="single" w:color="000000" w:sz="6" w:space="0"/>
              <w:left w:val="nil"/>
              <w:bottom w:val="single" w:color="000000" w:sz="6" w:space="0"/>
              <w:right w:val="nil"/>
            </w:tcBorders>
            <w:shd w:val="clear" w:color="auto" w:fill="F2F2F2"/>
          </w:tcPr>
          <w:p w14:paraId="751DB1C2">
            <w:pPr>
              <w:spacing w:before="40" w:after="40"/>
              <w:jc w:val="both"/>
              <w:rPr>
                <w:sz w:val="24"/>
                <w:szCs w:val="24"/>
              </w:rPr>
            </w:pPr>
            <w:r>
              <w:rPr>
                <w:rFonts w:ascii="Arial" w:hAnsi="Arial"/>
                <w:b/>
                <w:sz w:val="24"/>
                <w:szCs w:val="24"/>
              </w:rPr>
              <w:t>Baseline 5 (Static)</w:t>
            </w:r>
          </w:p>
        </w:tc>
        <w:tc>
          <w:tcPr>
            <w:tcW w:w="1372" w:type="dxa"/>
            <w:tcBorders>
              <w:top w:val="single" w:color="000000" w:sz="6" w:space="0"/>
              <w:left w:val="nil"/>
              <w:bottom w:val="single" w:color="000000" w:sz="6" w:space="0"/>
              <w:right w:val="nil"/>
            </w:tcBorders>
            <w:shd w:val="clear" w:color="auto" w:fill="F2F2F2"/>
          </w:tcPr>
          <w:p w14:paraId="10D238F0">
            <w:pPr>
              <w:spacing w:before="40" w:after="40"/>
              <w:jc w:val="both"/>
              <w:rPr>
                <w:sz w:val="24"/>
                <w:szCs w:val="24"/>
              </w:rPr>
            </w:pPr>
            <w:r>
              <w:rPr>
                <w:rFonts w:ascii="Arial" w:hAnsi="Arial"/>
                <w:b/>
                <w:sz w:val="24"/>
                <w:szCs w:val="24"/>
              </w:rPr>
              <w:t>AMO</w:t>
            </w:r>
            <w:r>
              <w:rPr>
                <w:rFonts w:hint="default"/>
                <w:b/>
                <w:sz w:val="24"/>
                <w:szCs w:val="24"/>
                <w:lang w:val="en-US"/>
              </w:rPr>
              <w:t>F</w:t>
            </w:r>
            <w:r>
              <w:rPr>
                <w:rFonts w:ascii="Arial" w:hAnsi="Arial"/>
                <w:b/>
                <w:sz w:val="24"/>
                <w:szCs w:val="24"/>
              </w:rPr>
              <w:t xml:space="preserve"> Full (Proposed)</w:t>
            </w:r>
          </w:p>
        </w:tc>
      </w:tr>
      <w:tr w14:paraId="10B04F54">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504F3E37">
            <w:pPr>
              <w:spacing w:before="40" w:after="40"/>
              <w:jc w:val="both"/>
              <w:rPr>
                <w:sz w:val="24"/>
                <w:szCs w:val="24"/>
              </w:rPr>
            </w:pPr>
            <w:r>
              <w:rPr>
                <w:rFonts w:ascii="Arial" w:hAnsi="Arial"/>
                <w:sz w:val="24"/>
                <w:szCs w:val="24"/>
              </w:rPr>
              <w:t>Retrieval Trigger Rate (%)</w:t>
            </w:r>
          </w:p>
        </w:tc>
        <w:tc>
          <w:tcPr>
            <w:tcW w:w="1372" w:type="dxa"/>
            <w:tcBorders>
              <w:top w:val="single" w:color="EEEEEE" w:sz="2" w:space="0"/>
              <w:left w:val="nil"/>
              <w:bottom w:val="single" w:color="EEEEEE" w:sz="2" w:space="0"/>
              <w:right w:val="nil"/>
            </w:tcBorders>
          </w:tcPr>
          <w:p w14:paraId="04530210">
            <w:pPr>
              <w:spacing w:before="40" w:after="40"/>
              <w:jc w:val="both"/>
              <w:rPr>
                <w:sz w:val="24"/>
                <w:szCs w:val="24"/>
              </w:rPr>
            </w:pPr>
            <w:r>
              <w:rPr>
                <w:rFonts w:ascii="Arial" w:hAnsi="Arial"/>
                <w:sz w:val="24"/>
                <w:szCs w:val="24"/>
              </w:rPr>
              <w:t>100.0%</w:t>
            </w:r>
          </w:p>
        </w:tc>
        <w:tc>
          <w:tcPr>
            <w:tcW w:w="1372" w:type="dxa"/>
            <w:tcBorders>
              <w:top w:val="single" w:color="EEEEEE" w:sz="2" w:space="0"/>
              <w:left w:val="nil"/>
              <w:bottom w:val="single" w:color="EEEEEE" w:sz="2" w:space="0"/>
              <w:right w:val="nil"/>
            </w:tcBorders>
          </w:tcPr>
          <w:p w14:paraId="32A1606D">
            <w:pPr>
              <w:spacing w:before="40" w:after="40"/>
              <w:jc w:val="both"/>
              <w:rPr>
                <w:sz w:val="24"/>
                <w:szCs w:val="24"/>
              </w:rPr>
            </w:pPr>
            <w:r>
              <w:rPr>
                <w:rFonts w:ascii="Arial" w:hAnsi="Arial"/>
                <w:sz w:val="24"/>
                <w:szCs w:val="24"/>
              </w:rPr>
              <w:t>85.0%</w:t>
            </w:r>
          </w:p>
        </w:tc>
        <w:tc>
          <w:tcPr>
            <w:tcW w:w="1372" w:type="dxa"/>
            <w:tcBorders>
              <w:top w:val="single" w:color="EEEEEE" w:sz="2" w:space="0"/>
              <w:left w:val="nil"/>
              <w:bottom w:val="single" w:color="EEEEEE" w:sz="2" w:space="0"/>
              <w:right w:val="nil"/>
            </w:tcBorders>
          </w:tcPr>
          <w:p w14:paraId="6FD3802C">
            <w:pPr>
              <w:spacing w:before="40" w:after="40"/>
              <w:jc w:val="both"/>
              <w:rPr>
                <w:sz w:val="24"/>
                <w:szCs w:val="24"/>
              </w:rPr>
            </w:pPr>
            <w:r>
              <w:rPr>
                <w:rFonts w:ascii="Arial" w:hAnsi="Arial"/>
                <w:sz w:val="24"/>
                <w:szCs w:val="24"/>
              </w:rPr>
              <w:t>100.0%</w:t>
            </w:r>
          </w:p>
        </w:tc>
        <w:tc>
          <w:tcPr>
            <w:tcW w:w="1372" w:type="dxa"/>
            <w:tcBorders>
              <w:top w:val="single" w:color="EEEEEE" w:sz="2" w:space="0"/>
              <w:left w:val="nil"/>
              <w:bottom w:val="single" w:color="EEEEEE" w:sz="2" w:space="0"/>
              <w:right w:val="nil"/>
            </w:tcBorders>
          </w:tcPr>
          <w:p w14:paraId="5A8A6865">
            <w:pPr>
              <w:spacing w:before="40" w:after="40"/>
              <w:jc w:val="both"/>
              <w:rPr>
                <w:sz w:val="24"/>
                <w:szCs w:val="24"/>
              </w:rPr>
            </w:pPr>
            <w:r>
              <w:rPr>
                <w:rFonts w:ascii="Arial" w:hAnsi="Arial"/>
                <w:sz w:val="24"/>
                <w:szCs w:val="24"/>
              </w:rPr>
              <w:t>75.0%</w:t>
            </w:r>
          </w:p>
        </w:tc>
        <w:tc>
          <w:tcPr>
            <w:tcW w:w="1372" w:type="dxa"/>
            <w:tcBorders>
              <w:top w:val="single" w:color="EEEEEE" w:sz="2" w:space="0"/>
              <w:left w:val="nil"/>
              <w:bottom w:val="single" w:color="EEEEEE" w:sz="2" w:space="0"/>
              <w:right w:val="nil"/>
            </w:tcBorders>
          </w:tcPr>
          <w:p w14:paraId="6ECAC63B">
            <w:pPr>
              <w:spacing w:before="40" w:after="40"/>
              <w:jc w:val="both"/>
              <w:rPr>
                <w:sz w:val="24"/>
                <w:szCs w:val="24"/>
              </w:rPr>
            </w:pPr>
            <w:r>
              <w:rPr>
                <w:rFonts w:ascii="Arial" w:hAnsi="Arial"/>
                <w:sz w:val="24"/>
                <w:szCs w:val="24"/>
              </w:rPr>
              <w:t>100.0%</w:t>
            </w:r>
          </w:p>
        </w:tc>
        <w:tc>
          <w:tcPr>
            <w:tcW w:w="1372" w:type="dxa"/>
            <w:tcBorders>
              <w:top w:val="single" w:color="EEEEEE" w:sz="2" w:space="0"/>
              <w:left w:val="nil"/>
              <w:bottom w:val="single" w:color="EEEEEE" w:sz="2" w:space="0"/>
              <w:right w:val="nil"/>
            </w:tcBorders>
            <w:shd w:val="clear" w:color="auto" w:fill="EBF3F9"/>
          </w:tcPr>
          <w:p w14:paraId="1480E199">
            <w:pPr>
              <w:spacing w:before="40" w:after="40"/>
              <w:jc w:val="both"/>
              <w:rPr>
                <w:sz w:val="24"/>
                <w:szCs w:val="24"/>
              </w:rPr>
            </w:pPr>
            <w:r>
              <w:rPr>
                <w:rFonts w:ascii="Arial" w:hAnsi="Arial"/>
                <w:b/>
                <w:sz w:val="24"/>
                <w:szCs w:val="24"/>
              </w:rPr>
              <w:t>65.0%</w:t>
            </w:r>
          </w:p>
        </w:tc>
      </w:tr>
      <w:tr w14:paraId="2C4255DD">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48B16A3D">
            <w:pPr>
              <w:spacing w:before="40" w:after="40"/>
              <w:jc w:val="both"/>
              <w:rPr>
                <w:sz w:val="24"/>
                <w:szCs w:val="24"/>
              </w:rPr>
            </w:pPr>
            <w:r>
              <w:rPr>
                <w:rFonts w:ascii="Arial" w:hAnsi="Arial"/>
                <w:sz w:val="24"/>
                <w:szCs w:val="24"/>
              </w:rPr>
              <w:t>Gating Bypass Rate (%)</w:t>
            </w:r>
          </w:p>
        </w:tc>
        <w:tc>
          <w:tcPr>
            <w:tcW w:w="1372" w:type="dxa"/>
            <w:tcBorders>
              <w:top w:val="single" w:color="EEEEEE" w:sz="2" w:space="0"/>
              <w:left w:val="nil"/>
              <w:bottom w:val="single" w:color="EEEEEE" w:sz="2" w:space="0"/>
              <w:right w:val="nil"/>
            </w:tcBorders>
          </w:tcPr>
          <w:p w14:paraId="49A2E5A7">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59A4DA21">
            <w:pPr>
              <w:spacing w:before="40" w:after="40"/>
              <w:jc w:val="both"/>
              <w:rPr>
                <w:sz w:val="24"/>
                <w:szCs w:val="24"/>
              </w:rPr>
            </w:pPr>
            <w:r>
              <w:rPr>
                <w:rFonts w:ascii="Arial" w:hAnsi="Arial"/>
                <w:sz w:val="24"/>
                <w:szCs w:val="24"/>
              </w:rPr>
              <w:t>15.0%</w:t>
            </w:r>
          </w:p>
        </w:tc>
        <w:tc>
          <w:tcPr>
            <w:tcW w:w="1372" w:type="dxa"/>
            <w:tcBorders>
              <w:top w:val="single" w:color="EEEEEE" w:sz="2" w:space="0"/>
              <w:left w:val="nil"/>
              <w:bottom w:val="single" w:color="EEEEEE" w:sz="2" w:space="0"/>
              <w:right w:val="nil"/>
            </w:tcBorders>
          </w:tcPr>
          <w:p w14:paraId="118A827B">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48EE6B10">
            <w:pPr>
              <w:spacing w:before="40" w:after="40"/>
              <w:jc w:val="both"/>
              <w:rPr>
                <w:sz w:val="24"/>
                <w:szCs w:val="24"/>
              </w:rPr>
            </w:pPr>
            <w:r>
              <w:rPr>
                <w:rFonts w:ascii="Arial" w:hAnsi="Arial"/>
                <w:sz w:val="24"/>
                <w:szCs w:val="24"/>
              </w:rPr>
              <w:t>25.0%</w:t>
            </w:r>
          </w:p>
        </w:tc>
        <w:tc>
          <w:tcPr>
            <w:tcW w:w="1372" w:type="dxa"/>
            <w:tcBorders>
              <w:top w:val="single" w:color="EEEEEE" w:sz="2" w:space="0"/>
              <w:left w:val="nil"/>
              <w:bottom w:val="single" w:color="EEEEEE" w:sz="2" w:space="0"/>
              <w:right w:val="nil"/>
            </w:tcBorders>
          </w:tcPr>
          <w:p w14:paraId="6A7168FD">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shd w:val="clear" w:color="auto" w:fill="EBF3F9"/>
          </w:tcPr>
          <w:p w14:paraId="71FA45D8">
            <w:pPr>
              <w:spacing w:before="40" w:after="40"/>
              <w:jc w:val="both"/>
              <w:rPr>
                <w:sz w:val="24"/>
                <w:szCs w:val="24"/>
              </w:rPr>
            </w:pPr>
            <w:r>
              <w:rPr>
                <w:rFonts w:ascii="Arial" w:hAnsi="Arial"/>
                <w:b/>
                <w:sz w:val="24"/>
                <w:szCs w:val="24"/>
              </w:rPr>
              <w:t>35.0%</w:t>
            </w:r>
          </w:p>
        </w:tc>
      </w:tr>
      <w:tr w14:paraId="15A9ADAF">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0835D8C2">
            <w:pPr>
              <w:spacing w:before="40" w:after="40"/>
              <w:jc w:val="both"/>
              <w:rPr>
                <w:sz w:val="24"/>
                <w:szCs w:val="24"/>
              </w:rPr>
            </w:pPr>
            <w:r>
              <w:rPr>
                <w:rFonts w:ascii="Arial" w:hAnsi="Arial"/>
                <w:sz w:val="24"/>
                <w:szCs w:val="24"/>
              </w:rPr>
              <w:t>Routing Precision@5</w:t>
            </w:r>
          </w:p>
        </w:tc>
        <w:tc>
          <w:tcPr>
            <w:tcW w:w="1372" w:type="dxa"/>
            <w:tcBorders>
              <w:top w:val="single" w:color="EEEEEE" w:sz="2" w:space="0"/>
              <w:left w:val="nil"/>
              <w:bottom w:val="single" w:color="EEEEEE" w:sz="2" w:space="0"/>
              <w:right w:val="nil"/>
            </w:tcBorders>
          </w:tcPr>
          <w:p w14:paraId="58E2D892">
            <w:pPr>
              <w:spacing w:before="40" w:after="40"/>
              <w:jc w:val="both"/>
              <w:rPr>
                <w:sz w:val="24"/>
                <w:szCs w:val="24"/>
              </w:rPr>
            </w:pPr>
            <w:r>
              <w:rPr>
                <w:rFonts w:ascii="Arial" w:hAnsi="Arial"/>
                <w:sz w:val="24"/>
                <w:szCs w:val="24"/>
              </w:rPr>
              <w:t>0.125</w:t>
            </w:r>
          </w:p>
        </w:tc>
        <w:tc>
          <w:tcPr>
            <w:tcW w:w="1372" w:type="dxa"/>
            <w:tcBorders>
              <w:top w:val="single" w:color="EEEEEE" w:sz="2" w:space="0"/>
              <w:left w:val="nil"/>
              <w:bottom w:val="single" w:color="EEEEEE" w:sz="2" w:space="0"/>
              <w:right w:val="nil"/>
            </w:tcBorders>
          </w:tcPr>
          <w:p w14:paraId="593868CF">
            <w:pPr>
              <w:spacing w:before="40" w:after="40"/>
              <w:jc w:val="both"/>
              <w:rPr>
                <w:sz w:val="24"/>
                <w:szCs w:val="24"/>
              </w:rPr>
            </w:pPr>
            <w:r>
              <w:rPr>
                <w:rFonts w:ascii="Arial" w:hAnsi="Arial"/>
                <w:sz w:val="24"/>
                <w:szCs w:val="24"/>
              </w:rPr>
              <w:t>0.135</w:t>
            </w:r>
          </w:p>
        </w:tc>
        <w:tc>
          <w:tcPr>
            <w:tcW w:w="1372" w:type="dxa"/>
            <w:tcBorders>
              <w:top w:val="single" w:color="EEEEEE" w:sz="2" w:space="0"/>
              <w:left w:val="nil"/>
              <w:bottom w:val="single" w:color="EEEEEE" w:sz="2" w:space="0"/>
              <w:right w:val="nil"/>
            </w:tcBorders>
          </w:tcPr>
          <w:p w14:paraId="48114794">
            <w:pPr>
              <w:spacing w:before="40" w:after="40"/>
              <w:jc w:val="both"/>
              <w:rPr>
                <w:sz w:val="24"/>
                <w:szCs w:val="24"/>
              </w:rPr>
            </w:pPr>
            <w:r>
              <w:rPr>
                <w:rFonts w:ascii="Arial" w:hAnsi="Arial"/>
                <w:sz w:val="24"/>
                <w:szCs w:val="24"/>
              </w:rPr>
              <w:t>0.150</w:t>
            </w:r>
          </w:p>
        </w:tc>
        <w:tc>
          <w:tcPr>
            <w:tcW w:w="1372" w:type="dxa"/>
            <w:tcBorders>
              <w:top w:val="single" w:color="EEEEEE" w:sz="2" w:space="0"/>
              <w:left w:val="nil"/>
              <w:bottom w:val="single" w:color="EEEEEE" w:sz="2" w:space="0"/>
              <w:right w:val="nil"/>
            </w:tcBorders>
          </w:tcPr>
          <w:p w14:paraId="60115A10">
            <w:pPr>
              <w:spacing w:before="40" w:after="40"/>
              <w:jc w:val="both"/>
              <w:rPr>
                <w:sz w:val="24"/>
                <w:szCs w:val="24"/>
              </w:rPr>
            </w:pPr>
            <w:r>
              <w:rPr>
                <w:rFonts w:ascii="Arial" w:hAnsi="Arial"/>
                <w:sz w:val="24"/>
                <w:szCs w:val="24"/>
              </w:rPr>
              <w:t>0.140</w:t>
            </w:r>
          </w:p>
        </w:tc>
        <w:tc>
          <w:tcPr>
            <w:tcW w:w="1372" w:type="dxa"/>
            <w:tcBorders>
              <w:top w:val="single" w:color="EEEEEE" w:sz="2" w:space="0"/>
              <w:left w:val="nil"/>
              <w:bottom w:val="single" w:color="EEEEEE" w:sz="2" w:space="0"/>
              <w:right w:val="nil"/>
            </w:tcBorders>
          </w:tcPr>
          <w:p w14:paraId="65A46439">
            <w:pPr>
              <w:spacing w:before="40" w:after="40"/>
              <w:jc w:val="both"/>
              <w:rPr>
                <w:sz w:val="24"/>
                <w:szCs w:val="24"/>
              </w:rPr>
            </w:pPr>
            <w:r>
              <w:rPr>
                <w:rFonts w:ascii="Arial" w:hAnsi="Arial"/>
                <w:sz w:val="24"/>
                <w:szCs w:val="24"/>
              </w:rPr>
              <w:t>0.150</w:t>
            </w:r>
          </w:p>
        </w:tc>
        <w:tc>
          <w:tcPr>
            <w:tcW w:w="1372" w:type="dxa"/>
            <w:tcBorders>
              <w:top w:val="single" w:color="EEEEEE" w:sz="2" w:space="0"/>
              <w:left w:val="nil"/>
              <w:bottom w:val="single" w:color="EEEEEE" w:sz="2" w:space="0"/>
              <w:right w:val="nil"/>
            </w:tcBorders>
            <w:shd w:val="clear" w:color="auto" w:fill="EBF3F9"/>
          </w:tcPr>
          <w:p w14:paraId="7EC0A52B">
            <w:pPr>
              <w:spacing w:before="40" w:after="40"/>
              <w:jc w:val="both"/>
              <w:rPr>
                <w:sz w:val="24"/>
                <w:szCs w:val="24"/>
              </w:rPr>
            </w:pPr>
            <w:r>
              <w:rPr>
                <w:rFonts w:ascii="Arial" w:hAnsi="Arial"/>
                <w:b/>
                <w:sz w:val="24"/>
                <w:szCs w:val="24"/>
              </w:rPr>
              <w:t>0.150</w:t>
            </w:r>
          </w:p>
        </w:tc>
      </w:tr>
      <w:tr w14:paraId="1E492CC7">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5B4B4822">
            <w:pPr>
              <w:spacing w:before="40" w:after="40"/>
              <w:jc w:val="both"/>
              <w:rPr>
                <w:sz w:val="24"/>
                <w:szCs w:val="24"/>
              </w:rPr>
            </w:pPr>
            <w:r>
              <w:rPr>
                <w:rFonts w:ascii="Arial" w:hAnsi="Arial"/>
                <w:sz w:val="24"/>
                <w:szCs w:val="24"/>
              </w:rPr>
              <w:t>Routing Recall@5</w:t>
            </w:r>
          </w:p>
        </w:tc>
        <w:tc>
          <w:tcPr>
            <w:tcW w:w="1372" w:type="dxa"/>
            <w:tcBorders>
              <w:top w:val="single" w:color="EEEEEE" w:sz="2" w:space="0"/>
              <w:left w:val="nil"/>
              <w:bottom w:val="single" w:color="EEEEEE" w:sz="2" w:space="0"/>
              <w:right w:val="nil"/>
            </w:tcBorders>
          </w:tcPr>
          <w:p w14:paraId="1AAF4026">
            <w:pPr>
              <w:spacing w:before="40" w:after="40"/>
              <w:jc w:val="both"/>
              <w:rPr>
                <w:sz w:val="24"/>
                <w:szCs w:val="24"/>
              </w:rPr>
            </w:pPr>
            <w:r>
              <w:rPr>
                <w:rFonts w:ascii="Arial" w:hAnsi="Arial"/>
                <w:sz w:val="24"/>
                <w:szCs w:val="24"/>
              </w:rPr>
              <w:t>0.625</w:t>
            </w:r>
          </w:p>
        </w:tc>
        <w:tc>
          <w:tcPr>
            <w:tcW w:w="1372" w:type="dxa"/>
            <w:tcBorders>
              <w:top w:val="single" w:color="EEEEEE" w:sz="2" w:space="0"/>
              <w:left w:val="nil"/>
              <w:bottom w:val="single" w:color="EEEEEE" w:sz="2" w:space="0"/>
              <w:right w:val="nil"/>
            </w:tcBorders>
          </w:tcPr>
          <w:p w14:paraId="270C93E8">
            <w:pPr>
              <w:spacing w:before="40" w:after="40"/>
              <w:jc w:val="both"/>
              <w:rPr>
                <w:sz w:val="24"/>
                <w:szCs w:val="24"/>
              </w:rPr>
            </w:pPr>
            <w:r>
              <w:rPr>
                <w:rFonts w:ascii="Arial" w:hAnsi="Arial"/>
                <w:sz w:val="24"/>
                <w:szCs w:val="24"/>
              </w:rPr>
              <w:t>0.700</w:t>
            </w:r>
          </w:p>
        </w:tc>
        <w:tc>
          <w:tcPr>
            <w:tcW w:w="1372" w:type="dxa"/>
            <w:tcBorders>
              <w:top w:val="single" w:color="EEEEEE" w:sz="2" w:space="0"/>
              <w:left w:val="nil"/>
              <w:bottom w:val="single" w:color="EEEEEE" w:sz="2" w:space="0"/>
              <w:right w:val="nil"/>
            </w:tcBorders>
          </w:tcPr>
          <w:p w14:paraId="46B29F36">
            <w:pPr>
              <w:spacing w:before="40" w:after="40"/>
              <w:jc w:val="both"/>
              <w:rPr>
                <w:sz w:val="24"/>
                <w:szCs w:val="24"/>
              </w:rPr>
            </w:pPr>
            <w:r>
              <w:rPr>
                <w:rFonts w:ascii="Arial" w:hAnsi="Arial"/>
                <w:sz w:val="24"/>
                <w:szCs w:val="24"/>
              </w:rPr>
              <w:t>1.000</w:t>
            </w:r>
          </w:p>
        </w:tc>
        <w:tc>
          <w:tcPr>
            <w:tcW w:w="1372" w:type="dxa"/>
            <w:tcBorders>
              <w:top w:val="single" w:color="EEEEEE" w:sz="2" w:space="0"/>
              <w:left w:val="nil"/>
              <w:bottom w:val="single" w:color="EEEEEE" w:sz="2" w:space="0"/>
              <w:right w:val="nil"/>
            </w:tcBorders>
          </w:tcPr>
          <w:p w14:paraId="6F1EFF02">
            <w:pPr>
              <w:spacing w:before="40" w:after="40"/>
              <w:jc w:val="both"/>
              <w:rPr>
                <w:sz w:val="24"/>
                <w:szCs w:val="24"/>
              </w:rPr>
            </w:pPr>
            <w:r>
              <w:rPr>
                <w:rFonts w:ascii="Arial" w:hAnsi="Arial"/>
                <w:sz w:val="24"/>
                <w:szCs w:val="24"/>
              </w:rPr>
              <w:t>0.750</w:t>
            </w:r>
          </w:p>
        </w:tc>
        <w:tc>
          <w:tcPr>
            <w:tcW w:w="1372" w:type="dxa"/>
            <w:tcBorders>
              <w:top w:val="single" w:color="EEEEEE" w:sz="2" w:space="0"/>
              <w:left w:val="nil"/>
              <w:bottom w:val="single" w:color="EEEEEE" w:sz="2" w:space="0"/>
              <w:right w:val="nil"/>
            </w:tcBorders>
          </w:tcPr>
          <w:p w14:paraId="202E4A63">
            <w:pPr>
              <w:spacing w:before="40" w:after="40"/>
              <w:jc w:val="both"/>
              <w:rPr>
                <w:sz w:val="24"/>
                <w:szCs w:val="24"/>
              </w:rPr>
            </w:pPr>
            <w:r>
              <w:rPr>
                <w:rFonts w:ascii="Arial" w:hAnsi="Arial"/>
                <w:sz w:val="24"/>
                <w:szCs w:val="24"/>
              </w:rPr>
              <w:t>0.850</w:t>
            </w:r>
          </w:p>
        </w:tc>
        <w:tc>
          <w:tcPr>
            <w:tcW w:w="1372" w:type="dxa"/>
            <w:tcBorders>
              <w:top w:val="single" w:color="EEEEEE" w:sz="2" w:space="0"/>
              <w:left w:val="nil"/>
              <w:bottom w:val="single" w:color="EEEEEE" w:sz="2" w:space="0"/>
              <w:right w:val="nil"/>
            </w:tcBorders>
            <w:shd w:val="clear" w:color="auto" w:fill="EBF3F9"/>
          </w:tcPr>
          <w:p w14:paraId="5837F37A">
            <w:pPr>
              <w:spacing w:before="40" w:after="40"/>
              <w:jc w:val="both"/>
              <w:rPr>
                <w:sz w:val="24"/>
                <w:szCs w:val="24"/>
              </w:rPr>
            </w:pPr>
            <w:r>
              <w:rPr>
                <w:rFonts w:ascii="Arial" w:hAnsi="Arial"/>
                <w:b/>
                <w:sz w:val="24"/>
                <w:szCs w:val="24"/>
              </w:rPr>
              <w:t>0.850</w:t>
            </w:r>
          </w:p>
        </w:tc>
      </w:tr>
      <w:tr w14:paraId="7757F92C">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1A51CF19">
            <w:pPr>
              <w:spacing w:before="40" w:after="40"/>
              <w:jc w:val="both"/>
              <w:rPr>
                <w:sz w:val="24"/>
                <w:szCs w:val="24"/>
              </w:rPr>
            </w:pPr>
            <w:r>
              <w:rPr>
                <w:rFonts w:ascii="Arial" w:hAnsi="Arial"/>
                <w:sz w:val="24"/>
                <w:szCs w:val="24"/>
              </w:rPr>
              <w:t>Mean Context Tokens</w:t>
            </w:r>
          </w:p>
        </w:tc>
        <w:tc>
          <w:tcPr>
            <w:tcW w:w="1372" w:type="dxa"/>
            <w:tcBorders>
              <w:top w:val="single" w:color="EEEEEE" w:sz="2" w:space="0"/>
              <w:left w:val="nil"/>
              <w:bottom w:val="single" w:color="EEEEEE" w:sz="2" w:space="0"/>
              <w:right w:val="nil"/>
            </w:tcBorders>
          </w:tcPr>
          <w:p w14:paraId="7A20D164">
            <w:pPr>
              <w:spacing w:before="40" w:after="40"/>
              <w:jc w:val="both"/>
              <w:rPr>
                <w:sz w:val="24"/>
                <w:szCs w:val="24"/>
              </w:rPr>
            </w:pPr>
            <w:r>
              <w:rPr>
                <w:rFonts w:ascii="Arial" w:hAnsi="Arial"/>
                <w:sz w:val="24"/>
                <w:szCs w:val="24"/>
              </w:rPr>
              <w:t>509.5</w:t>
            </w:r>
          </w:p>
        </w:tc>
        <w:tc>
          <w:tcPr>
            <w:tcW w:w="1372" w:type="dxa"/>
            <w:tcBorders>
              <w:top w:val="single" w:color="EEEEEE" w:sz="2" w:space="0"/>
              <w:left w:val="nil"/>
              <w:bottom w:val="single" w:color="EEEEEE" w:sz="2" w:space="0"/>
              <w:right w:val="nil"/>
            </w:tcBorders>
          </w:tcPr>
          <w:p w14:paraId="1675F81F">
            <w:pPr>
              <w:spacing w:before="40" w:after="40"/>
              <w:jc w:val="both"/>
              <w:rPr>
                <w:sz w:val="24"/>
                <w:szCs w:val="24"/>
              </w:rPr>
            </w:pPr>
            <w:r>
              <w:rPr>
                <w:rFonts w:ascii="Arial" w:hAnsi="Arial"/>
                <w:sz w:val="24"/>
                <w:szCs w:val="24"/>
              </w:rPr>
              <w:t>645.0</w:t>
            </w:r>
          </w:p>
        </w:tc>
        <w:tc>
          <w:tcPr>
            <w:tcW w:w="1372" w:type="dxa"/>
            <w:tcBorders>
              <w:top w:val="single" w:color="EEEEEE" w:sz="2" w:space="0"/>
              <w:left w:val="nil"/>
              <w:bottom w:val="single" w:color="EEEEEE" w:sz="2" w:space="0"/>
              <w:right w:val="nil"/>
            </w:tcBorders>
          </w:tcPr>
          <w:p w14:paraId="3EE2616C">
            <w:pPr>
              <w:spacing w:before="40" w:after="40"/>
              <w:jc w:val="both"/>
              <w:rPr>
                <w:sz w:val="24"/>
                <w:szCs w:val="24"/>
              </w:rPr>
            </w:pPr>
            <w:r>
              <w:rPr>
                <w:rFonts w:ascii="Arial" w:hAnsi="Arial"/>
                <w:sz w:val="24"/>
                <w:szCs w:val="24"/>
              </w:rPr>
              <w:t>1073.2</w:t>
            </w:r>
          </w:p>
        </w:tc>
        <w:tc>
          <w:tcPr>
            <w:tcW w:w="1372" w:type="dxa"/>
            <w:tcBorders>
              <w:top w:val="single" w:color="EEEEEE" w:sz="2" w:space="0"/>
              <w:left w:val="nil"/>
              <w:bottom w:val="single" w:color="EEEEEE" w:sz="2" w:space="0"/>
              <w:right w:val="nil"/>
            </w:tcBorders>
          </w:tcPr>
          <w:p w14:paraId="2F5EFAC2">
            <w:pPr>
              <w:spacing w:before="40" w:after="40"/>
              <w:jc w:val="both"/>
              <w:rPr>
                <w:sz w:val="24"/>
                <w:szCs w:val="24"/>
              </w:rPr>
            </w:pPr>
            <w:r>
              <w:rPr>
                <w:rFonts w:ascii="Arial" w:hAnsi="Arial"/>
                <w:sz w:val="24"/>
                <w:szCs w:val="24"/>
              </w:rPr>
              <w:t>612.0</w:t>
            </w:r>
          </w:p>
        </w:tc>
        <w:tc>
          <w:tcPr>
            <w:tcW w:w="1372" w:type="dxa"/>
            <w:tcBorders>
              <w:top w:val="single" w:color="EEEEEE" w:sz="2" w:space="0"/>
              <w:left w:val="nil"/>
              <w:bottom w:val="single" w:color="EEEEEE" w:sz="2" w:space="0"/>
              <w:right w:val="nil"/>
            </w:tcBorders>
          </w:tcPr>
          <w:p w14:paraId="6F322AFB">
            <w:pPr>
              <w:spacing w:before="40" w:after="40"/>
              <w:jc w:val="both"/>
              <w:rPr>
                <w:sz w:val="24"/>
                <w:szCs w:val="24"/>
              </w:rPr>
            </w:pPr>
            <w:r>
              <w:rPr>
                <w:rFonts w:ascii="Arial" w:hAnsi="Arial"/>
                <w:sz w:val="24"/>
                <w:szCs w:val="24"/>
              </w:rPr>
              <w:t>1073.2</w:t>
            </w:r>
          </w:p>
        </w:tc>
        <w:tc>
          <w:tcPr>
            <w:tcW w:w="1372" w:type="dxa"/>
            <w:tcBorders>
              <w:top w:val="single" w:color="EEEEEE" w:sz="2" w:space="0"/>
              <w:left w:val="nil"/>
              <w:bottom w:val="single" w:color="EEEEEE" w:sz="2" w:space="0"/>
              <w:right w:val="nil"/>
            </w:tcBorders>
            <w:shd w:val="clear" w:color="auto" w:fill="EBF3F9"/>
          </w:tcPr>
          <w:p w14:paraId="3CEB4357">
            <w:pPr>
              <w:spacing w:before="40" w:after="40"/>
              <w:jc w:val="both"/>
              <w:rPr>
                <w:sz w:val="24"/>
                <w:szCs w:val="24"/>
              </w:rPr>
            </w:pPr>
            <w:r>
              <w:rPr>
                <w:rFonts w:ascii="Arial" w:hAnsi="Arial"/>
                <w:b/>
                <w:sz w:val="24"/>
                <w:szCs w:val="24"/>
              </w:rPr>
              <w:t>786.4</w:t>
            </w:r>
          </w:p>
        </w:tc>
      </w:tr>
      <w:tr w14:paraId="5343B1EF">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114D00E7">
            <w:pPr>
              <w:spacing w:before="40" w:after="40"/>
              <w:jc w:val="both"/>
              <w:rPr>
                <w:sz w:val="24"/>
                <w:szCs w:val="24"/>
              </w:rPr>
            </w:pPr>
            <w:r>
              <w:rPr>
                <w:rFonts w:ascii="Arial" w:hAnsi="Arial"/>
                <w:sz w:val="24"/>
                <w:szCs w:val="24"/>
              </w:rPr>
              <w:t>Token Compaction Ratio (%)</w:t>
            </w:r>
          </w:p>
        </w:tc>
        <w:tc>
          <w:tcPr>
            <w:tcW w:w="1372" w:type="dxa"/>
            <w:tcBorders>
              <w:top w:val="single" w:color="EEEEEE" w:sz="2" w:space="0"/>
              <w:left w:val="nil"/>
              <w:bottom w:val="single" w:color="EEEEEE" w:sz="2" w:space="0"/>
              <w:right w:val="nil"/>
            </w:tcBorders>
          </w:tcPr>
          <w:p w14:paraId="72F7A821">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56CF4859">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008309FB">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7BF92089">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24337620">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shd w:val="clear" w:color="auto" w:fill="EBF3F9"/>
          </w:tcPr>
          <w:p w14:paraId="5C8BB21C">
            <w:pPr>
              <w:spacing w:before="40" w:after="40"/>
              <w:jc w:val="both"/>
              <w:rPr>
                <w:sz w:val="24"/>
                <w:szCs w:val="24"/>
              </w:rPr>
            </w:pPr>
            <w:r>
              <w:rPr>
                <w:rFonts w:ascii="Arial" w:hAnsi="Arial"/>
                <w:b/>
                <w:sz w:val="24"/>
                <w:szCs w:val="24"/>
              </w:rPr>
              <w:t>26.7%</w:t>
            </w:r>
          </w:p>
        </w:tc>
      </w:tr>
      <w:tr w14:paraId="0FBDEAF0">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5934CAFD">
            <w:pPr>
              <w:spacing w:before="40" w:after="40"/>
              <w:jc w:val="both"/>
              <w:rPr>
                <w:sz w:val="24"/>
                <w:szCs w:val="24"/>
              </w:rPr>
            </w:pPr>
            <w:r>
              <w:rPr>
                <w:rFonts w:ascii="Arial" w:hAnsi="Arial"/>
                <w:sz w:val="24"/>
                <w:szCs w:val="24"/>
              </w:rPr>
              <w:t>Average Query Latency (ms)</w:t>
            </w:r>
          </w:p>
        </w:tc>
        <w:tc>
          <w:tcPr>
            <w:tcW w:w="1372" w:type="dxa"/>
            <w:tcBorders>
              <w:top w:val="single" w:color="EEEEEE" w:sz="2" w:space="0"/>
              <w:left w:val="nil"/>
              <w:bottom w:val="single" w:color="EEEEEE" w:sz="2" w:space="0"/>
              <w:right w:val="nil"/>
            </w:tcBorders>
          </w:tcPr>
          <w:p w14:paraId="1F293BC4">
            <w:pPr>
              <w:spacing w:before="40" w:after="40"/>
              <w:jc w:val="both"/>
              <w:rPr>
                <w:sz w:val="24"/>
                <w:szCs w:val="24"/>
              </w:rPr>
            </w:pPr>
            <w:r>
              <w:rPr>
                <w:rFonts w:ascii="Arial" w:hAnsi="Arial"/>
                <w:sz w:val="24"/>
                <w:szCs w:val="24"/>
              </w:rPr>
              <w:t>1245.8</w:t>
            </w:r>
          </w:p>
        </w:tc>
        <w:tc>
          <w:tcPr>
            <w:tcW w:w="1372" w:type="dxa"/>
            <w:tcBorders>
              <w:top w:val="single" w:color="EEEEEE" w:sz="2" w:space="0"/>
              <w:left w:val="nil"/>
              <w:bottom w:val="single" w:color="EEEEEE" w:sz="2" w:space="0"/>
              <w:right w:val="nil"/>
            </w:tcBorders>
          </w:tcPr>
          <w:p w14:paraId="4C4EC660">
            <w:pPr>
              <w:spacing w:before="40" w:after="40"/>
              <w:jc w:val="both"/>
              <w:rPr>
                <w:sz w:val="24"/>
                <w:szCs w:val="24"/>
              </w:rPr>
            </w:pPr>
            <w:r>
              <w:rPr>
                <w:rFonts w:ascii="Arial" w:hAnsi="Arial"/>
                <w:sz w:val="24"/>
                <w:szCs w:val="24"/>
              </w:rPr>
              <w:t>2150.4</w:t>
            </w:r>
          </w:p>
        </w:tc>
        <w:tc>
          <w:tcPr>
            <w:tcW w:w="1372" w:type="dxa"/>
            <w:tcBorders>
              <w:top w:val="single" w:color="EEEEEE" w:sz="2" w:space="0"/>
              <w:left w:val="nil"/>
              <w:bottom w:val="single" w:color="EEEEEE" w:sz="2" w:space="0"/>
              <w:right w:val="nil"/>
            </w:tcBorders>
          </w:tcPr>
          <w:p w14:paraId="061F8FDF">
            <w:pPr>
              <w:spacing w:before="40" w:after="40"/>
              <w:jc w:val="both"/>
              <w:rPr>
                <w:sz w:val="24"/>
                <w:szCs w:val="24"/>
              </w:rPr>
            </w:pPr>
            <w:r>
              <w:rPr>
                <w:rFonts w:ascii="Arial" w:hAnsi="Arial"/>
                <w:sz w:val="24"/>
                <w:szCs w:val="24"/>
              </w:rPr>
              <w:t>1645.2</w:t>
            </w:r>
          </w:p>
        </w:tc>
        <w:tc>
          <w:tcPr>
            <w:tcW w:w="1372" w:type="dxa"/>
            <w:tcBorders>
              <w:top w:val="single" w:color="EEEEEE" w:sz="2" w:space="0"/>
              <w:left w:val="nil"/>
              <w:bottom w:val="single" w:color="EEEEEE" w:sz="2" w:space="0"/>
              <w:right w:val="nil"/>
            </w:tcBorders>
          </w:tcPr>
          <w:p w14:paraId="0281CD3C">
            <w:pPr>
              <w:spacing w:before="40" w:after="40"/>
              <w:jc w:val="both"/>
              <w:rPr>
                <w:sz w:val="24"/>
                <w:szCs w:val="24"/>
              </w:rPr>
            </w:pPr>
            <w:r>
              <w:rPr>
                <w:rFonts w:ascii="Arial" w:hAnsi="Arial"/>
                <w:sz w:val="24"/>
                <w:szCs w:val="24"/>
              </w:rPr>
              <w:t>1980.6</w:t>
            </w:r>
          </w:p>
        </w:tc>
        <w:tc>
          <w:tcPr>
            <w:tcW w:w="1372" w:type="dxa"/>
            <w:tcBorders>
              <w:top w:val="single" w:color="EEEEEE" w:sz="2" w:space="0"/>
              <w:left w:val="nil"/>
              <w:bottom w:val="single" w:color="EEEEEE" w:sz="2" w:space="0"/>
              <w:right w:val="nil"/>
            </w:tcBorders>
          </w:tcPr>
          <w:p w14:paraId="0C3798DC">
            <w:pPr>
              <w:spacing w:before="40" w:after="40"/>
              <w:jc w:val="both"/>
              <w:rPr>
                <w:sz w:val="24"/>
                <w:szCs w:val="24"/>
              </w:rPr>
            </w:pPr>
            <w:r>
              <w:rPr>
                <w:rFonts w:ascii="Arial" w:hAnsi="Arial"/>
                <w:sz w:val="24"/>
                <w:szCs w:val="24"/>
              </w:rPr>
              <w:t>1645.7</w:t>
            </w:r>
          </w:p>
        </w:tc>
        <w:tc>
          <w:tcPr>
            <w:tcW w:w="1372" w:type="dxa"/>
            <w:tcBorders>
              <w:top w:val="single" w:color="EEEEEE" w:sz="2" w:space="0"/>
              <w:left w:val="nil"/>
              <w:bottom w:val="single" w:color="EEEEEE" w:sz="2" w:space="0"/>
              <w:right w:val="nil"/>
            </w:tcBorders>
            <w:shd w:val="clear" w:color="auto" w:fill="EBF3F9"/>
          </w:tcPr>
          <w:p w14:paraId="04E546E1">
            <w:pPr>
              <w:spacing w:before="40" w:after="40"/>
              <w:jc w:val="both"/>
              <w:rPr>
                <w:sz w:val="24"/>
                <w:szCs w:val="24"/>
              </w:rPr>
            </w:pPr>
            <w:r>
              <w:rPr>
                <w:rFonts w:ascii="Arial" w:hAnsi="Arial"/>
                <w:b/>
                <w:sz w:val="24"/>
                <w:szCs w:val="24"/>
              </w:rPr>
              <w:t>1617.2</w:t>
            </w:r>
          </w:p>
        </w:tc>
      </w:tr>
      <w:tr w14:paraId="5AFE77C3">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5197C41D">
            <w:pPr>
              <w:spacing w:before="40" w:after="40"/>
              <w:jc w:val="both"/>
              <w:rPr>
                <w:sz w:val="24"/>
                <w:szCs w:val="24"/>
              </w:rPr>
            </w:pPr>
            <w:r>
              <w:rPr>
                <w:rFonts w:ascii="Arial" w:hAnsi="Arial"/>
                <w:sz w:val="24"/>
                <w:szCs w:val="24"/>
              </w:rPr>
              <w:t>Pre-filtering Latency (ms)</w:t>
            </w:r>
          </w:p>
        </w:tc>
        <w:tc>
          <w:tcPr>
            <w:tcW w:w="1372" w:type="dxa"/>
            <w:tcBorders>
              <w:top w:val="single" w:color="EEEEEE" w:sz="2" w:space="0"/>
              <w:left w:val="nil"/>
              <w:bottom w:val="single" w:color="EEEEEE" w:sz="2" w:space="0"/>
              <w:right w:val="nil"/>
            </w:tcBorders>
          </w:tcPr>
          <w:p w14:paraId="42F9F720">
            <w:pPr>
              <w:spacing w:before="40" w:after="40"/>
              <w:jc w:val="both"/>
              <w:rPr>
                <w:sz w:val="24"/>
                <w:szCs w:val="24"/>
              </w:rPr>
            </w:pPr>
            <w:r>
              <w:rPr>
                <w:rFonts w:ascii="Arial" w:hAnsi="Arial"/>
                <w:sz w:val="24"/>
                <w:szCs w:val="24"/>
              </w:rPr>
              <w:t>N/A</w:t>
            </w:r>
          </w:p>
        </w:tc>
        <w:tc>
          <w:tcPr>
            <w:tcW w:w="1372" w:type="dxa"/>
            <w:tcBorders>
              <w:top w:val="single" w:color="EEEEEE" w:sz="2" w:space="0"/>
              <w:left w:val="nil"/>
              <w:bottom w:val="single" w:color="EEEEEE" w:sz="2" w:space="0"/>
              <w:right w:val="nil"/>
            </w:tcBorders>
          </w:tcPr>
          <w:p w14:paraId="13F23E89">
            <w:pPr>
              <w:spacing w:before="40" w:after="40"/>
              <w:jc w:val="both"/>
              <w:rPr>
                <w:sz w:val="24"/>
                <w:szCs w:val="24"/>
              </w:rPr>
            </w:pPr>
            <w:r>
              <w:rPr>
                <w:rFonts w:ascii="Arial" w:hAnsi="Arial"/>
                <w:sz w:val="24"/>
                <w:szCs w:val="24"/>
              </w:rPr>
              <w:t>N/A</w:t>
            </w:r>
          </w:p>
        </w:tc>
        <w:tc>
          <w:tcPr>
            <w:tcW w:w="1372" w:type="dxa"/>
            <w:tcBorders>
              <w:top w:val="single" w:color="EEEEEE" w:sz="2" w:space="0"/>
              <w:left w:val="nil"/>
              <w:bottom w:val="single" w:color="EEEEEE" w:sz="2" w:space="0"/>
              <w:right w:val="nil"/>
            </w:tcBorders>
          </w:tcPr>
          <w:p w14:paraId="59E94E5B">
            <w:pPr>
              <w:spacing w:before="40" w:after="40"/>
              <w:jc w:val="both"/>
              <w:rPr>
                <w:sz w:val="24"/>
                <w:szCs w:val="24"/>
              </w:rPr>
            </w:pPr>
            <w:r>
              <w:rPr>
                <w:rFonts w:ascii="Arial" w:hAnsi="Arial"/>
                <w:sz w:val="24"/>
                <w:szCs w:val="24"/>
              </w:rPr>
              <w:t>352.4 ms</w:t>
            </w:r>
          </w:p>
        </w:tc>
        <w:tc>
          <w:tcPr>
            <w:tcW w:w="1372" w:type="dxa"/>
            <w:tcBorders>
              <w:top w:val="single" w:color="EEEEEE" w:sz="2" w:space="0"/>
              <w:left w:val="nil"/>
              <w:bottom w:val="single" w:color="EEEEEE" w:sz="2" w:space="0"/>
              <w:right w:val="nil"/>
            </w:tcBorders>
          </w:tcPr>
          <w:p w14:paraId="5AE42E71">
            <w:pPr>
              <w:spacing w:before="40" w:after="40"/>
              <w:jc w:val="both"/>
              <w:rPr>
                <w:sz w:val="24"/>
                <w:szCs w:val="24"/>
              </w:rPr>
            </w:pPr>
            <w:r>
              <w:rPr>
                <w:rFonts w:ascii="Arial" w:hAnsi="Arial"/>
                <w:sz w:val="24"/>
                <w:szCs w:val="24"/>
              </w:rPr>
              <w:t>N/A</w:t>
            </w:r>
          </w:p>
        </w:tc>
        <w:tc>
          <w:tcPr>
            <w:tcW w:w="1372" w:type="dxa"/>
            <w:tcBorders>
              <w:top w:val="single" w:color="EEEEEE" w:sz="2" w:space="0"/>
              <w:left w:val="nil"/>
              <w:bottom w:val="single" w:color="EEEEEE" w:sz="2" w:space="0"/>
              <w:right w:val="nil"/>
            </w:tcBorders>
          </w:tcPr>
          <w:p w14:paraId="72A6664E">
            <w:pPr>
              <w:spacing w:before="40" w:after="40"/>
              <w:jc w:val="both"/>
              <w:rPr>
                <w:sz w:val="24"/>
                <w:szCs w:val="24"/>
              </w:rPr>
            </w:pPr>
            <w:r>
              <w:rPr>
                <w:rFonts w:ascii="Arial" w:hAnsi="Arial"/>
                <w:sz w:val="24"/>
                <w:szCs w:val="24"/>
              </w:rPr>
              <w:t>3.26 ms</w:t>
            </w:r>
          </w:p>
        </w:tc>
        <w:tc>
          <w:tcPr>
            <w:tcW w:w="1372" w:type="dxa"/>
            <w:tcBorders>
              <w:top w:val="single" w:color="EEEEEE" w:sz="2" w:space="0"/>
              <w:left w:val="nil"/>
              <w:bottom w:val="single" w:color="EEEEEE" w:sz="2" w:space="0"/>
              <w:right w:val="nil"/>
            </w:tcBorders>
            <w:shd w:val="clear" w:color="auto" w:fill="EBF3F9"/>
          </w:tcPr>
          <w:p w14:paraId="40D6A170">
            <w:pPr>
              <w:spacing w:before="40" w:after="40"/>
              <w:jc w:val="both"/>
              <w:rPr>
                <w:sz w:val="24"/>
                <w:szCs w:val="24"/>
              </w:rPr>
            </w:pPr>
            <w:r>
              <w:rPr>
                <w:rFonts w:ascii="Arial" w:hAnsi="Arial"/>
                <w:b/>
                <w:sz w:val="24"/>
                <w:szCs w:val="24"/>
              </w:rPr>
              <w:t>3.26 ms</w:t>
            </w:r>
          </w:p>
        </w:tc>
      </w:tr>
      <w:tr w14:paraId="4248069B">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4D483AFF">
            <w:pPr>
              <w:spacing w:before="40" w:after="40"/>
              <w:jc w:val="both"/>
              <w:rPr>
                <w:sz w:val="24"/>
                <w:szCs w:val="24"/>
              </w:rPr>
            </w:pPr>
            <w:r>
              <w:rPr>
                <w:rFonts w:ascii="Arial" w:hAnsi="Arial"/>
                <w:sz w:val="24"/>
                <w:szCs w:val="24"/>
              </w:rPr>
              <w:t>Source Reduction Ratio (%)</w:t>
            </w:r>
          </w:p>
        </w:tc>
        <w:tc>
          <w:tcPr>
            <w:tcW w:w="1372" w:type="dxa"/>
            <w:tcBorders>
              <w:top w:val="single" w:color="EEEEEE" w:sz="2" w:space="0"/>
              <w:left w:val="nil"/>
              <w:bottom w:val="single" w:color="EEEEEE" w:sz="2" w:space="0"/>
              <w:right w:val="nil"/>
            </w:tcBorders>
          </w:tcPr>
          <w:p w14:paraId="52F7F79B">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5C519D60">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1CA995E9">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6900886C">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6420727C">
            <w:pPr>
              <w:spacing w:before="40" w:after="40"/>
              <w:jc w:val="both"/>
              <w:rPr>
                <w:sz w:val="24"/>
                <w:szCs w:val="24"/>
              </w:rPr>
            </w:pPr>
            <w:r>
              <w:rPr>
                <w:rFonts w:ascii="Arial" w:hAnsi="Arial"/>
                <w:sz w:val="24"/>
                <w:szCs w:val="24"/>
              </w:rPr>
              <w:t>99.45%</w:t>
            </w:r>
          </w:p>
        </w:tc>
        <w:tc>
          <w:tcPr>
            <w:tcW w:w="1372" w:type="dxa"/>
            <w:tcBorders>
              <w:top w:val="single" w:color="EEEEEE" w:sz="2" w:space="0"/>
              <w:left w:val="nil"/>
              <w:bottom w:val="single" w:color="EEEEEE" w:sz="2" w:space="0"/>
              <w:right w:val="nil"/>
            </w:tcBorders>
            <w:shd w:val="clear" w:color="auto" w:fill="EBF3F9"/>
          </w:tcPr>
          <w:p w14:paraId="35B5B7CA">
            <w:pPr>
              <w:spacing w:before="40" w:after="40"/>
              <w:jc w:val="both"/>
              <w:rPr>
                <w:sz w:val="24"/>
                <w:szCs w:val="24"/>
              </w:rPr>
            </w:pPr>
            <w:r>
              <w:rPr>
                <w:rFonts w:ascii="Arial" w:hAnsi="Arial"/>
                <w:b/>
                <w:sz w:val="24"/>
                <w:szCs w:val="24"/>
              </w:rPr>
              <w:t>99.45%</w:t>
            </w:r>
          </w:p>
        </w:tc>
      </w:tr>
      <w:tr w14:paraId="36BFB8D7">
        <w:tblPrEx>
          <w:tblCellMar>
            <w:top w:w="0" w:type="dxa"/>
            <w:left w:w="108" w:type="dxa"/>
            <w:bottom w:w="0" w:type="dxa"/>
            <w:right w:w="108" w:type="dxa"/>
          </w:tblCellMar>
        </w:tblPrEx>
        <w:trPr>
          <w:jc w:val="center"/>
        </w:trPr>
        <w:tc>
          <w:tcPr>
            <w:tcW w:w="1372" w:type="dxa"/>
            <w:tcBorders>
              <w:top w:val="single" w:color="EEEEEE" w:sz="2" w:space="0"/>
              <w:left w:val="nil"/>
              <w:bottom w:val="single" w:color="EEEEEE" w:sz="2" w:space="0"/>
              <w:right w:val="nil"/>
            </w:tcBorders>
          </w:tcPr>
          <w:p w14:paraId="254E2291">
            <w:pPr>
              <w:spacing w:before="40" w:after="40"/>
              <w:jc w:val="both"/>
              <w:rPr>
                <w:sz w:val="24"/>
                <w:szCs w:val="24"/>
              </w:rPr>
            </w:pPr>
            <w:r>
              <w:rPr>
                <w:rFonts w:ascii="Arial" w:hAnsi="Arial"/>
                <w:sz w:val="24"/>
                <w:szCs w:val="24"/>
              </w:rPr>
              <w:t>Net Workload Reduction (%)</w:t>
            </w:r>
          </w:p>
        </w:tc>
        <w:tc>
          <w:tcPr>
            <w:tcW w:w="1372" w:type="dxa"/>
            <w:tcBorders>
              <w:top w:val="single" w:color="EEEEEE" w:sz="2" w:space="0"/>
              <w:left w:val="nil"/>
              <w:bottom w:val="single" w:color="EEEEEE" w:sz="2" w:space="0"/>
              <w:right w:val="nil"/>
            </w:tcBorders>
          </w:tcPr>
          <w:p w14:paraId="43597261">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tcPr>
          <w:p w14:paraId="75FF6A61">
            <w:pPr>
              <w:spacing w:before="40" w:after="40"/>
              <w:jc w:val="both"/>
              <w:rPr>
                <w:sz w:val="24"/>
                <w:szCs w:val="24"/>
              </w:rPr>
            </w:pPr>
            <w:r>
              <w:rPr>
                <w:rFonts w:ascii="Arial" w:hAnsi="Arial"/>
                <w:sz w:val="24"/>
                <w:szCs w:val="24"/>
              </w:rPr>
              <w:t>15.0%</w:t>
            </w:r>
          </w:p>
        </w:tc>
        <w:tc>
          <w:tcPr>
            <w:tcW w:w="1372" w:type="dxa"/>
            <w:tcBorders>
              <w:top w:val="single" w:color="EEEEEE" w:sz="2" w:space="0"/>
              <w:left w:val="nil"/>
              <w:bottom w:val="single" w:color="EEEEEE" w:sz="2" w:space="0"/>
              <w:right w:val="nil"/>
            </w:tcBorders>
          </w:tcPr>
          <w:p w14:paraId="426749FD">
            <w:pPr>
              <w:spacing w:before="40" w:after="40"/>
              <w:jc w:val="both"/>
              <w:rPr>
                <w:sz w:val="24"/>
                <w:szCs w:val="24"/>
              </w:rPr>
            </w:pPr>
            <w:r>
              <w:rPr>
                <w:rFonts w:ascii="Arial" w:hAnsi="Arial"/>
                <w:sz w:val="24"/>
                <w:szCs w:val="24"/>
              </w:rPr>
              <w:t>-35.2%</w:t>
            </w:r>
          </w:p>
        </w:tc>
        <w:tc>
          <w:tcPr>
            <w:tcW w:w="1372" w:type="dxa"/>
            <w:tcBorders>
              <w:top w:val="single" w:color="EEEEEE" w:sz="2" w:space="0"/>
              <w:left w:val="nil"/>
              <w:bottom w:val="single" w:color="EEEEEE" w:sz="2" w:space="0"/>
              <w:right w:val="nil"/>
            </w:tcBorders>
          </w:tcPr>
          <w:p w14:paraId="0D847585">
            <w:pPr>
              <w:spacing w:before="40" w:after="40"/>
              <w:jc w:val="both"/>
              <w:rPr>
                <w:sz w:val="24"/>
                <w:szCs w:val="24"/>
              </w:rPr>
            </w:pPr>
            <w:r>
              <w:rPr>
                <w:rFonts w:ascii="Arial" w:hAnsi="Arial"/>
                <w:sz w:val="24"/>
                <w:szCs w:val="24"/>
              </w:rPr>
              <w:t>25.0%</w:t>
            </w:r>
          </w:p>
        </w:tc>
        <w:tc>
          <w:tcPr>
            <w:tcW w:w="1372" w:type="dxa"/>
            <w:tcBorders>
              <w:top w:val="single" w:color="EEEEEE" w:sz="2" w:space="0"/>
              <w:left w:val="nil"/>
              <w:bottom w:val="single" w:color="EEEEEE" w:sz="2" w:space="0"/>
              <w:right w:val="nil"/>
            </w:tcBorders>
          </w:tcPr>
          <w:p w14:paraId="118AEA36">
            <w:pPr>
              <w:spacing w:before="40" w:after="40"/>
              <w:jc w:val="both"/>
              <w:rPr>
                <w:sz w:val="24"/>
                <w:szCs w:val="24"/>
              </w:rPr>
            </w:pPr>
            <w:r>
              <w:rPr>
                <w:rFonts w:ascii="Arial" w:hAnsi="Arial"/>
                <w:sz w:val="24"/>
                <w:szCs w:val="24"/>
              </w:rPr>
              <w:t>0.0%</w:t>
            </w:r>
          </w:p>
        </w:tc>
        <w:tc>
          <w:tcPr>
            <w:tcW w:w="1372" w:type="dxa"/>
            <w:tcBorders>
              <w:top w:val="single" w:color="EEEEEE" w:sz="2" w:space="0"/>
              <w:left w:val="nil"/>
              <w:bottom w:val="single" w:color="EEEEEE" w:sz="2" w:space="0"/>
              <w:right w:val="nil"/>
            </w:tcBorders>
            <w:shd w:val="clear" w:color="auto" w:fill="EBF3F9"/>
          </w:tcPr>
          <w:p w14:paraId="1096DBAF">
            <w:pPr>
              <w:spacing w:before="40" w:after="40"/>
              <w:jc w:val="both"/>
              <w:rPr>
                <w:sz w:val="24"/>
                <w:szCs w:val="24"/>
              </w:rPr>
            </w:pPr>
            <w:r>
              <w:rPr>
                <w:rFonts w:ascii="Arial" w:hAnsi="Arial"/>
                <w:b/>
                <w:sz w:val="24"/>
                <w:szCs w:val="24"/>
              </w:rPr>
              <w:t>52.35%</w:t>
            </w:r>
          </w:p>
        </w:tc>
      </w:tr>
      <w:tr w14:paraId="40FA67A9">
        <w:tblPrEx>
          <w:tblCellMar>
            <w:top w:w="0" w:type="dxa"/>
            <w:left w:w="108" w:type="dxa"/>
            <w:bottom w:w="0" w:type="dxa"/>
            <w:right w:w="108" w:type="dxa"/>
          </w:tblCellMar>
        </w:tblPrEx>
        <w:trPr>
          <w:jc w:val="center"/>
        </w:trPr>
        <w:tc>
          <w:tcPr>
            <w:tcW w:w="1372" w:type="dxa"/>
            <w:tcBorders>
              <w:top w:val="single" w:color="000000" w:sz="6" w:space="0"/>
              <w:left w:val="nil"/>
              <w:bottom w:val="single" w:color="000000" w:sz="6" w:space="0"/>
              <w:right w:val="nil"/>
            </w:tcBorders>
          </w:tcPr>
          <w:p w14:paraId="097795CF">
            <w:pPr>
              <w:spacing w:before="40" w:after="40"/>
              <w:jc w:val="both"/>
              <w:rPr>
                <w:sz w:val="24"/>
                <w:szCs w:val="24"/>
              </w:rPr>
            </w:pPr>
            <w:r>
              <w:rPr>
                <w:rFonts w:ascii="Arial" w:hAnsi="Arial"/>
                <w:sz w:val="24"/>
                <w:szCs w:val="24"/>
              </w:rPr>
              <w:t>Data Sovereignty Violation</w:t>
            </w:r>
          </w:p>
        </w:tc>
        <w:tc>
          <w:tcPr>
            <w:tcW w:w="1372" w:type="dxa"/>
            <w:tcBorders>
              <w:top w:val="single" w:color="000000" w:sz="6" w:space="0"/>
              <w:left w:val="nil"/>
              <w:bottom w:val="single" w:color="000000" w:sz="6" w:space="0"/>
              <w:right w:val="nil"/>
            </w:tcBorders>
          </w:tcPr>
          <w:p w14:paraId="2B3577FC">
            <w:pPr>
              <w:spacing w:before="40" w:after="40"/>
              <w:jc w:val="both"/>
              <w:rPr>
                <w:sz w:val="24"/>
                <w:szCs w:val="24"/>
              </w:rPr>
            </w:pPr>
            <w:r>
              <w:rPr>
                <w:rFonts w:ascii="Arial" w:hAnsi="Arial"/>
                <w:sz w:val="24"/>
                <w:szCs w:val="24"/>
              </w:rPr>
              <w:t>Zero</w:t>
            </w:r>
          </w:p>
        </w:tc>
        <w:tc>
          <w:tcPr>
            <w:tcW w:w="1372" w:type="dxa"/>
            <w:tcBorders>
              <w:top w:val="single" w:color="000000" w:sz="6" w:space="0"/>
              <w:left w:val="nil"/>
              <w:bottom w:val="single" w:color="000000" w:sz="6" w:space="0"/>
              <w:right w:val="nil"/>
            </w:tcBorders>
          </w:tcPr>
          <w:p w14:paraId="733AE5CD">
            <w:pPr>
              <w:spacing w:before="40" w:after="40"/>
              <w:jc w:val="both"/>
              <w:rPr>
                <w:sz w:val="24"/>
                <w:szCs w:val="24"/>
              </w:rPr>
            </w:pPr>
            <w:r>
              <w:rPr>
                <w:rFonts w:ascii="Arial" w:hAnsi="Arial"/>
                <w:sz w:val="24"/>
                <w:szCs w:val="24"/>
              </w:rPr>
              <w:t>Zero</w:t>
            </w:r>
          </w:p>
        </w:tc>
        <w:tc>
          <w:tcPr>
            <w:tcW w:w="1372" w:type="dxa"/>
            <w:tcBorders>
              <w:top w:val="single" w:color="000000" w:sz="6" w:space="0"/>
              <w:left w:val="nil"/>
              <w:bottom w:val="single" w:color="000000" w:sz="6" w:space="0"/>
              <w:right w:val="nil"/>
            </w:tcBorders>
          </w:tcPr>
          <w:p w14:paraId="755D82CD">
            <w:pPr>
              <w:spacing w:before="40" w:after="40"/>
              <w:jc w:val="both"/>
              <w:rPr>
                <w:sz w:val="24"/>
                <w:szCs w:val="24"/>
              </w:rPr>
            </w:pPr>
            <w:r>
              <w:rPr>
                <w:rFonts w:ascii="Arial" w:hAnsi="Arial"/>
                <w:sz w:val="24"/>
                <w:szCs w:val="24"/>
              </w:rPr>
              <w:t>Zero</w:t>
            </w:r>
          </w:p>
        </w:tc>
        <w:tc>
          <w:tcPr>
            <w:tcW w:w="1372" w:type="dxa"/>
            <w:tcBorders>
              <w:top w:val="single" w:color="000000" w:sz="6" w:space="0"/>
              <w:left w:val="nil"/>
              <w:bottom w:val="single" w:color="000000" w:sz="6" w:space="0"/>
              <w:right w:val="nil"/>
            </w:tcBorders>
          </w:tcPr>
          <w:p w14:paraId="70BA1C30">
            <w:pPr>
              <w:spacing w:before="40" w:after="40"/>
              <w:jc w:val="both"/>
              <w:rPr>
                <w:sz w:val="24"/>
                <w:szCs w:val="24"/>
              </w:rPr>
            </w:pPr>
            <w:r>
              <w:rPr>
                <w:rFonts w:ascii="Arial" w:hAnsi="Arial"/>
                <w:sz w:val="24"/>
                <w:szCs w:val="24"/>
              </w:rPr>
              <w:t>Zero</w:t>
            </w:r>
          </w:p>
        </w:tc>
        <w:tc>
          <w:tcPr>
            <w:tcW w:w="1372" w:type="dxa"/>
            <w:tcBorders>
              <w:top w:val="single" w:color="000000" w:sz="6" w:space="0"/>
              <w:left w:val="nil"/>
              <w:bottom w:val="single" w:color="000000" w:sz="6" w:space="0"/>
              <w:right w:val="nil"/>
            </w:tcBorders>
          </w:tcPr>
          <w:p w14:paraId="209D6C02">
            <w:pPr>
              <w:spacing w:before="40" w:after="40"/>
              <w:jc w:val="both"/>
              <w:rPr>
                <w:sz w:val="24"/>
                <w:szCs w:val="24"/>
              </w:rPr>
            </w:pPr>
            <w:r>
              <w:rPr>
                <w:rFonts w:ascii="Arial" w:hAnsi="Arial"/>
                <w:sz w:val="24"/>
                <w:szCs w:val="24"/>
              </w:rPr>
              <w:t>Zero</w:t>
            </w:r>
          </w:p>
        </w:tc>
        <w:tc>
          <w:tcPr>
            <w:tcW w:w="1372" w:type="dxa"/>
            <w:tcBorders>
              <w:top w:val="single" w:color="000000" w:sz="6" w:space="0"/>
              <w:left w:val="nil"/>
              <w:bottom w:val="single" w:color="000000" w:sz="6" w:space="0"/>
              <w:right w:val="nil"/>
            </w:tcBorders>
            <w:shd w:val="clear" w:color="auto" w:fill="EBF3F9"/>
          </w:tcPr>
          <w:p w14:paraId="74034A13">
            <w:pPr>
              <w:spacing w:before="40" w:after="40"/>
              <w:jc w:val="both"/>
              <w:rPr>
                <w:sz w:val="24"/>
                <w:szCs w:val="24"/>
              </w:rPr>
            </w:pPr>
            <w:r>
              <w:rPr>
                <w:rFonts w:ascii="Arial" w:hAnsi="Arial"/>
                <w:b/>
                <w:sz w:val="24"/>
                <w:szCs w:val="24"/>
              </w:rPr>
              <w:t>Zero (Local)</w:t>
            </w:r>
          </w:p>
        </w:tc>
      </w:tr>
    </w:tbl>
    <w:p w14:paraId="0BDBFCE4">
      <w:pPr>
        <w:keepNext/>
        <w:spacing w:before="240" w:after="80"/>
        <w:jc w:val="both"/>
        <w:rPr>
          <w:sz w:val="24"/>
          <w:szCs w:val="24"/>
        </w:rPr>
      </w:pPr>
      <w:r>
        <w:rPr>
          <w:rFonts w:ascii="Arial" w:hAnsi="Arial"/>
          <w:b/>
          <w:color w:val="191919"/>
          <w:sz w:val="24"/>
          <w:szCs w:val="24"/>
        </w:rPr>
        <w:t>Comparative Baseline Performance</w:t>
      </w:r>
    </w:p>
    <w:p w14:paraId="670F86F9">
      <w:pPr>
        <w:spacing w:before="0" w:after="120" w:line="276" w:lineRule="auto"/>
        <w:jc w:val="both"/>
        <w:rPr>
          <w:sz w:val="24"/>
          <w:szCs w:val="24"/>
        </w:rPr>
      </w:pPr>
      <w:r>
        <w:rPr>
          <w:rFonts w:ascii="Arial" w:hAnsi="Arial"/>
          <w:color w:val="232323"/>
          <w:sz w:val="24"/>
          <w:szCs w:val="24"/>
        </w:rPr>
        <w:t>Table 2 reports the performance of AMORA against five established baselines across all 20 benchmark queries:</w:t>
      </w:r>
      <w:r>
        <w:rPr>
          <w:rFonts w:ascii="Arial" w:hAnsi="Arial"/>
          <w:color w:val="232323"/>
          <w:sz w:val="24"/>
          <w:szCs w:val="24"/>
        </w:rPr>
        <w:br w:type="textWrapping"/>
      </w:r>
      <w:r>
        <w:rPr>
          <w:rFonts w:ascii="Arial" w:hAnsi="Arial"/>
          <w:color w:val="232323"/>
          <w:sz w:val="24"/>
          <w:szCs w:val="24"/>
        </w:rPr>
        <w:t>1. Gating Efficiency: AMORA achieved a 65.0% retrieval trigger rate, safely bypassing retrieval on 35.0% of queries (Q1–Q5, Q8, Q14) where parametric knowledge was completely sufficient. Standard RAG (Baseline 1), Similarity-Only (Baseline 3), and Static Weights (Baseline 5) executed lookups unconditionally (100.0%), incurring unnecessary compute and latency penalties.</w:t>
      </w:r>
      <w:r>
        <w:rPr>
          <w:rFonts w:ascii="Arial" w:hAnsi="Arial"/>
          <w:color w:val="232323"/>
          <w:sz w:val="24"/>
          <w:szCs w:val="24"/>
        </w:rPr>
        <w:br w:type="textWrapping"/>
      </w:r>
      <w:r>
        <w:rPr>
          <w:rFonts w:ascii="Arial" w:hAnsi="Arial"/>
          <w:color w:val="232323"/>
          <w:sz w:val="24"/>
          <w:szCs w:val="24"/>
        </w:rPr>
        <w:t>2. Routing Recall vs. Token Footprint: While Similarity-Only routing (Baseline 3) achieved 1.000 recall, it unconditionally retrieved low-quality endpoints, inflating mean context volume to 1,073 tokens. AMORA attained 0.850 recall while restricting prompt volume to 786.4 tokens (a 26.7% reduction).</w:t>
      </w:r>
      <w:r>
        <w:rPr>
          <w:rFonts w:ascii="Arial" w:hAnsi="Arial"/>
          <w:color w:val="232323"/>
          <w:sz w:val="24"/>
          <w:szCs w:val="24"/>
        </w:rPr>
        <w:br w:type="textWrapping"/>
      </w:r>
      <w:r>
        <w:rPr>
          <w:rFonts w:ascii="Arial" w:hAnsi="Arial"/>
          <w:color w:val="232323"/>
          <w:sz w:val="24"/>
          <w:szCs w:val="24"/>
        </w:rPr>
        <w:t>3. Compound Net Efficiency: By combining a 35.0% retrieval bypass rate with a 26.7% prompt compaction ratio on retrieved queries, AMORA attained a compound net system workload reduction of 52.35% (validating Theorem 5).</w:t>
      </w:r>
    </w:p>
    <w:p w14:paraId="0EC76841">
      <w:pPr>
        <w:spacing w:before="200" w:after="80"/>
        <w:jc w:val="both"/>
        <w:rPr>
          <w:sz w:val="24"/>
          <w:szCs w:val="24"/>
        </w:rPr>
      </w:pPr>
      <w:r>
        <w:rPr>
          <w:sz w:val="24"/>
          <w:szCs w:val="24"/>
        </w:rPr>
        <w:drawing>
          <wp:inline distT="0" distB="0" distL="114300" distR="114300">
            <wp:extent cx="5669280" cy="348869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3488788"/>
                    </a:xfrm>
                    <a:prstGeom prst="rect">
                      <a:avLst/>
                    </a:prstGeom>
                  </pic:spPr>
                </pic:pic>
              </a:graphicData>
            </a:graphic>
          </wp:inline>
        </w:drawing>
      </w:r>
    </w:p>
    <w:p w14:paraId="60F2D93F">
      <w:pPr>
        <w:spacing w:before="40" w:after="240" w:line="276" w:lineRule="auto"/>
        <w:jc w:val="both"/>
        <w:rPr>
          <w:sz w:val="24"/>
          <w:szCs w:val="24"/>
        </w:rPr>
      </w:pPr>
      <w:r>
        <w:rPr>
          <w:rFonts w:ascii="Arial" w:hAnsi="Arial"/>
          <w:color w:val="3C3C3C"/>
          <w:sz w:val="24"/>
          <w:szCs w:val="24"/>
        </w:rPr>
        <w:t>Figure 2. Pre-filtering routing latency across scaling enterprise endpoint catalogs N ∈ [100, 10,000]. The two-stage FAISS funnel maintains sub-4.2 ms latency across a 100-fold catalog expansion.</w:t>
      </w:r>
    </w:p>
    <w:p w14:paraId="2D6D72A1">
      <w:pPr>
        <w:spacing w:before="200" w:after="80"/>
        <w:jc w:val="both"/>
        <w:rPr>
          <w:sz w:val="24"/>
          <w:szCs w:val="24"/>
        </w:rPr>
      </w:pPr>
      <w:r>
        <w:rPr>
          <w:sz w:val="24"/>
          <w:szCs w:val="24"/>
        </w:rPr>
        <w:drawing>
          <wp:inline distT="0" distB="0" distL="114300" distR="114300">
            <wp:extent cx="5669280" cy="366268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663227"/>
                    </a:xfrm>
                    <a:prstGeom prst="rect">
                      <a:avLst/>
                    </a:prstGeom>
                  </pic:spPr>
                </pic:pic>
              </a:graphicData>
            </a:graphic>
          </wp:inline>
        </w:drawing>
      </w:r>
    </w:p>
    <w:p w14:paraId="7625140F">
      <w:pPr>
        <w:spacing w:before="40" w:after="240" w:line="276" w:lineRule="auto"/>
        <w:jc w:val="both"/>
        <w:rPr>
          <w:sz w:val="24"/>
          <w:szCs w:val="24"/>
        </w:rPr>
      </w:pPr>
      <w:r>
        <w:rPr>
          <w:rFonts w:ascii="Arial" w:hAnsi="Arial"/>
          <w:color w:val="3C3C3C"/>
          <w:sz w:val="24"/>
          <w:szCs w:val="24"/>
        </w:rPr>
        <w:t>Figure 3. Pareto trade-off between Routing Recall@5 and prompt context token volume. AMORA occupies the optimal Pareto elbow (0.850 recall at 786 tokens).</w:t>
      </w:r>
    </w:p>
    <w:p w14:paraId="50FBA337">
      <w:pPr>
        <w:keepNext/>
        <w:spacing w:before="240" w:after="80"/>
        <w:jc w:val="both"/>
        <w:rPr>
          <w:sz w:val="24"/>
          <w:szCs w:val="24"/>
        </w:rPr>
      </w:pPr>
      <w:r>
        <w:rPr>
          <w:rFonts w:ascii="Arial" w:hAnsi="Arial"/>
          <w:b/>
          <w:color w:val="191919"/>
          <w:sz w:val="24"/>
          <w:szCs w:val="24"/>
        </w:rPr>
        <w:t>Scalability and Latency Invariance</w:t>
      </w:r>
    </w:p>
    <w:p w14:paraId="5F1CD997">
      <w:pPr>
        <w:spacing w:before="0" w:after="120" w:line="276" w:lineRule="auto"/>
        <w:jc w:val="both"/>
        <w:rPr>
          <w:sz w:val="24"/>
          <w:szCs w:val="24"/>
        </w:rPr>
      </w:pPr>
      <w:r>
        <w:rPr>
          <w:rFonts w:ascii="Arial" w:hAnsi="Arial"/>
          <w:color w:val="232323"/>
          <w:sz w:val="24"/>
          <w:szCs w:val="24"/>
        </w:rPr>
        <w:t>Table 3 and Figure 2 report pre-filtering latency across catalog expansions from N = 100 to N = 10,000. Routing latency remained strictly bounded between 3.26 ms and 4.14 ms across a 100-fold catalog expansion. At enterprise scale (N = 10,000), the two-stage funnel achieved a Source Reduction Ratio of 99.45%, pruning the candidate search space down to M = 55 endpoints in 3.26 ms.</w:t>
      </w:r>
    </w:p>
    <w:p w14:paraId="503DC56C">
      <w:pPr>
        <w:spacing w:before="160" w:after="40"/>
        <w:jc w:val="both"/>
        <w:rPr>
          <w:sz w:val="24"/>
          <w:szCs w:val="24"/>
        </w:rPr>
      </w:pPr>
      <w:r>
        <w:rPr>
          <w:b/>
          <w:sz w:val="24"/>
          <w:szCs w:val="24"/>
        </w:rPr>
        <w:t>Table 3. Two-Stage Pre-filtering Scalability across Endpoint Catalogs (N = 100 to 10,000).</w:t>
      </w:r>
    </w:p>
    <w:tbl>
      <w:tblPr>
        <w:tblStyle w:val="12"/>
        <w:tblW w:w="0" w:type="auto"/>
        <w:jc w:val="center"/>
        <w:tblLayout w:type="autofit"/>
        <w:tblCellMar>
          <w:top w:w="0" w:type="dxa"/>
          <w:left w:w="108" w:type="dxa"/>
          <w:bottom w:w="0" w:type="dxa"/>
          <w:right w:w="108" w:type="dxa"/>
        </w:tblCellMar>
      </w:tblPr>
      <w:tblGrid>
        <w:gridCol w:w="2401"/>
        <w:gridCol w:w="2401"/>
        <w:gridCol w:w="2401"/>
        <w:gridCol w:w="2401"/>
      </w:tblGrid>
      <w:tr w14:paraId="2D079D65">
        <w:tblPrEx>
          <w:tblCellMar>
            <w:top w:w="0" w:type="dxa"/>
            <w:left w:w="108" w:type="dxa"/>
            <w:bottom w:w="0" w:type="dxa"/>
            <w:right w:w="108" w:type="dxa"/>
          </w:tblCellMar>
        </w:tblPrEx>
        <w:trPr>
          <w:jc w:val="center"/>
        </w:trPr>
        <w:tc>
          <w:tcPr>
            <w:tcW w:w="2401" w:type="dxa"/>
            <w:tcBorders>
              <w:top w:val="single" w:color="000000" w:sz="6" w:space="0"/>
              <w:left w:val="nil"/>
              <w:bottom w:val="single" w:color="000000" w:sz="6" w:space="0"/>
              <w:right w:val="nil"/>
            </w:tcBorders>
            <w:shd w:val="clear" w:color="auto" w:fill="F2F2F2"/>
          </w:tcPr>
          <w:p w14:paraId="07B1B677">
            <w:pPr>
              <w:spacing w:before="40" w:after="40"/>
              <w:jc w:val="both"/>
              <w:rPr>
                <w:sz w:val="24"/>
                <w:szCs w:val="24"/>
              </w:rPr>
            </w:pPr>
            <w:r>
              <w:rPr>
                <w:rFonts w:ascii="Arial" w:hAnsi="Arial"/>
                <w:b/>
                <w:sz w:val="24"/>
                <w:szCs w:val="24"/>
              </w:rPr>
              <w:t>Catalog Size (N)</w:t>
            </w:r>
          </w:p>
        </w:tc>
        <w:tc>
          <w:tcPr>
            <w:tcW w:w="2401" w:type="dxa"/>
            <w:tcBorders>
              <w:top w:val="single" w:color="000000" w:sz="6" w:space="0"/>
              <w:left w:val="nil"/>
              <w:bottom w:val="single" w:color="000000" w:sz="6" w:space="0"/>
              <w:right w:val="nil"/>
            </w:tcBorders>
            <w:shd w:val="clear" w:color="auto" w:fill="F2F2F2"/>
          </w:tcPr>
          <w:p w14:paraId="39B81F6B">
            <w:pPr>
              <w:spacing w:before="40" w:after="40"/>
              <w:jc w:val="both"/>
              <w:rPr>
                <w:sz w:val="24"/>
                <w:szCs w:val="24"/>
              </w:rPr>
            </w:pPr>
            <w:r>
              <w:rPr>
                <w:rFonts w:ascii="Arial" w:hAnsi="Arial"/>
                <w:b/>
                <w:sz w:val="24"/>
                <w:szCs w:val="24"/>
              </w:rPr>
              <w:t>Stage-1 Output (M)</w:t>
            </w:r>
          </w:p>
        </w:tc>
        <w:tc>
          <w:tcPr>
            <w:tcW w:w="2401" w:type="dxa"/>
            <w:tcBorders>
              <w:top w:val="single" w:color="000000" w:sz="6" w:space="0"/>
              <w:left w:val="nil"/>
              <w:bottom w:val="single" w:color="000000" w:sz="6" w:space="0"/>
              <w:right w:val="nil"/>
            </w:tcBorders>
            <w:shd w:val="clear" w:color="auto" w:fill="F2F2F2"/>
          </w:tcPr>
          <w:p w14:paraId="078DDE7A">
            <w:pPr>
              <w:spacing w:before="40" w:after="40"/>
              <w:jc w:val="both"/>
              <w:rPr>
                <w:sz w:val="24"/>
                <w:szCs w:val="24"/>
              </w:rPr>
            </w:pPr>
            <w:r>
              <w:rPr>
                <w:rFonts w:ascii="Arial" w:hAnsi="Arial"/>
                <w:b/>
                <w:sz w:val="24"/>
                <w:szCs w:val="24"/>
              </w:rPr>
              <w:t>Routing Latency (ms)</w:t>
            </w:r>
          </w:p>
        </w:tc>
        <w:tc>
          <w:tcPr>
            <w:tcW w:w="2401" w:type="dxa"/>
            <w:tcBorders>
              <w:top w:val="single" w:color="000000" w:sz="6" w:space="0"/>
              <w:left w:val="nil"/>
              <w:bottom w:val="single" w:color="000000" w:sz="6" w:space="0"/>
              <w:right w:val="nil"/>
            </w:tcBorders>
            <w:shd w:val="clear" w:color="auto" w:fill="F2F2F2"/>
          </w:tcPr>
          <w:p w14:paraId="4A1C7959">
            <w:pPr>
              <w:spacing w:before="40" w:after="40"/>
              <w:jc w:val="both"/>
              <w:rPr>
                <w:sz w:val="24"/>
                <w:szCs w:val="24"/>
              </w:rPr>
            </w:pPr>
            <w:r>
              <w:rPr>
                <w:rFonts w:ascii="Arial" w:hAnsi="Arial"/>
                <w:b/>
                <w:sz w:val="24"/>
                <w:szCs w:val="24"/>
              </w:rPr>
              <w:t>Source Reduction Ratio (%)</w:t>
            </w:r>
          </w:p>
        </w:tc>
      </w:tr>
      <w:tr w14:paraId="0B38E162">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605BE609">
            <w:pPr>
              <w:spacing w:before="40" w:after="40"/>
              <w:jc w:val="both"/>
              <w:rPr>
                <w:sz w:val="24"/>
                <w:szCs w:val="24"/>
              </w:rPr>
            </w:pPr>
            <w:r>
              <w:rPr>
                <w:rFonts w:ascii="Arial" w:hAnsi="Arial"/>
                <w:sz w:val="24"/>
                <w:szCs w:val="24"/>
              </w:rPr>
              <w:t>100</w:t>
            </w:r>
          </w:p>
        </w:tc>
        <w:tc>
          <w:tcPr>
            <w:tcW w:w="2401" w:type="dxa"/>
            <w:tcBorders>
              <w:top w:val="single" w:color="EEEEEE" w:sz="2" w:space="0"/>
              <w:left w:val="nil"/>
              <w:bottom w:val="single" w:color="EEEEEE" w:sz="2" w:space="0"/>
              <w:right w:val="nil"/>
            </w:tcBorders>
          </w:tcPr>
          <w:p w14:paraId="79D5BFEC">
            <w:pPr>
              <w:spacing w:before="40" w:after="40"/>
              <w:jc w:val="both"/>
              <w:rPr>
                <w:sz w:val="24"/>
                <w:szCs w:val="24"/>
              </w:rPr>
            </w:pPr>
            <w:r>
              <w:rPr>
                <w:rFonts w:ascii="Arial" w:hAnsi="Arial"/>
                <w:sz w:val="24"/>
                <w:szCs w:val="24"/>
              </w:rPr>
              <w:t>55</w:t>
            </w:r>
          </w:p>
        </w:tc>
        <w:tc>
          <w:tcPr>
            <w:tcW w:w="2401" w:type="dxa"/>
            <w:tcBorders>
              <w:top w:val="single" w:color="EEEEEE" w:sz="2" w:space="0"/>
              <w:left w:val="nil"/>
              <w:bottom w:val="single" w:color="EEEEEE" w:sz="2" w:space="0"/>
              <w:right w:val="nil"/>
            </w:tcBorders>
          </w:tcPr>
          <w:p w14:paraId="71FB96A0">
            <w:pPr>
              <w:spacing w:before="40" w:after="40"/>
              <w:jc w:val="both"/>
              <w:rPr>
                <w:sz w:val="24"/>
                <w:szCs w:val="24"/>
              </w:rPr>
            </w:pPr>
            <w:r>
              <w:rPr>
                <w:rFonts w:ascii="Arial" w:hAnsi="Arial"/>
                <w:sz w:val="24"/>
                <w:szCs w:val="24"/>
              </w:rPr>
              <w:t>4.14 ms</w:t>
            </w:r>
          </w:p>
        </w:tc>
        <w:tc>
          <w:tcPr>
            <w:tcW w:w="2401" w:type="dxa"/>
            <w:tcBorders>
              <w:top w:val="single" w:color="EEEEEE" w:sz="2" w:space="0"/>
              <w:left w:val="nil"/>
              <w:bottom w:val="single" w:color="EEEEEE" w:sz="2" w:space="0"/>
              <w:right w:val="nil"/>
            </w:tcBorders>
          </w:tcPr>
          <w:p w14:paraId="2B402DAA">
            <w:pPr>
              <w:spacing w:before="40" w:after="40"/>
              <w:jc w:val="both"/>
              <w:rPr>
                <w:sz w:val="24"/>
                <w:szCs w:val="24"/>
              </w:rPr>
            </w:pPr>
            <w:r>
              <w:rPr>
                <w:rFonts w:ascii="Arial" w:hAnsi="Arial"/>
                <w:sz w:val="24"/>
                <w:szCs w:val="24"/>
              </w:rPr>
              <w:t>90.9%</w:t>
            </w:r>
          </w:p>
        </w:tc>
      </w:tr>
      <w:tr w14:paraId="20327952">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4FCBA948">
            <w:pPr>
              <w:spacing w:before="40" w:after="40"/>
              <w:jc w:val="both"/>
              <w:rPr>
                <w:sz w:val="24"/>
                <w:szCs w:val="24"/>
              </w:rPr>
            </w:pPr>
            <w:r>
              <w:rPr>
                <w:rFonts w:ascii="Arial" w:hAnsi="Arial"/>
                <w:sz w:val="24"/>
                <w:szCs w:val="24"/>
              </w:rPr>
              <w:t>500</w:t>
            </w:r>
          </w:p>
        </w:tc>
        <w:tc>
          <w:tcPr>
            <w:tcW w:w="2401" w:type="dxa"/>
            <w:tcBorders>
              <w:top w:val="single" w:color="EEEEEE" w:sz="2" w:space="0"/>
              <w:left w:val="nil"/>
              <w:bottom w:val="single" w:color="EEEEEE" w:sz="2" w:space="0"/>
              <w:right w:val="nil"/>
            </w:tcBorders>
          </w:tcPr>
          <w:p w14:paraId="4C09E960">
            <w:pPr>
              <w:spacing w:before="40" w:after="40"/>
              <w:jc w:val="both"/>
              <w:rPr>
                <w:sz w:val="24"/>
                <w:szCs w:val="24"/>
              </w:rPr>
            </w:pPr>
            <w:r>
              <w:rPr>
                <w:rFonts w:ascii="Arial" w:hAnsi="Arial"/>
                <w:sz w:val="24"/>
                <w:szCs w:val="24"/>
              </w:rPr>
              <w:t>55</w:t>
            </w:r>
          </w:p>
        </w:tc>
        <w:tc>
          <w:tcPr>
            <w:tcW w:w="2401" w:type="dxa"/>
            <w:tcBorders>
              <w:top w:val="single" w:color="EEEEEE" w:sz="2" w:space="0"/>
              <w:left w:val="nil"/>
              <w:bottom w:val="single" w:color="EEEEEE" w:sz="2" w:space="0"/>
              <w:right w:val="nil"/>
            </w:tcBorders>
          </w:tcPr>
          <w:p w14:paraId="33588E2C">
            <w:pPr>
              <w:spacing w:before="40" w:after="40"/>
              <w:jc w:val="both"/>
              <w:rPr>
                <w:sz w:val="24"/>
                <w:szCs w:val="24"/>
              </w:rPr>
            </w:pPr>
            <w:r>
              <w:rPr>
                <w:rFonts w:ascii="Arial" w:hAnsi="Arial"/>
                <w:sz w:val="24"/>
                <w:szCs w:val="24"/>
              </w:rPr>
              <w:t>3.88 ms</w:t>
            </w:r>
          </w:p>
        </w:tc>
        <w:tc>
          <w:tcPr>
            <w:tcW w:w="2401" w:type="dxa"/>
            <w:tcBorders>
              <w:top w:val="single" w:color="EEEEEE" w:sz="2" w:space="0"/>
              <w:left w:val="nil"/>
              <w:bottom w:val="single" w:color="EEEEEE" w:sz="2" w:space="0"/>
              <w:right w:val="nil"/>
            </w:tcBorders>
          </w:tcPr>
          <w:p w14:paraId="2741D763">
            <w:pPr>
              <w:spacing w:before="40" w:after="40"/>
              <w:jc w:val="both"/>
              <w:rPr>
                <w:sz w:val="24"/>
                <w:szCs w:val="24"/>
              </w:rPr>
            </w:pPr>
            <w:r>
              <w:rPr>
                <w:rFonts w:ascii="Arial" w:hAnsi="Arial"/>
                <w:sz w:val="24"/>
                <w:szCs w:val="24"/>
              </w:rPr>
              <w:t>90.9%</w:t>
            </w:r>
          </w:p>
        </w:tc>
      </w:tr>
      <w:tr w14:paraId="49B0DB8A">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37EF2A67">
            <w:pPr>
              <w:spacing w:before="40" w:after="40"/>
              <w:jc w:val="both"/>
              <w:rPr>
                <w:sz w:val="24"/>
                <w:szCs w:val="24"/>
              </w:rPr>
            </w:pPr>
            <w:r>
              <w:rPr>
                <w:rFonts w:ascii="Arial" w:hAnsi="Arial"/>
                <w:sz w:val="24"/>
                <w:szCs w:val="24"/>
              </w:rPr>
              <w:t>1,000</w:t>
            </w:r>
          </w:p>
        </w:tc>
        <w:tc>
          <w:tcPr>
            <w:tcW w:w="2401" w:type="dxa"/>
            <w:tcBorders>
              <w:top w:val="single" w:color="EEEEEE" w:sz="2" w:space="0"/>
              <w:left w:val="nil"/>
              <w:bottom w:val="single" w:color="EEEEEE" w:sz="2" w:space="0"/>
              <w:right w:val="nil"/>
            </w:tcBorders>
          </w:tcPr>
          <w:p w14:paraId="0C725483">
            <w:pPr>
              <w:spacing w:before="40" w:after="40"/>
              <w:jc w:val="both"/>
              <w:rPr>
                <w:sz w:val="24"/>
                <w:szCs w:val="24"/>
              </w:rPr>
            </w:pPr>
            <w:r>
              <w:rPr>
                <w:rFonts w:ascii="Arial" w:hAnsi="Arial"/>
                <w:sz w:val="24"/>
                <w:szCs w:val="24"/>
              </w:rPr>
              <w:t>55</w:t>
            </w:r>
          </w:p>
        </w:tc>
        <w:tc>
          <w:tcPr>
            <w:tcW w:w="2401" w:type="dxa"/>
            <w:tcBorders>
              <w:top w:val="single" w:color="EEEEEE" w:sz="2" w:space="0"/>
              <w:left w:val="nil"/>
              <w:bottom w:val="single" w:color="EEEEEE" w:sz="2" w:space="0"/>
              <w:right w:val="nil"/>
            </w:tcBorders>
          </w:tcPr>
          <w:p w14:paraId="13D5B858">
            <w:pPr>
              <w:spacing w:before="40" w:after="40"/>
              <w:jc w:val="both"/>
              <w:rPr>
                <w:sz w:val="24"/>
                <w:szCs w:val="24"/>
              </w:rPr>
            </w:pPr>
            <w:r>
              <w:rPr>
                <w:rFonts w:ascii="Arial" w:hAnsi="Arial"/>
                <w:sz w:val="24"/>
                <w:szCs w:val="24"/>
              </w:rPr>
              <w:t>3.29 ms</w:t>
            </w:r>
          </w:p>
        </w:tc>
        <w:tc>
          <w:tcPr>
            <w:tcW w:w="2401" w:type="dxa"/>
            <w:tcBorders>
              <w:top w:val="single" w:color="EEEEEE" w:sz="2" w:space="0"/>
              <w:left w:val="nil"/>
              <w:bottom w:val="single" w:color="EEEEEE" w:sz="2" w:space="0"/>
              <w:right w:val="nil"/>
            </w:tcBorders>
          </w:tcPr>
          <w:p w14:paraId="2F4B70B8">
            <w:pPr>
              <w:spacing w:before="40" w:after="40"/>
              <w:jc w:val="both"/>
              <w:rPr>
                <w:sz w:val="24"/>
                <w:szCs w:val="24"/>
              </w:rPr>
            </w:pPr>
            <w:r>
              <w:rPr>
                <w:rFonts w:ascii="Arial" w:hAnsi="Arial"/>
                <w:sz w:val="24"/>
                <w:szCs w:val="24"/>
              </w:rPr>
              <w:t>94.5%</w:t>
            </w:r>
          </w:p>
        </w:tc>
      </w:tr>
      <w:tr w14:paraId="30B2FA1B">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670699E0">
            <w:pPr>
              <w:spacing w:before="40" w:after="40"/>
              <w:jc w:val="both"/>
              <w:rPr>
                <w:sz w:val="24"/>
                <w:szCs w:val="24"/>
              </w:rPr>
            </w:pPr>
            <w:r>
              <w:rPr>
                <w:rFonts w:ascii="Arial" w:hAnsi="Arial"/>
                <w:sz w:val="24"/>
                <w:szCs w:val="24"/>
              </w:rPr>
              <w:t>5,000</w:t>
            </w:r>
          </w:p>
        </w:tc>
        <w:tc>
          <w:tcPr>
            <w:tcW w:w="2401" w:type="dxa"/>
            <w:tcBorders>
              <w:top w:val="single" w:color="EEEEEE" w:sz="2" w:space="0"/>
              <w:left w:val="nil"/>
              <w:bottom w:val="single" w:color="EEEEEE" w:sz="2" w:space="0"/>
              <w:right w:val="nil"/>
            </w:tcBorders>
          </w:tcPr>
          <w:p w14:paraId="04700707">
            <w:pPr>
              <w:spacing w:before="40" w:after="40"/>
              <w:jc w:val="both"/>
              <w:rPr>
                <w:sz w:val="24"/>
                <w:szCs w:val="24"/>
              </w:rPr>
            </w:pPr>
            <w:r>
              <w:rPr>
                <w:rFonts w:ascii="Arial" w:hAnsi="Arial"/>
                <w:sz w:val="24"/>
                <w:szCs w:val="24"/>
              </w:rPr>
              <w:t>55</w:t>
            </w:r>
          </w:p>
        </w:tc>
        <w:tc>
          <w:tcPr>
            <w:tcW w:w="2401" w:type="dxa"/>
            <w:tcBorders>
              <w:top w:val="single" w:color="EEEEEE" w:sz="2" w:space="0"/>
              <w:left w:val="nil"/>
              <w:bottom w:val="single" w:color="EEEEEE" w:sz="2" w:space="0"/>
              <w:right w:val="nil"/>
            </w:tcBorders>
          </w:tcPr>
          <w:p w14:paraId="3CC174BC">
            <w:pPr>
              <w:spacing w:before="40" w:after="40"/>
              <w:jc w:val="both"/>
              <w:rPr>
                <w:sz w:val="24"/>
                <w:szCs w:val="24"/>
              </w:rPr>
            </w:pPr>
            <w:r>
              <w:rPr>
                <w:rFonts w:ascii="Arial" w:hAnsi="Arial"/>
                <w:sz w:val="24"/>
                <w:szCs w:val="24"/>
              </w:rPr>
              <w:t>3.27 ms</w:t>
            </w:r>
          </w:p>
        </w:tc>
        <w:tc>
          <w:tcPr>
            <w:tcW w:w="2401" w:type="dxa"/>
            <w:tcBorders>
              <w:top w:val="single" w:color="EEEEEE" w:sz="2" w:space="0"/>
              <w:left w:val="nil"/>
              <w:bottom w:val="single" w:color="EEEEEE" w:sz="2" w:space="0"/>
              <w:right w:val="nil"/>
            </w:tcBorders>
          </w:tcPr>
          <w:p w14:paraId="331F0692">
            <w:pPr>
              <w:spacing w:before="40" w:after="40"/>
              <w:jc w:val="both"/>
              <w:rPr>
                <w:sz w:val="24"/>
                <w:szCs w:val="24"/>
              </w:rPr>
            </w:pPr>
            <w:r>
              <w:rPr>
                <w:rFonts w:ascii="Arial" w:hAnsi="Arial"/>
                <w:sz w:val="24"/>
                <w:szCs w:val="24"/>
              </w:rPr>
              <w:t>98.9%</w:t>
            </w:r>
          </w:p>
        </w:tc>
      </w:tr>
      <w:tr w14:paraId="02883753">
        <w:tblPrEx>
          <w:tblCellMar>
            <w:top w:w="0" w:type="dxa"/>
            <w:left w:w="108" w:type="dxa"/>
            <w:bottom w:w="0" w:type="dxa"/>
            <w:right w:w="108" w:type="dxa"/>
          </w:tblCellMar>
        </w:tblPrEx>
        <w:trPr>
          <w:jc w:val="center"/>
        </w:trPr>
        <w:tc>
          <w:tcPr>
            <w:tcW w:w="2401" w:type="dxa"/>
            <w:tcBorders>
              <w:top w:val="single" w:color="EEEEEE" w:sz="6" w:space="0"/>
              <w:left w:val="nil"/>
              <w:bottom w:val="single" w:color="000000" w:sz="6" w:space="0"/>
              <w:right w:val="nil"/>
            </w:tcBorders>
            <w:shd w:val="clear" w:color="auto" w:fill="EBF3F9"/>
          </w:tcPr>
          <w:p w14:paraId="612C1DBA">
            <w:pPr>
              <w:spacing w:before="40" w:after="40"/>
              <w:jc w:val="both"/>
              <w:rPr>
                <w:sz w:val="24"/>
                <w:szCs w:val="24"/>
              </w:rPr>
            </w:pPr>
            <w:r>
              <w:rPr>
                <w:rFonts w:ascii="Arial" w:hAnsi="Arial"/>
                <w:b/>
                <w:sz w:val="24"/>
                <w:szCs w:val="24"/>
              </w:rPr>
              <w:t>10,000</w:t>
            </w:r>
          </w:p>
        </w:tc>
        <w:tc>
          <w:tcPr>
            <w:tcW w:w="2401" w:type="dxa"/>
            <w:tcBorders>
              <w:top w:val="single" w:color="EEEEEE" w:sz="6" w:space="0"/>
              <w:left w:val="nil"/>
              <w:bottom w:val="single" w:color="000000" w:sz="6" w:space="0"/>
              <w:right w:val="nil"/>
            </w:tcBorders>
            <w:shd w:val="clear" w:color="auto" w:fill="EBF3F9"/>
          </w:tcPr>
          <w:p w14:paraId="162AD1C0">
            <w:pPr>
              <w:spacing w:before="40" w:after="40"/>
              <w:jc w:val="both"/>
              <w:rPr>
                <w:sz w:val="24"/>
                <w:szCs w:val="24"/>
              </w:rPr>
            </w:pPr>
            <w:r>
              <w:rPr>
                <w:rFonts w:ascii="Arial" w:hAnsi="Arial"/>
                <w:b/>
                <w:sz w:val="24"/>
                <w:szCs w:val="24"/>
              </w:rPr>
              <w:t>55</w:t>
            </w:r>
          </w:p>
        </w:tc>
        <w:tc>
          <w:tcPr>
            <w:tcW w:w="2401" w:type="dxa"/>
            <w:tcBorders>
              <w:top w:val="single" w:color="EEEEEE" w:sz="6" w:space="0"/>
              <w:left w:val="nil"/>
              <w:bottom w:val="single" w:color="000000" w:sz="6" w:space="0"/>
              <w:right w:val="nil"/>
            </w:tcBorders>
            <w:shd w:val="clear" w:color="auto" w:fill="EBF3F9"/>
          </w:tcPr>
          <w:p w14:paraId="0EE227A0">
            <w:pPr>
              <w:spacing w:before="40" w:after="40"/>
              <w:jc w:val="both"/>
              <w:rPr>
                <w:sz w:val="24"/>
                <w:szCs w:val="24"/>
              </w:rPr>
            </w:pPr>
            <w:r>
              <w:rPr>
                <w:rFonts w:ascii="Arial" w:hAnsi="Arial"/>
                <w:b/>
                <w:sz w:val="24"/>
                <w:szCs w:val="24"/>
              </w:rPr>
              <w:t>3.26 ms</w:t>
            </w:r>
          </w:p>
        </w:tc>
        <w:tc>
          <w:tcPr>
            <w:tcW w:w="2401" w:type="dxa"/>
            <w:tcBorders>
              <w:top w:val="single" w:color="EEEEEE" w:sz="6" w:space="0"/>
              <w:left w:val="nil"/>
              <w:bottom w:val="single" w:color="000000" w:sz="6" w:space="0"/>
              <w:right w:val="nil"/>
            </w:tcBorders>
            <w:shd w:val="clear" w:color="auto" w:fill="EBF3F9"/>
          </w:tcPr>
          <w:p w14:paraId="64583289">
            <w:pPr>
              <w:spacing w:before="40" w:after="40"/>
              <w:jc w:val="both"/>
              <w:rPr>
                <w:sz w:val="24"/>
                <w:szCs w:val="24"/>
              </w:rPr>
            </w:pPr>
            <w:r>
              <w:rPr>
                <w:rFonts w:ascii="Arial" w:hAnsi="Arial"/>
                <w:b/>
                <w:sz w:val="24"/>
                <w:szCs w:val="24"/>
              </w:rPr>
              <w:t>99.45%</w:t>
            </w:r>
          </w:p>
        </w:tc>
      </w:tr>
    </w:tbl>
    <w:p w14:paraId="0F0F2BF7">
      <w:pPr>
        <w:spacing w:before="240" w:after="40"/>
        <w:jc w:val="both"/>
        <w:rPr>
          <w:b/>
          <w:sz w:val="24"/>
          <w:szCs w:val="24"/>
        </w:rPr>
      </w:pPr>
    </w:p>
    <w:p w14:paraId="54C63FD7">
      <w:pPr>
        <w:spacing w:before="240" w:after="40"/>
        <w:jc w:val="both"/>
        <w:rPr>
          <w:b/>
          <w:sz w:val="24"/>
          <w:szCs w:val="24"/>
        </w:rPr>
      </w:pPr>
    </w:p>
    <w:p w14:paraId="7845B123">
      <w:pPr>
        <w:spacing w:before="240" w:after="40"/>
        <w:jc w:val="both"/>
        <w:rPr>
          <w:b/>
          <w:sz w:val="24"/>
          <w:szCs w:val="24"/>
        </w:rPr>
      </w:pPr>
    </w:p>
    <w:p w14:paraId="23B25F16">
      <w:pPr>
        <w:spacing w:before="240" w:after="40"/>
        <w:jc w:val="both"/>
        <w:rPr>
          <w:b/>
          <w:sz w:val="24"/>
          <w:szCs w:val="24"/>
        </w:rPr>
      </w:pPr>
      <w:r>
        <w:rPr>
          <w:b/>
          <w:sz w:val="24"/>
          <w:szCs w:val="24"/>
        </w:rPr>
        <w:t>Table 4. Functional Component Ablation Matrix Demonstrating Component Impact (100% Measured Runs).</w:t>
      </w:r>
    </w:p>
    <w:p w14:paraId="1585E18B">
      <w:pPr>
        <w:spacing w:before="240" w:after="40"/>
        <w:jc w:val="both"/>
        <w:rPr>
          <w:b/>
          <w:sz w:val="24"/>
          <w:szCs w:val="24"/>
        </w:rPr>
      </w:pPr>
    </w:p>
    <w:p w14:paraId="572C766E">
      <w:pPr>
        <w:spacing w:before="240" w:after="40"/>
        <w:jc w:val="both"/>
        <w:rPr>
          <w:b/>
          <w:sz w:val="24"/>
          <w:szCs w:val="24"/>
        </w:rPr>
      </w:pPr>
    </w:p>
    <w:tbl>
      <w:tblPr>
        <w:tblStyle w:val="12"/>
        <w:tblW w:w="0" w:type="auto"/>
        <w:jc w:val="center"/>
        <w:tblLayout w:type="autofit"/>
        <w:tblCellMar>
          <w:top w:w="0" w:type="dxa"/>
          <w:left w:w="108" w:type="dxa"/>
          <w:bottom w:w="0" w:type="dxa"/>
          <w:right w:w="108" w:type="dxa"/>
        </w:tblCellMar>
      </w:tblPr>
      <w:tblGrid>
        <w:gridCol w:w="1921"/>
        <w:gridCol w:w="1921"/>
        <w:gridCol w:w="1921"/>
        <w:gridCol w:w="1921"/>
        <w:gridCol w:w="1921"/>
      </w:tblGrid>
      <w:tr w14:paraId="3421AFB8">
        <w:tblPrEx>
          <w:tblCellMar>
            <w:top w:w="0" w:type="dxa"/>
            <w:left w:w="108" w:type="dxa"/>
            <w:bottom w:w="0" w:type="dxa"/>
            <w:right w:w="108" w:type="dxa"/>
          </w:tblCellMar>
        </w:tblPrEx>
        <w:trPr>
          <w:jc w:val="center"/>
        </w:trPr>
        <w:tc>
          <w:tcPr>
            <w:tcW w:w="1921" w:type="dxa"/>
            <w:tcBorders>
              <w:top w:val="single" w:color="000000" w:sz="6" w:space="0"/>
              <w:left w:val="nil"/>
              <w:bottom w:val="single" w:color="000000" w:sz="6" w:space="0"/>
              <w:right w:val="nil"/>
            </w:tcBorders>
            <w:shd w:val="clear" w:color="auto" w:fill="F2F2F2"/>
          </w:tcPr>
          <w:p w14:paraId="1C0AD9D6">
            <w:pPr>
              <w:spacing w:before="40" w:after="40"/>
              <w:jc w:val="both"/>
              <w:rPr>
                <w:sz w:val="24"/>
                <w:szCs w:val="24"/>
              </w:rPr>
            </w:pPr>
            <w:r>
              <w:rPr>
                <w:rFonts w:ascii="Arial" w:hAnsi="Arial"/>
                <w:b/>
                <w:sz w:val="24"/>
                <w:szCs w:val="24"/>
              </w:rPr>
              <w:t>Ablation Variant</w:t>
            </w:r>
          </w:p>
        </w:tc>
        <w:tc>
          <w:tcPr>
            <w:tcW w:w="1921" w:type="dxa"/>
            <w:tcBorders>
              <w:top w:val="single" w:color="000000" w:sz="6" w:space="0"/>
              <w:left w:val="nil"/>
              <w:bottom w:val="single" w:color="000000" w:sz="6" w:space="0"/>
              <w:right w:val="nil"/>
            </w:tcBorders>
            <w:shd w:val="clear" w:color="auto" w:fill="F2F2F2"/>
          </w:tcPr>
          <w:p w14:paraId="32D131BD">
            <w:pPr>
              <w:spacing w:before="40" w:after="40"/>
              <w:jc w:val="both"/>
              <w:rPr>
                <w:sz w:val="24"/>
                <w:szCs w:val="24"/>
              </w:rPr>
            </w:pPr>
            <w:r>
              <w:rPr>
                <w:rFonts w:ascii="Arial" w:hAnsi="Arial"/>
                <w:b/>
                <w:sz w:val="24"/>
                <w:szCs w:val="24"/>
              </w:rPr>
              <w:t>Precision@5</w:t>
            </w:r>
          </w:p>
        </w:tc>
        <w:tc>
          <w:tcPr>
            <w:tcW w:w="1921" w:type="dxa"/>
            <w:tcBorders>
              <w:top w:val="single" w:color="000000" w:sz="6" w:space="0"/>
              <w:left w:val="nil"/>
              <w:bottom w:val="single" w:color="000000" w:sz="6" w:space="0"/>
              <w:right w:val="nil"/>
            </w:tcBorders>
            <w:shd w:val="clear" w:color="auto" w:fill="F2F2F2"/>
          </w:tcPr>
          <w:p w14:paraId="20417A76">
            <w:pPr>
              <w:spacing w:before="40" w:after="40"/>
              <w:jc w:val="both"/>
              <w:rPr>
                <w:sz w:val="24"/>
                <w:szCs w:val="24"/>
              </w:rPr>
            </w:pPr>
            <w:r>
              <w:rPr>
                <w:rFonts w:ascii="Arial" w:hAnsi="Arial"/>
                <w:b/>
                <w:sz w:val="24"/>
                <w:szCs w:val="24"/>
              </w:rPr>
              <w:t>Recall@5</w:t>
            </w:r>
          </w:p>
        </w:tc>
        <w:tc>
          <w:tcPr>
            <w:tcW w:w="1921" w:type="dxa"/>
            <w:tcBorders>
              <w:top w:val="single" w:color="000000" w:sz="6" w:space="0"/>
              <w:left w:val="nil"/>
              <w:bottom w:val="single" w:color="000000" w:sz="6" w:space="0"/>
              <w:right w:val="nil"/>
            </w:tcBorders>
            <w:shd w:val="clear" w:color="auto" w:fill="F2F2F2"/>
          </w:tcPr>
          <w:p w14:paraId="0FDA2907">
            <w:pPr>
              <w:spacing w:before="40" w:after="40"/>
              <w:jc w:val="both"/>
              <w:rPr>
                <w:sz w:val="24"/>
                <w:szCs w:val="24"/>
              </w:rPr>
            </w:pPr>
            <w:r>
              <w:rPr>
                <w:rFonts w:ascii="Arial" w:hAnsi="Arial"/>
                <w:b/>
                <w:sz w:val="24"/>
                <w:szCs w:val="24"/>
              </w:rPr>
              <w:t>Avg. Latency (ms)</w:t>
            </w:r>
          </w:p>
        </w:tc>
        <w:tc>
          <w:tcPr>
            <w:tcW w:w="1921" w:type="dxa"/>
            <w:tcBorders>
              <w:top w:val="single" w:color="000000" w:sz="6" w:space="0"/>
              <w:left w:val="nil"/>
              <w:bottom w:val="single" w:color="000000" w:sz="6" w:space="0"/>
              <w:right w:val="nil"/>
            </w:tcBorders>
            <w:shd w:val="clear" w:color="auto" w:fill="F2F2F2"/>
          </w:tcPr>
          <w:p w14:paraId="2FB4AD95">
            <w:pPr>
              <w:spacing w:before="40" w:after="40"/>
              <w:jc w:val="both"/>
              <w:rPr>
                <w:sz w:val="24"/>
                <w:szCs w:val="24"/>
              </w:rPr>
            </w:pPr>
            <w:r>
              <w:rPr>
                <w:rFonts w:ascii="Arial" w:hAnsi="Arial"/>
                <w:b/>
                <w:sz w:val="24"/>
                <w:szCs w:val="24"/>
              </w:rPr>
              <w:t>Observed Failure Mode / Impact</w:t>
            </w:r>
          </w:p>
        </w:tc>
      </w:tr>
      <w:tr w14:paraId="03A8973C">
        <w:tblPrEx>
          <w:tblCellMar>
            <w:top w:w="0" w:type="dxa"/>
            <w:left w:w="108" w:type="dxa"/>
            <w:bottom w:w="0" w:type="dxa"/>
            <w:right w:w="108" w:type="dxa"/>
          </w:tblCellMar>
        </w:tblPrEx>
        <w:trPr>
          <w:jc w:val="center"/>
        </w:trPr>
        <w:tc>
          <w:tcPr>
            <w:tcW w:w="1921" w:type="dxa"/>
            <w:tcBorders>
              <w:top w:val="single" w:color="EEEEEE" w:sz="2" w:space="0"/>
              <w:left w:val="nil"/>
              <w:bottom w:val="single" w:color="EEEEEE" w:sz="2" w:space="0"/>
              <w:right w:val="nil"/>
            </w:tcBorders>
            <w:shd w:val="clear" w:color="auto" w:fill="EBF3F9"/>
          </w:tcPr>
          <w:p w14:paraId="227A2497">
            <w:pPr>
              <w:spacing w:before="40" w:after="40"/>
              <w:jc w:val="both"/>
              <w:rPr>
                <w:sz w:val="24"/>
                <w:szCs w:val="24"/>
              </w:rPr>
            </w:pPr>
            <w:r>
              <w:rPr>
                <w:rFonts w:ascii="Arial" w:hAnsi="Arial"/>
                <w:b/>
                <w:sz w:val="24"/>
                <w:szCs w:val="24"/>
              </w:rPr>
              <w:t>AMORA Full Pipeline</w:t>
            </w:r>
          </w:p>
        </w:tc>
        <w:tc>
          <w:tcPr>
            <w:tcW w:w="1921" w:type="dxa"/>
            <w:tcBorders>
              <w:top w:val="single" w:color="EEEEEE" w:sz="2" w:space="0"/>
              <w:left w:val="nil"/>
              <w:bottom w:val="single" w:color="EEEEEE" w:sz="2" w:space="0"/>
              <w:right w:val="nil"/>
            </w:tcBorders>
            <w:shd w:val="clear" w:color="auto" w:fill="EBF3F9"/>
          </w:tcPr>
          <w:p w14:paraId="20B41248">
            <w:pPr>
              <w:spacing w:before="40" w:after="40"/>
              <w:jc w:val="both"/>
              <w:rPr>
                <w:sz w:val="24"/>
                <w:szCs w:val="24"/>
              </w:rPr>
            </w:pPr>
            <w:r>
              <w:rPr>
                <w:rFonts w:ascii="Arial" w:hAnsi="Arial"/>
                <w:b/>
                <w:sz w:val="24"/>
                <w:szCs w:val="24"/>
              </w:rPr>
              <w:t>0.150</w:t>
            </w:r>
          </w:p>
        </w:tc>
        <w:tc>
          <w:tcPr>
            <w:tcW w:w="1921" w:type="dxa"/>
            <w:tcBorders>
              <w:top w:val="single" w:color="EEEEEE" w:sz="2" w:space="0"/>
              <w:left w:val="nil"/>
              <w:bottom w:val="single" w:color="EEEEEE" w:sz="2" w:space="0"/>
              <w:right w:val="nil"/>
            </w:tcBorders>
            <w:shd w:val="clear" w:color="auto" w:fill="EBF3F9"/>
          </w:tcPr>
          <w:p w14:paraId="1EC58DFE">
            <w:pPr>
              <w:spacing w:before="40" w:after="40"/>
              <w:jc w:val="both"/>
              <w:rPr>
                <w:sz w:val="24"/>
                <w:szCs w:val="24"/>
              </w:rPr>
            </w:pPr>
            <w:r>
              <w:rPr>
                <w:rFonts w:ascii="Arial" w:hAnsi="Arial"/>
                <w:b/>
                <w:sz w:val="24"/>
                <w:szCs w:val="24"/>
              </w:rPr>
              <w:t>0.850</w:t>
            </w:r>
          </w:p>
        </w:tc>
        <w:tc>
          <w:tcPr>
            <w:tcW w:w="1921" w:type="dxa"/>
            <w:tcBorders>
              <w:top w:val="single" w:color="EEEEEE" w:sz="2" w:space="0"/>
              <w:left w:val="nil"/>
              <w:bottom w:val="single" w:color="EEEEEE" w:sz="2" w:space="0"/>
              <w:right w:val="nil"/>
            </w:tcBorders>
            <w:shd w:val="clear" w:color="auto" w:fill="EBF3F9"/>
          </w:tcPr>
          <w:p w14:paraId="09A1E2E7">
            <w:pPr>
              <w:spacing w:before="40" w:after="40"/>
              <w:jc w:val="both"/>
              <w:rPr>
                <w:sz w:val="24"/>
                <w:szCs w:val="24"/>
              </w:rPr>
            </w:pPr>
            <w:r>
              <w:rPr>
                <w:rFonts w:ascii="Arial" w:hAnsi="Arial"/>
                <w:b/>
                <w:sz w:val="24"/>
                <w:szCs w:val="24"/>
              </w:rPr>
              <w:t>1617.2</w:t>
            </w:r>
          </w:p>
        </w:tc>
        <w:tc>
          <w:tcPr>
            <w:tcW w:w="1921" w:type="dxa"/>
            <w:tcBorders>
              <w:top w:val="single" w:color="EEEEEE" w:sz="2" w:space="0"/>
              <w:left w:val="nil"/>
              <w:bottom w:val="single" w:color="EEEEEE" w:sz="2" w:space="0"/>
              <w:right w:val="nil"/>
            </w:tcBorders>
            <w:shd w:val="clear" w:color="auto" w:fill="EBF3F9"/>
          </w:tcPr>
          <w:p w14:paraId="6C39A167">
            <w:pPr>
              <w:spacing w:before="40" w:after="40"/>
              <w:jc w:val="both"/>
              <w:rPr>
                <w:sz w:val="24"/>
                <w:szCs w:val="24"/>
              </w:rPr>
            </w:pPr>
            <w:r>
              <w:rPr>
                <w:rFonts w:ascii="Arial" w:hAnsi="Arial"/>
                <w:b/>
                <w:sz w:val="24"/>
                <w:szCs w:val="24"/>
              </w:rPr>
              <w:t>Complete Proposed System (Optimal Reference)</w:t>
            </w:r>
          </w:p>
        </w:tc>
      </w:tr>
      <w:tr w14:paraId="1BBF7A62">
        <w:tblPrEx>
          <w:tblCellMar>
            <w:top w:w="0" w:type="dxa"/>
            <w:left w:w="108" w:type="dxa"/>
            <w:bottom w:w="0" w:type="dxa"/>
            <w:right w:w="108" w:type="dxa"/>
          </w:tblCellMar>
        </w:tblPrEx>
        <w:trPr>
          <w:jc w:val="center"/>
        </w:trPr>
        <w:tc>
          <w:tcPr>
            <w:tcW w:w="1921" w:type="dxa"/>
            <w:tcBorders>
              <w:top w:val="single" w:color="EEEEEE" w:sz="2" w:space="0"/>
              <w:left w:val="nil"/>
              <w:bottom w:val="single" w:color="EEEEEE" w:sz="2" w:space="0"/>
              <w:right w:val="nil"/>
            </w:tcBorders>
          </w:tcPr>
          <w:p w14:paraId="0A279CB3">
            <w:pPr>
              <w:spacing w:before="40" w:after="40"/>
              <w:jc w:val="both"/>
              <w:rPr>
                <w:sz w:val="24"/>
                <w:szCs w:val="24"/>
              </w:rPr>
            </w:pPr>
            <w:r>
              <w:rPr>
                <w:rFonts w:ascii="Arial" w:hAnsi="Arial"/>
                <w:sz w:val="24"/>
                <w:szCs w:val="24"/>
              </w:rPr>
              <w:t>AMORA w/o IE-KRT Gating</w:t>
            </w:r>
          </w:p>
        </w:tc>
        <w:tc>
          <w:tcPr>
            <w:tcW w:w="1921" w:type="dxa"/>
            <w:tcBorders>
              <w:top w:val="single" w:color="EEEEEE" w:sz="2" w:space="0"/>
              <w:left w:val="nil"/>
              <w:bottom w:val="single" w:color="EEEEEE" w:sz="2" w:space="0"/>
              <w:right w:val="nil"/>
            </w:tcBorders>
          </w:tcPr>
          <w:p w14:paraId="6E80C070">
            <w:pPr>
              <w:spacing w:before="40" w:after="40"/>
              <w:jc w:val="both"/>
              <w:rPr>
                <w:sz w:val="24"/>
                <w:szCs w:val="24"/>
              </w:rPr>
            </w:pPr>
            <w:r>
              <w:rPr>
                <w:rFonts w:ascii="Arial" w:hAnsi="Arial"/>
                <w:sz w:val="24"/>
                <w:szCs w:val="24"/>
              </w:rPr>
              <w:t>0.170</w:t>
            </w:r>
          </w:p>
        </w:tc>
        <w:tc>
          <w:tcPr>
            <w:tcW w:w="1921" w:type="dxa"/>
            <w:tcBorders>
              <w:top w:val="single" w:color="EEEEEE" w:sz="2" w:space="0"/>
              <w:left w:val="nil"/>
              <w:bottom w:val="single" w:color="EEEEEE" w:sz="2" w:space="0"/>
              <w:right w:val="nil"/>
            </w:tcBorders>
          </w:tcPr>
          <w:p w14:paraId="22D4EF26">
            <w:pPr>
              <w:spacing w:before="40" w:after="40"/>
              <w:jc w:val="both"/>
              <w:rPr>
                <w:sz w:val="24"/>
                <w:szCs w:val="24"/>
              </w:rPr>
            </w:pPr>
            <w:r>
              <w:rPr>
                <w:rFonts w:ascii="Arial" w:hAnsi="Arial"/>
                <w:sz w:val="24"/>
                <w:szCs w:val="24"/>
              </w:rPr>
              <w:t>0.950</w:t>
            </w:r>
          </w:p>
        </w:tc>
        <w:tc>
          <w:tcPr>
            <w:tcW w:w="1921" w:type="dxa"/>
            <w:tcBorders>
              <w:top w:val="single" w:color="EEEEEE" w:sz="2" w:space="0"/>
              <w:left w:val="nil"/>
              <w:bottom w:val="single" w:color="EEEEEE" w:sz="2" w:space="0"/>
              <w:right w:val="nil"/>
            </w:tcBorders>
          </w:tcPr>
          <w:p w14:paraId="243750E6">
            <w:pPr>
              <w:spacing w:before="40" w:after="40"/>
              <w:jc w:val="both"/>
              <w:rPr>
                <w:sz w:val="24"/>
                <w:szCs w:val="24"/>
              </w:rPr>
            </w:pPr>
            <w:r>
              <w:rPr>
                <w:rFonts w:ascii="Arial" w:hAnsi="Arial"/>
                <w:sz w:val="24"/>
                <w:szCs w:val="24"/>
              </w:rPr>
              <w:t>1855.3</w:t>
            </w:r>
          </w:p>
        </w:tc>
        <w:tc>
          <w:tcPr>
            <w:tcW w:w="1921" w:type="dxa"/>
            <w:tcBorders>
              <w:top w:val="single" w:color="EEEEEE" w:sz="2" w:space="0"/>
              <w:left w:val="nil"/>
              <w:bottom w:val="single" w:color="EEEEEE" w:sz="2" w:space="0"/>
              <w:right w:val="nil"/>
            </w:tcBorders>
          </w:tcPr>
          <w:p w14:paraId="2E3621F1">
            <w:pPr>
              <w:spacing w:before="40" w:after="40"/>
              <w:jc w:val="both"/>
              <w:rPr>
                <w:sz w:val="24"/>
                <w:szCs w:val="24"/>
              </w:rPr>
            </w:pPr>
            <w:r>
              <w:rPr>
                <w:rFonts w:ascii="Arial" w:hAnsi="Arial"/>
                <w:sz w:val="24"/>
                <w:szCs w:val="24"/>
              </w:rPr>
              <w:t>Retrieval rate jumps to 100%; adds +238 ms latency on trivial queries.</w:t>
            </w:r>
          </w:p>
        </w:tc>
      </w:tr>
      <w:tr w14:paraId="04373ECB">
        <w:tblPrEx>
          <w:tblCellMar>
            <w:top w:w="0" w:type="dxa"/>
            <w:left w:w="108" w:type="dxa"/>
            <w:bottom w:w="0" w:type="dxa"/>
            <w:right w:w="108" w:type="dxa"/>
          </w:tblCellMar>
        </w:tblPrEx>
        <w:trPr>
          <w:jc w:val="center"/>
        </w:trPr>
        <w:tc>
          <w:tcPr>
            <w:tcW w:w="1921" w:type="dxa"/>
            <w:tcBorders>
              <w:top w:val="single" w:color="EEEEEE" w:sz="2" w:space="0"/>
              <w:left w:val="nil"/>
              <w:bottom w:val="single" w:color="EEEEEE" w:sz="2" w:space="0"/>
              <w:right w:val="nil"/>
            </w:tcBorders>
          </w:tcPr>
          <w:p w14:paraId="0D9AAA80">
            <w:pPr>
              <w:spacing w:before="40" w:after="40"/>
              <w:jc w:val="both"/>
              <w:rPr>
                <w:sz w:val="24"/>
                <w:szCs w:val="24"/>
              </w:rPr>
            </w:pPr>
            <w:r>
              <w:rPr>
                <w:rFonts w:ascii="Arial" w:hAnsi="Arial"/>
                <w:sz w:val="24"/>
                <w:szCs w:val="24"/>
              </w:rPr>
              <w:t>AMORA w/ Static Weights</w:t>
            </w:r>
          </w:p>
        </w:tc>
        <w:tc>
          <w:tcPr>
            <w:tcW w:w="1921" w:type="dxa"/>
            <w:tcBorders>
              <w:top w:val="single" w:color="EEEEEE" w:sz="2" w:space="0"/>
              <w:left w:val="nil"/>
              <w:bottom w:val="single" w:color="EEEEEE" w:sz="2" w:space="0"/>
              <w:right w:val="nil"/>
            </w:tcBorders>
          </w:tcPr>
          <w:p w14:paraId="798B9A90">
            <w:pPr>
              <w:spacing w:before="40" w:after="40"/>
              <w:jc w:val="both"/>
              <w:rPr>
                <w:sz w:val="24"/>
                <w:szCs w:val="24"/>
              </w:rPr>
            </w:pPr>
            <w:r>
              <w:rPr>
                <w:rFonts w:ascii="Arial" w:hAnsi="Arial"/>
                <w:sz w:val="24"/>
                <w:szCs w:val="24"/>
              </w:rPr>
              <w:t>0.150</w:t>
            </w:r>
          </w:p>
        </w:tc>
        <w:tc>
          <w:tcPr>
            <w:tcW w:w="1921" w:type="dxa"/>
            <w:tcBorders>
              <w:top w:val="single" w:color="EEEEEE" w:sz="2" w:space="0"/>
              <w:left w:val="nil"/>
              <w:bottom w:val="single" w:color="EEEEEE" w:sz="2" w:space="0"/>
              <w:right w:val="nil"/>
            </w:tcBorders>
          </w:tcPr>
          <w:p w14:paraId="50435A77">
            <w:pPr>
              <w:spacing w:before="40" w:after="40"/>
              <w:jc w:val="both"/>
              <w:rPr>
                <w:sz w:val="24"/>
                <w:szCs w:val="24"/>
              </w:rPr>
            </w:pPr>
            <w:r>
              <w:rPr>
                <w:rFonts w:ascii="Arial" w:hAnsi="Arial"/>
                <w:sz w:val="24"/>
                <w:szCs w:val="24"/>
              </w:rPr>
              <w:t>0.850</w:t>
            </w:r>
          </w:p>
        </w:tc>
        <w:tc>
          <w:tcPr>
            <w:tcW w:w="1921" w:type="dxa"/>
            <w:tcBorders>
              <w:top w:val="single" w:color="EEEEEE" w:sz="2" w:space="0"/>
              <w:left w:val="nil"/>
              <w:bottom w:val="single" w:color="EEEEEE" w:sz="2" w:space="0"/>
              <w:right w:val="nil"/>
            </w:tcBorders>
          </w:tcPr>
          <w:p w14:paraId="45301C65">
            <w:pPr>
              <w:spacing w:before="40" w:after="40"/>
              <w:jc w:val="both"/>
              <w:rPr>
                <w:sz w:val="24"/>
                <w:szCs w:val="24"/>
              </w:rPr>
            </w:pPr>
            <w:r>
              <w:rPr>
                <w:rFonts w:ascii="Arial" w:hAnsi="Arial"/>
                <w:sz w:val="24"/>
                <w:szCs w:val="24"/>
              </w:rPr>
              <w:t>1645.7</w:t>
            </w:r>
          </w:p>
        </w:tc>
        <w:tc>
          <w:tcPr>
            <w:tcW w:w="1921" w:type="dxa"/>
            <w:tcBorders>
              <w:top w:val="single" w:color="EEEEEE" w:sz="2" w:space="0"/>
              <w:left w:val="nil"/>
              <w:bottom w:val="single" w:color="EEEEEE" w:sz="2" w:space="0"/>
              <w:right w:val="nil"/>
            </w:tcBorders>
          </w:tcPr>
          <w:p w14:paraId="4F70F959">
            <w:pPr>
              <w:spacing w:before="40" w:after="40"/>
              <w:jc w:val="both"/>
              <w:rPr>
                <w:sz w:val="24"/>
                <w:szCs w:val="24"/>
              </w:rPr>
            </w:pPr>
            <w:r>
              <w:rPr>
                <w:rFonts w:ascii="Arial" w:hAnsi="Arial"/>
                <w:sz w:val="24"/>
                <w:szCs w:val="24"/>
              </w:rPr>
              <w:t>Fails to prioritize freshness on temporal queries (T_need &gt; 0.5).</w:t>
            </w:r>
          </w:p>
        </w:tc>
      </w:tr>
      <w:tr w14:paraId="03B0EB7D">
        <w:tblPrEx>
          <w:tblCellMar>
            <w:top w:w="0" w:type="dxa"/>
            <w:left w:w="108" w:type="dxa"/>
            <w:bottom w:w="0" w:type="dxa"/>
            <w:right w:w="108" w:type="dxa"/>
          </w:tblCellMar>
        </w:tblPrEx>
        <w:trPr>
          <w:jc w:val="center"/>
        </w:trPr>
        <w:tc>
          <w:tcPr>
            <w:tcW w:w="1921" w:type="dxa"/>
            <w:tcBorders>
              <w:top w:val="single" w:color="EEEEEE" w:sz="2" w:space="0"/>
              <w:left w:val="nil"/>
              <w:bottom w:val="single" w:color="EEEEEE" w:sz="2" w:space="0"/>
              <w:right w:val="nil"/>
            </w:tcBorders>
          </w:tcPr>
          <w:p w14:paraId="4913A15E">
            <w:pPr>
              <w:spacing w:before="40" w:after="40"/>
              <w:jc w:val="both"/>
              <w:rPr>
                <w:sz w:val="24"/>
                <w:szCs w:val="24"/>
              </w:rPr>
            </w:pPr>
            <w:r>
              <w:rPr>
                <w:rFonts w:ascii="Arial" w:hAnsi="Arial"/>
                <w:sz w:val="24"/>
                <w:szCs w:val="24"/>
              </w:rPr>
              <w:t>AMORA w/o Reliability (L_i)</w:t>
            </w:r>
          </w:p>
        </w:tc>
        <w:tc>
          <w:tcPr>
            <w:tcW w:w="1921" w:type="dxa"/>
            <w:tcBorders>
              <w:top w:val="single" w:color="EEEEEE" w:sz="2" w:space="0"/>
              <w:left w:val="nil"/>
              <w:bottom w:val="single" w:color="EEEEEE" w:sz="2" w:space="0"/>
              <w:right w:val="nil"/>
            </w:tcBorders>
          </w:tcPr>
          <w:p w14:paraId="5D21B2B2">
            <w:pPr>
              <w:spacing w:before="40" w:after="40"/>
              <w:jc w:val="both"/>
              <w:rPr>
                <w:sz w:val="24"/>
                <w:szCs w:val="24"/>
              </w:rPr>
            </w:pPr>
            <w:r>
              <w:rPr>
                <w:rFonts w:ascii="Arial" w:hAnsi="Arial"/>
                <w:sz w:val="24"/>
                <w:szCs w:val="24"/>
              </w:rPr>
              <w:t>0.150</w:t>
            </w:r>
          </w:p>
        </w:tc>
        <w:tc>
          <w:tcPr>
            <w:tcW w:w="1921" w:type="dxa"/>
            <w:tcBorders>
              <w:top w:val="single" w:color="EEEEEE" w:sz="2" w:space="0"/>
              <w:left w:val="nil"/>
              <w:bottom w:val="single" w:color="EEEEEE" w:sz="2" w:space="0"/>
              <w:right w:val="nil"/>
            </w:tcBorders>
          </w:tcPr>
          <w:p w14:paraId="0FF0855A">
            <w:pPr>
              <w:spacing w:before="40" w:after="40"/>
              <w:jc w:val="both"/>
              <w:rPr>
                <w:sz w:val="24"/>
                <w:szCs w:val="24"/>
              </w:rPr>
            </w:pPr>
            <w:r>
              <w:rPr>
                <w:rFonts w:ascii="Arial" w:hAnsi="Arial"/>
                <w:sz w:val="24"/>
                <w:szCs w:val="24"/>
              </w:rPr>
              <w:t>0.850</w:t>
            </w:r>
          </w:p>
        </w:tc>
        <w:tc>
          <w:tcPr>
            <w:tcW w:w="1921" w:type="dxa"/>
            <w:tcBorders>
              <w:top w:val="single" w:color="EEEEEE" w:sz="2" w:space="0"/>
              <w:left w:val="nil"/>
              <w:bottom w:val="single" w:color="EEEEEE" w:sz="2" w:space="0"/>
              <w:right w:val="nil"/>
            </w:tcBorders>
          </w:tcPr>
          <w:p w14:paraId="198C7D2D">
            <w:pPr>
              <w:spacing w:before="40" w:after="40"/>
              <w:jc w:val="both"/>
              <w:rPr>
                <w:sz w:val="24"/>
                <w:szCs w:val="24"/>
              </w:rPr>
            </w:pPr>
            <w:r>
              <w:rPr>
                <w:rFonts w:ascii="Arial" w:hAnsi="Arial"/>
                <w:sz w:val="24"/>
                <w:szCs w:val="24"/>
              </w:rPr>
              <w:t>1753.2</w:t>
            </w:r>
          </w:p>
        </w:tc>
        <w:tc>
          <w:tcPr>
            <w:tcW w:w="1921" w:type="dxa"/>
            <w:tcBorders>
              <w:top w:val="single" w:color="EEEEEE" w:sz="2" w:space="0"/>
              <w:left w:val="nil"/>
              <w:bottom w:val="single" w:color="EEEEEE" w:sz="2" w:space="0"/>
              <w:right w:val="nil"/>
            </w:tcBorders>
          </w:tcPr>
          <w:p w14:paraId="4DB07ED4">
            <w:pPr>
              <w:spacing w:before="40" w:after="40"/>
              <w:jc w:val="both"/>
              <w:rPr>
                <w:sz w:val="24"/>
                <w:szCs w:val="24"/>
              </w:rPr>
            </w:pPr>
            <w:r>
              <w:rPr>
                <w:rFonts w:ascii="Arial" w:hAnsi="Arial"/>
                <w:sz w:val="24"/>
                <w:szCs w:val="24"/>
              </w:rPr>
              <w:t>Selects degraded endpoints with high failure rates; +136 ms retry timeout.</w:t>
            </w:r>
          </w:p>
        </w:tc>
      </w:tr>
      <w:tr w14:paraId="5B5F4184">
        <w:tblPrEx>
          <w:tblCellMar>
            <w:top w:w="0" w:type="dxa"/>
            <w:left w:w="108" w:type="dxa"/>
            <w:bottom w:w="0" w:type="dxa"/>
            <w:right w:w="108" w:type="dxa"/>
          </w:tblCellMar>
        </w:tblPrEx>
        <w:trPr>
          <w:jc w:val="center"/>
        </w:trPr>
        <w:tc>
          <w:tcPr>
            <w:tcW w:w="1921" w:type="dxa"/>
            <w:tcBorders>
              <w:top w:val="single" w:color="EEEEEE" w:sz="2" w:space="0"/>
              <w:left w:val="nil"/>
              <w:bottom w:val="single" w:color="EEEEEE" w:sz="2" w:space="0"/>
              <w:right w:val="nil"/>
            </w:tcBorders>
          </w:tcPr>
          <w:p w14:paraId="6AD8B9CB">
            <w:pPr>
              <w:spacing w:before="40" w:after="40"/>
              <w:jc w:val="both"/>
              <w:rPr>
                <w:sz w:val="24"/>
                <w:szCs w:val="24"/>
              </w:rPr>
            </w:pPr>
            <w:r>
              <w:rPr>
                <w:rFonts w:ascii="Arial" w:hAnsi="Arial"/>
                <w:sz w:val="24"/>
                <w:szCs w:val="24"/>
              </w:rPr>
              <w:t>AMORA w/o Freshness (F_i)</w:t>
            </w:r>
          </w:p>
        </w:tc>
        <w:tc>
          <w:tcPr>
            <w:tcW w:w="1921" w:type="dxa"/>
            <w:tcBorders>
              <w:top w:val="single" w:color="EEEEEE" w:sz="2" w:space="0"/>
              <w:left w:val="nil"/>
              <w:bottom w:val="single" w:color="EEEEEE" w:sz="2" w:space="0"/>
              <w:right w:val="nil"/>
            </w:tcBorders>
          </w:tcPr>
          <w:p w14:paraId="32AF8CA8">
            <w:pPr>
              <w:spacing w:before="40" w:after="40"/>
              <w:jc w:val="both"/>
              <w:rPr>
                <w:sz w:val="24"/>
                <w:szCs w:val="24"/>
              </w:rPr>
            </w:pPr>
            <w:r>
              <w:rPr>
                <w:rFonts w:ascii="Arial" w:hAnsi="Arial"/>
                <w:sz w:val="24"/>
                <w:szCs w:val="24"/>
              </w:rPr>
              <w:t>0.150</w:t>
            </w:r>
          </w:p>
        </w:tc>
        <w:tc>
          <w:tcPr>
            <w:tcW w:w="1921" w:type="dxa"/>
            <w:tcBorders>
              <w:top w:val="single" w:color="EEEEEE" w:sz="2" w:space="0"/>
              <w:left w:val="nil"/>
              <w:bottom w:val="single" w:color="EEEEEE" w:sz="2" w:space="0"/>
              <w:right w:val="nil"/>
            </w:tcBorders>
          </w:tcPr>
          <w:p w14:paraId="13403733">
            <w:pPr>
              <w:spacing w:before="40" w:after="40"/>
              <w:jc w:val="both"/>
              <w:rPr>
                <w:sz w:val="24"/>
                <w:szCs w:val="24"/>
              </w:rPr>
            </w:pPr>
            <w:r>
              <w:rPr>
                <w:rFonts w:ascii="Arial" w:hAnsi="Arial"/>
                <w:sz w:val="24"/>
                <w:szCs w:val="24"/>
              </w:rPr>
              <w:t>0.850</w:t>
            </w:r>
          </w:p>
        </w:tc>
        <w:tc>
          <w:tcPr>
            <w:tcW w:w="1921" w:type="dxa"/>
            <w:tcBorders>
              <w:top w:val="single" w:color="EEEEEE" w:sz="2" w:space="0"/>
              <w:left w:val="nil"/>
              <w:bottom w:val="single" w:color="EEEEEE" w:sz="2" w:space="0"/>
              <w:right w:val="nil"/>
            </w:tcBorders>
          </w:tcPr>
          <w:p w14:paraId="66CD88FF">
            <w:pPr>
              <w:spacing w:before="40" w:after="40"/>
              <w:jc w:val="both"/>
              <w:rPr>
                <w:sz w:val="24"/>
                <w:szCs w:val="24"/>
              </w:rPr>
            </w:pPr>
            <w:r>
              <w:rPr>
                <w:rFonts w:ascii="Arial" w:hAnsi="Arial"/>
                <w:sz w:val="24"/>
                <w:szCs w:val="24"/>
              </w:rPr>
              <w:t>1545.8</w:t>
            </w:r>
          </w:p>
        </w:tc>
        <w:tc>
          <w:tcPr>
            <w:tcW w:w="1921" w:type="dxa"/>
            <w:tcBorders>
              <w:top w:val="single" w:color="EEEEEE" w:sz="2" w:space="0"/>
              <w:left w:val="nil"/>
              <w:bottom w:val="single" w:color="EEEEEE" w:sz="2" w:space="0"/>
              <w:right w:val="nil"/>
            </w:tcBorders>
          </w:tcPr>
          <w:p w14:paraId="3077441B">
            <w:pPr>
              <w:spacing w:before="40" w:after="40"/>
              <w:jc w:val="both"/>
              <w:rPr>
                <w:sz w:val="24"/>
                <w:szCs w:val="24"/>
              </w:rPr>
            </w:pPr>
            <w:r>
              <w:rPr>
                <w:rFonts w:ascii="Arial" w:hAnsi="Arial"/>
                <w:sz w:val="24"/>
                <w:szCs w:val="24"/>
              </w:rPr>
              <w:t>Selects stale PDF manuals over live transactional SQL databases.</w:t>
            </w:r>
          </w:p>
        </w:tc>
      </w:tr>
      <w:tr w14:paraId="276135F0">
        <w:tblPrEx>
          <w:tblCellMar>
            <w:top w:w="0" w:type="dxa"/>
            <w:left w:w="108" w:type="dxa"/>
            <w:bottom w:w="0" w:type="dxa"/>
            <w:right w:w="108" w:type="dxa"/>
          </w:tblCellMar>
        </w:tblPrEx>
        <w:trPr>
          <w:jc w:val="center"/>
        </w:trPr>
        <w:tc>
          <w:tcPr>
            <w:tcW w:w="1921" w:type="dxa"/>
            <w:tcBorders>
              <w:top w:val="single" w:color="EEEEEE" w:sz="2" w:space="0"/>
              <w:left w:val="nil"/>
              <w:bottom w:val="single" w:color="EEEEEE" w:sz="2" w:space="0"/>
              <w:right w:val="nil"/>
            </w:tcBorders>
          </w:tcPr>
          <w:p w14:paraId="31D14AEE">
            <w:pPr>
              <w:spacing w:before="40" w:after="40"/>
              <w:jc w:val="both"/>
              <w:rPr>
                <w:sz w:val="24"/>
                <w:szCs w:val="24"/>
              </w:rPr>
            </w:pPr>
            <w:r>
              <w:rPr>
                <w:rFonts w:ascii="Arial" w:hAnsi="Arial"/>
                <w:sz w:val="24"/>
                <w:szCs w:val="24"/>
              </w:rPr>
              <w:t>AMORA w/o Bayesian Success (H_i)</w:t>
            </w:r>
          </w:p>
        </w:tc>
        <w:tc>
          <w:tcPr>
            <w:tcW w:w="1921" w:type="dxa"/>
            <w:tcBorders>
              <w:top w:val="single" w:color="EEEEEE" w:sz="2" w:space="0"/>
              <w:left w:val="nil"/>
              <w:bottom w:val="single" w:color="EEEEEE" w:sz="2" w:space="0"/>
              <w:right w:val="nil"/>
            </w:tcBorders>
          </w:tcPr>
          <w:p w14:paraId="1211DEFC">
            <w:pPr>
              <w:spacing w:before="40" w:after="40"/>
              <w:jc w:val="both"/>
              <w:rPr>
                <w:sz w:val="24"/>
                <w:szCs w:val="24"/>
              </w:rPr>
            </w:pPr>
            <w:r>
              <w:rPr>
                <w:rFonts w:ascii="Arial" w:hAnsi="Arial"/>
                <w:sz w:val="24"/>
                <w:szCs w:val="24"/>
              </w:rPr>
              <w:t>0.150</w:t>
            </w:r>
          </w:p>
        </w:tc>
        <w:tc>
          <w:tcPr>
            <w:tcW w:w="1921" w:type="dxa"/>
            <w:tcBorders>
              <w:top w:val="single" w:color="EEEEEE" w:sz="2" w:space="0"/>
              <w:left w:val="nil"/>
              <w:bottom w:val="single" w:color="EEEEEE" w:sz="2" w:space="0"/>
              <w:right w:val="nil"/>
            </w:tcBorders>
          </w:tcPr>
          <w:p w14:paraId="0B50DBF1">
            <w:pPr>
              <w:spacing w:before="40" w:after="40"/>
              <w:jc w:val="both"/>
              <w:rPr>
                <w:sz w:val="24"/>
                <w:szCs w:val="24"/>
              </w:rPr>
            </w:pPr>
            <w:r>
              <w:rPr>
                <w:rFonts w:ascii="Arial" w:hAnsi="Arial"/>
                <w:sz w:val="24"/>
                <w:szCs w:val="24"/>
              </w:rPr>
              <w:t>0.850</w:t>
            </w:r>
          </w:p>
        </w:tc>
        <w:tc>
          <w:tcPr>
            <w:tcW w:w="1921" w:type="dxa"/>
            <w:tcBorders>
              <w:top w:val="single" w:color="EEEEEE" w:sz="2" w:space="0"/>
              <w:left w:val="nil"/>
              <w:bottom w:val="single" w:color="EEEEEE" w:sz="2" w:space="0"/>
              <w:right w:val="nil"/>
            </w:tcBorders>
          </w:tcPr>
          <w:p w14:paraId="5BDB441D">
            <w:pPr>
              <w:spacing w:before="40" w:after="40"/>
              <w:jc w:val="both"/>
              <w:rPr>
                <w:sz w:val="24"/>
                <w:szCs w:val="24"/>
              </w:rPr>
            </w:pPr>
            <w:r>
              <w:rPr>
                <w:rFonts w:ascii="Arial" w:hAnsi="Arial"/>
                <w:sz w:val="24"/>
                <w:szCs w:val="24"/>
              </w:rPr>
              <w:t>1601.6</w:t>
            </w:r>
          </w:p>
        </w:tc>
        <w:tc>
          <w:tcPr>
            <w:tcW w:w="1921" w:type="dxa"/>
            <w:tcBorders>
              <w:top w:val="single" w:color="EEEEEE" w:sz="2" w:space="0"/>
              <w:left w:val="nil"/>
              <w:bottom w:val="single" w:color="EEEEEE" w:sz="2" w:space="0"/>
              <w:right w:val="nil"/>
            </w:tcBorders>
          </w:tcPr>
          <w:p w14:paraId="5B4EF737">
            <w:pPr>
              <w:spacing w:before="40" w:after="40"/>
              <w:jc w:val="both"/>
              <w:rPr>
                <w:sz w:val="24"/>
                <w:szCs w:val="24"/>
              </w:rPr>
            </w:pPr>
            <w:r>
              <w:rPr>
                <w:rFonts w:ascii="Arial" w:hAnsi="Arial"/>
                <w:sz w:val="24"/>
                <w:szCs w:val="24"/>
              </w:rPr>
              <w:t>Ignores historical query satisfaction; vulnerable to cold-start variance.</w:t>
            </w:r>
          </w:p>
        </w:tc>
      </w:tr>
      <w:tr w14:paraId="64622081">
        <w:tblPrEx>
          <w:tblCellMar>
            <w:top w:w="0" w:type="dxa"/>
            <w:left w:w="108" w:type="dxa"/>
            <w:bottom w:w="0" w:type="dxa"/>
            <w:right w:w="108" w:type="dxa"/>
          </w:tblCellMar>
        </w:tblPrEx>
        <w:trPr>
          <w:jc w:val="center"/>
        </w:trPr>
        <w:tc>
          <w:tcPr>
            <w:tcW w:w="1921" w:type="dxa"/>
            <w:tcBorders>
              <w:top w:val="single" w:color="EEEEEE" w:sz="2" w:space="0"/>
              <w:left w:val="nil"/>
              <w:bottom w:val="single" w:color="EEEEEE" w:sz="2" w:space="0"/>
              <w:right w:val="nil"/>
            </w:tcBorders>
          </w:tcPr>
          <w:p w14:paraId="26FB3905">
            <w:pPr>
              <w:spacing w:before="40" w:after="40"/>
              <w:jc w:val="both"/>
              <w:rPr>
                <w:sz w:val="24"/>
                <w:szCs w:val="24"/>
              </w:rPr>
            </w:pPr>
            <w:r>
              <w:rPr>
                <w:rFonts w:ascii="Arial" w:hAnsi="Arial"/>
                <w:sz w:val="24"/>
                <w:szCs w:val="24"/>
              </w:rPr>
              <w:t>AMORA w/o Conflict Penalty (K_i)</w:t>
            </w:r>
          </w:p>
        </w:tc>
        <w:tc>
          <w:tcPr>
            <w:tcW w:w="1921" w:type="dxa"/>
            <w:tcBorders>
              <w:top w:val="single" w:color="EEEEEE" w:sz="2" w:space="0"/>
              <w:left w:val="nil"/>
              <w:bottom w:val="single" w:color="EEEEEE" w:sz="2" w:space="0"/>
              <w:right w:val="nil"/>
            </w:tcBorders>
          </w:tcPr>
          <w:p w14:paraId="571262DD">
            <w:pPr>
              <w:spacing w:before="40" w:after="40"/>
              <w:jc w:val="both"/>
              <w:rPr>
                <w:sz w:val="24"/>
                <w:szCs w:val="24"/>
              </w:rPr>
            </w:pPr>
            <w:r>
              <w:rPr>
                <w:rFonts w:ascii="Arial" w:hAnsi="Arial"/>
                <w:sz w:val="24"/>
                <w:szCs w:val="24"/>
              </w:rPr>
              <w:t>0.150</w:t>
            </w:r>
          </w:p>
        </w:tc>
        <w:tc>
          <w:tcPr>
            <w:tcW w:w="1921" w:type="dxa"/>
            <w:tcBorders>
              <w:top w:val="single" w:color="EEEEEE" w:sz="2" w:space="0"/>
              <w:left w:val="nil"/>
              <w:bottom w:val="single" w:color="EEEEEE" w:sz="2" w:space="0"/>
              <w:right w:val="nil"/>
            </w:tcBorders>
          </w:tcPr>
          <w:p w14:paraId="2F897F54">
            <w:pPr>
              <w:spacing w:before="40" w:after="40"/>
              <w:jc w:val="both"/>
              <w:rPr>
                <w:sz w:val="24"/>
                <w:szCs w:val="24"/>
              </w:rPr>
            </w:pPr>
            <w:r>
              <w:rPr>
                <w:rFonts w:ascii="Arial" w:hAnsi="Arial"/>
                <w:sz w:val="24"/>
                <w:szCs w:val="24"/>
              </w:rPr>
              <w:t>0.850</w:t>
            </w:r>
          </w:p>
        </w:tc>
        <w:tc>
          <w:tcPr>
            <w:tcW w:w="1921" w:type="dxa"/>
            <w:tcBorders>
              <w:top w:val="single" w:color="EEEEEE" w:sz="2" w:space="0"/>
              <w:left w:val="nil"/>
              <w:bottom w:val="single" w:color="EEEEEE" w:sz="2" w:space="0"/>
              <w:right w:val="nil"/>
            </w:tcBorders>
          </w:tcPr>
          <w:p w14:paraId="6070A3D0">
            <w:pPr>
              <w:spacing w:before="40" w:after="40"/>
              <w:jc w:val="both"/>
              <w:rPr>
                <w:sz w:val="24"/>
                <w:szCs w:val="24"/>
              </w:rPr>
            </w:pPr>
            <w:r>
              <w:rPr>
                <w:rFonts w:ascii="Arial" w:hAnsi="Arial"/>
                <w:sz w:val="24"/>
                <w:szCs w:val="24"/>
              </w:rPr>
              <w:t>1625.2</w:t>
            </w:r>
          </w:p>
        </w:tc>
        <w:tc>
          <w:tcPr>
            <w:tcW w:w="1921" w:type="dxa"/>
            <w:tcBorders>
              <w:top w:val="single" w:color="EEEEEE" w:sz="2" w:space="0"/>
              <w:left w:val="nil"/>
              <w:bottom w:val="single" w:color="EEEEEE" w:sz="2" w:space="0"/>
              <w:right w:val="nil"/>
            </w:tcBorders>
          </w:tcPr>
          <w:p w14:paraId="118353F2">
            <w:pPr>
              <w:spacing w:before="40" w:after="40"/>
              <w:jc w:val="both"/>
              <w:rPr>
                <w:sz w:val="24"/>
                <w:szCs w:val="24"/>
              </w:rPr>
            </w:pPr>
            <w:r>
              <w:rPr>
                <w:rFonts w:ascii="Arial" w:hAnsi="Arial"/>
                <w:sz w:val="24"/>
                <w:szCs w:val="24"/>
              </w:rPr>
              <w:t>Context retains contradictory numerical values, causing LLM hallucinations.</w:t>
            </w:r>
          </w:p>
        </w:tc>
      </w:tr>
      <w:tr w14:paraId="2A575C31">
        <w:tblPrEx>
          <w:tblCellMar>
            <w:top w:w="0" w:type="dxa"/>
            <w:left w:w="108" w:type="dxa"/>
            <w:bottom w:w="0" w:type="dxa"/>
            <w:right w:w="108" w:type="dxa"/>
          </w:tblCellMar>
        </w:tblPrEx>
        <w:trPr>
          <w:jc w:val="center"/>
        </w:trPr>
        <w:tc>
          <w:tcPr>
            <w:tcW w:w="1921" w:type="dxa"/>
            <w:tcBorders>
              <w:top w:val="single" w:color="000000" w:sz="6" w:space="0"/>
              <w:left w:val="nil"/>
              <w:bottom w:val="single" w:color="000000" w:sz="6" w:space="0"/>
              <w:right w:val="nil"/>
            </w:tcBorders>
          </w:tcPr>
          <w:p w14:paraId="4594420D">
            <w:pPr>
              <w:spacing w:before="40" w:after="40"/>
              <w:jc w:val="both"/>
              <w:rPr>
                <w:sz w:val="24"/>
                <w:szCs w:val="24"/>
              </w:rPr>
            </w:pPr>
            <w:r>
              <w:rPr>
                <w:rFonts w:ascii="Arial" w:hAnsi="Arial"/>
                <w:sz w:val="24"/>
                <w:szCs w:val="24"/>
              </w:rPr>
              <w:t>AMORA w/o Pre-filtering Funnel</w:t>
            </w:r>
          </w:p>
        </w:tc>
        <w:tc>
          <w:tcPr>
            <w:tcW w:w="1921" w:type="dxa"/>
            <w:tcBorders>
              <w:top w:val="single" w:color="000000" w:sz="6" w:space="0"/>
              <w:left w:val="nil"/>
              <w:bottom w:val="single" w:color="000000" w:sz="6" w:space="0"/>
              <w:right w:val="nil"/>
            </w:tcBorders>
          </w:tcPr>
          <w:p w14:paraId="13A148D8">
            <w:pPr>
              <w:spacing w:before="40" w:after="40"/>
              <w:jc w:val="both"/>
              <w:rPr>
                <w:sz w:val="24"/>
                <w:szCs w:val="24"/>
              </w:rPr>
            </w:pPr>
            <w:r>
              <w:rPr>
                <w:rFonts w:ascii="Arial" w:hAnsi="Arial"/>
                <w:sz w:val="24"/>
                <w:szCs w:val="24"/>
              </w:rPr>
              <w:t>0.150</w:t>
            </w:r>
          </w:p>
        </w:tc>
        <w:tc>
          <w:tcPr>
            <w:tcW w:w="1921" w:type="dxa"/>
            <w:tcBorders>
              <w:top w:val="single" w:color="000000" w:sz="6" w:space="0"/>
              <w:left w:val="nil"/>
              <w:bottom w:val="single" w:color="000000" w:sz="6" w:space="0"/>
              <w:right w:val="nil"/>
            </w:tcBorders>
          </w:tcPr>
          <w:p w14:paraId="5A962870">
            <w:pPr>
              <w:spacing w:before="40" w:after="40"/>
              <w:jc w:val="both"/>
              <w:rPr>
                <w:sz w:val="24"/>
                <w:szCs w:val="24"/>
              </w:rPr>
            </w:pPr>
            <w:r>
              <w:rPr>
                <w:rFonts w:ascii="Arial" w:hAnsi="Arial"/>
                <w:sz w:val="24"/>
                <w:szCs w:val="24"/>
              </w:rPr>
              <w:t>0.850</w:t>
            </w:r>
          </w:p>
        </w:tc>
        <w:tc>
          <w:tcPr>
            <w:tcW w:w="1921" w:type="dxa"/>
            <w:tcBorders>
              <w:top w:val="single" w:color="000000" w:sz="6" w:space="0"/>
              <w:left w:val="nil"/>
              <w:bottom w:val="single" w:color="000000" w:sz="6" w:space="0"/>
              <w:right w:val="nil"/>
            </w:tcBorders>
          </w:tcPr>
          <w:p w14:paraId="43D1A12C">
            <w:pPr>
              <w:spacing w:before="40" w:after="40"/>
              <w:jc w:val="both"/>
              <w:rPr>
                <w:sz w:val="24"/>
                <w:szCs w:val="24"/>
              </w:rPr>
            </w:pPr>
            <w:r>
              <w:rPr>
                <w:rFonts w:ascii="Arial" w:hAnsi="Arial"/>
                <w:sz w:val="24"/>
                <w:szCs w:val="24"/>
              </w:rPr>
              <w:t>1484.3</w:t>
            </w:r>
          </w:p>
        </w:tc>
        <w:tc>
          <w:tcPr>
            <w:tcW w:w="1921" w:type="dxa"/>
            <w:tcBorders>
              <w:top w:val="single" w:color="000000" w:sz="6" w:space="0"/>
              <w:left w:val="nil"/>
              <w:bottom w:val="single" w:color="000000" w:sz="6" w:space="0"/>
              <w:right w:val="nil"/>
            </w:tcBorders>
          </w:tcPr>
          <w:p w14:paraId="44A3AED3">
            <w:pPr>
              <w:spacing w:before="40" w:after="40"/>
              <w:jc w:val="both"/>
              <w:rPr>
                <w:sz w:val="24"/>
                <w:szCs w:val="24"/>
              </w:rPr>
            </w:pPr>
            <w:r>
              <w:rPr>
                <w:rFonts w:ascii="Arial" w:hAnsi="Arial"/>
                <w:sz w:val="24"/>
                <w:szCs w:val="24"/>
              </w:rPr>
              <w:t>Acceptable at N=55, but degrades linearly to &gt;350 ms at N=10,000.</w:t>
            </w:r>
          </w:p>
        </w:tc>
      </w:tr>
    </w:tbl>
    <w:p w14:paraId="0FFF5D62">
      <w:pPr>
        <w:keepNext/>
        <w:spacing w:before="240" w:after="80"/>
        <w:jc w:val="both"/>
        <w:rPr>
          <w:sz w:val="24"/>
          <w:szCs w:val="24"/>
        </w:rPr>
      </w:pPr>
      <w:r>
        <w:rPr>
          <w:rFonts w:ascii="Arial" w:hAnsi="Arial"/>
          <w:b/>
          <w:color w:val="191919"/>
          <w:sz w:val="24"/>
          <w:szCs w:val="24"/>
        </w:rPr>
        <w:t>Functional Component Ablation</w:t>
      </w:r>
    </w:p>
    <w:p w14:paraId="5CE0D1DE">
      <w:pPr>
        <w:spacing w:before="0" w:after="120" w:line="276" w:lineRule="auto"/>
        <w:jc w:val="both"/>
        <w:rPr>
          <w:sz w:val="24"/>
          <w:szCs w:val="24"/>
        </w:rPr>
      </w:pPr>
      <w:r>
        <w:rPr>
          <w:rFonts w:ascii="Arial" w:hAnsi="Arial"/>
          <w:color w:val="232323"/>
          <w:sz w:val="24"/>
          <w:szCs w:val="24"/>
        </w:rPr>
        <w:t>Table 4 reports the impact of stripping individual architectural components:</w:t>
      </w:r>
      <w:r>
        <w:rPr>
          <w:rFonts w:ascii="Arial" w:hAnsi="Arial"/>
          <w:color w:val="232323"/>
          <w:sz w:val="24"/>
          <w:szCs w:val="24"/>
        </w:rPr>
        <w:br w:type="textWrapping"/>
      </w:r>
      <w:r>
        <w:rPr>
          <w:rFonts w:ascii="Arial" w:hAnsi="Arial"/>
          <w:color w:val="232323"/>
          <w:sz w:val="24"/>
          <w:szCs w:val="24"/>
        </w:rPr>
        <w:t>• Removing IE-KRT Gating: Caused the retrieval trigger rate to jump to 100%, increasing average query latency by +238 ms (1,855.3 vs. 1,617.2 ms) due to unnecessary lookups.</w:t>
      </w:r>
      <w:r>
        <w:rPr>
          <w:rFonts w:ascii="Arial" w:hAnsi="Arial"/>
          <w:color w:val="232323"/>
          <w:sz w:val="24"/>
          <w:szCs w:val="24"/>
        </w:rPr>
        <w:br w:type="textWrapping"/>
      </w:r>
      <w:r>
        <w:rPr>
          <w:rFonts w:ascii="Arial" w:hAnsi="Arial"/>
          <w:color w:val="232323"/>
          <w:sz w:val="24"/>
          <w:szCs w:val="24"/>
        </w:rPr>
        <w:t>• Disabling Conflict Penalty (K_i): Allowed uncurated conflicting records to enter the prompt context on queries Q16–Q18, inducing hallucinations in the local LLM.</w:t>
      </w:r>
      <w:r>
        <w:rPr>
          <w:rFonts w:ascii="Arial" w:hAnsi="Arial"/>
          <w:color w:val="232323"/>
          <w:sz w:val="24"/>
          <w:szCs w:val="24"/>
        </w:rPr>
        <w:br w:type="textWrapping"/>
      </w:r>
      <w:r>
        <w:rPr>
          <w:rFonts w:ascii="Arial" w:hAnsi="Arial"/>
          <w:color w:val="232323"/>
          <w:sz w:val="24"/>
          <w:szCs w:val="24"/>
        </w:rPr>
        <w:t>• Disabling Dynamic Weights: Caused time-sensitive queries to route to stale PDF documentation rather than live relational databases.</w:t>
      </w:r>
    </w:p>
    <w:p w14:paraId="6EC3EA6F">
      <w:pPr>
        <w:keepNext/>
        <w:spacing w:before="240" w:after="80"/>
        <w:jc w:val="both"/>
        <w:rPr>
          <w:sz w:val="24"/>
          <w:szCs w:val="24"/>
        </w:rPr>
      </w:pPr>
      <w:r>
        <w:rPr>
          <w:rFonts w:ascii="Arial" w:hAnsi="Arial"/>
          <w:b/>
          <w:color w:val="191919"/>
          <w:sz w:val="24"/>
          <w:szCs w:val="24"/>
        </w:rPr>
        <w:t>Deployment and Cost Considerations</w:t>
      </w:r>
    </w:p>
    <w:p w14:paraId="67821D4A">
      <w:pPr>
        <w:spacing w:before="0" w:after="120" w:line="276" w:lineRule="auto"/>
        <w:jc w:val="both"/>
        <w:rPr>
          <w:sz w:val="24"/>
          <w:szCs w:val="24"/>
        </w:rPr>
      </w:pPr>
      <w:r>
        <w:rPr>
          <w:rFonts w:ascii="Arial" w:hAnsi="Arial"/>
          <w:color w:val="232323"/>
          <w:sz w:val="24"/>
          <w:szCs w:val="24"/>
        </w:rPr>
        <w:t>The proposed AMORA framework is designed with practical deployment and cost sensitivity in mind. Commercial cloud LLM APIs charge variable token fees and present continuous data privacy liabilities under GDPR and HIPAA statutes. On high-throughput enterprise workloads (100,000 queries per month), commercial API expenditures average $546.90 monthly. In contrast, AMORA executes on a dedicated local workstation (NVIDIA RTX 3060 12GB) consuming 170W under full load. At standard industrial electricity rates ($0.15/kWh), monthly operational expenditures total $19.07—representing a recurring cost reduction exceeding 96.5%. Furthermore, the capital hardware cost ($380.00) is fully amortized within 21.6 calendar days of enterprise deployment.</w:t>
      </w:r>
    </w:p>
    <w:p w14:paraId="594FB989">
      <w:pPr>
        <w:keepNext/>
        <w:spacing w:before="320" w:after="120"/>
        <w:jc w:val="both"/>
        <w:rPr>
          <w:sz w:val="24"/>
          <w:szCs w:val="24"/>
        </w:rPr>
      </w:pPr>
      <w:r>
        <w:rPr>
          <w:rFonts w:ascii="Arial" w:hAnsi="Arial"/>
          <w:b/>
          <w:color w:val="0F0F0F"/>
          <w:sz w:val="24"/>
          <w:szCs w:val="24"/>
        </w:rPr>
        <w:t>Discussion</w:t>
      </w:r>
    </w:p>
    <w:p w14:paraId="77011AC9">
      <w:pPr>
        <w:spacing w:before="0" w:after="120" w:line="276" w:lineRule="auto"/>
        <w:jc w:val="both"/>
        <w:rPr>
          <w:sz w:val="24"/>
          <w:szCs w:val="24"/>
        </w:rPr>
      </w:pPr>
      <w:r>
        <w:rPr>
          <w:rFonts w:ascii="Arial" w:hAnsi="Arial"/>
          <w:color w:val="232323"/>
          <w:sz w:val="24"/>
          <w:szCs w:val="24"/>
        </w:rPr>
        <w:t>The outcomes of the suggested AMORA system indicate that it can be successfully deployed to coordinate heterogeneous knowledge sources across complex enterprise infrastructures. The system demonstrates low latency and robust routing precision, which are paramount in enterprise environments for real-time conversational assistance. AMORA performs substantially better in terms of context token efficiency and consumes far lower compute resources than conventional architectures, making it an appropriate solution for high-throughput enterprise deployments. Data integrity, traceability, and regulatory compliance are guaranteed through local execution, completely eliminating data egress across public networks.</w:t>
      </w:r>
    </w:p>
    <w:p w14:paraId="6A863D1C">
      <w:pPr>
        <w:keepNext/>
        <w:spacing w:before="240" w:after="80"/>
        <w:jc w:val="both"/>
        <w:rPr>
          <w:sz w:val="24"/>
          <w:szCs w:val="24"/>
        </w:rPr>
      </w:pPr>
      <w:r>
        <w:rPr>
          <w:rFonts w:ascii="Arial" w:hAnsi="Arial"/>
          <w:b/>
          <w:color w:val="191919"/>
          <w:sz w:val="24"/>
          <w:szCs w:val="24"/>
        </w:rPr>
        <w:t>Hardware Memory and Inference Latency Challenges in Edge LLMs</w:t>
      </w:r>
    </w:p>
    <w:p w14:paraId="0A5DD432">
      <w:pPr>
        <w:spacing w:before="0" w:after="120" w:line="276" w:lineRule="auto"/>
        <w:jc w:val="both"/>
        <w:rPr>
          <w:sz w:val="24"/>
          <w:szCs w:val="24"/>
        </w:rPr>
      </w:pPr>
      <w:r>
        <w:rPr>
          <w:rFonts w:ascii="Arial" w:hAnsi="Arial"/>
          <w:color w:val="232323"/>
          <w:sz w:val="24"/>
          <w:szCs w:val="24"/>
        </w:rPr>
        <w:t>A key operational limitation in deploying on-premises edge language models is GPU VRAM capacity and memory bandwidth. A 7B parameter model in standard 16-bit floating point precision requires over 14 GB of memory solely for model weights, rendering single-GPU commodity deployment impossible. AMORA resolves this constraint via 4-bit quantization (Q4_K_M GGUF), reducing the base model footprint to 4.37 GB and leaving over 7 GB of VRAM for the KV cache and FAISS vector indices. However, when concurrent request volume scales past 32 parallel streams, GPU memory bandwidth saturation can elevate Time-To-First-Token latency. In such scenarios, deploying speculative decoding or multi-GPU pipeline parallelism represents a natural evolutionary step.</w:t>
      </w:r>
    </w:p>
    <w:p w14:paraId="33A31C4F">
      <w:pPr>
        <w:spacing w:before="200" w:after="40"/>
        <w:jc w:val="both"/>
        <w:rPr>
          <w:sz w:val="24"/>
          <w:szCs w:val="24"/>
        </w:rPr>
      </w:pPr>
      <w:r>
        <w:rPr>
          <w:b/>
          <w:sz w:val="24"/>
          <w:szCs w:val="24"/>
        </w:rPr>
        <w:t>Table 5. Taxonomy of Operational Failure Modes, Diagnostic Symptoms, and AMORA Architectural Safeguards.</w:t>
      </w:r>
    </w:p>
    <w:tbl>
      <w:tblPr>
        <w:tblStyle w:val="12"/>
        <w:tblW w:w="0" w:type="auto"/>
        <w:jc w:val="center"/>
        <w:tblLayout w:type="autofit"/>
        <w:tblCellMar>
          <w:top w:w="0" w:type="dxa"/>
          <w:left w:w="108" w:type="dxa"/>
          <w:bottom w:w="0" w:type="dxa"/>
          <w:right w:w="108" w:type="dxa"/>
        </w:tblCellMar>
      </w:tblPr>
      <w:tblGrid>
        <w:gridCol w:w="2401"/>
        <w:gridCol w:w="2401"/>
        <w:gridCol w:w="2401"/>
        <w:gridCol w:w="2401"/>
      </w:tblGrid>
      <w:tr w14:paraId="4A41A93A">
        <w:tblPrEx>
          <w:tblCellMar>
            <w:top w:w="0" w:type="dxa"/>
            <w:left w:w="108" w:type="dxa"/>
            <w:bottom w:w="0" w:type="dxa"/>
            <w:right w:w="108" w:type="dxa"/>
          </w:tblCellMar>
        </w:tblPrEx>
        <w:trPr>
          <w:jc w:val="center"/>
        </w:trPr>
        <w:tc>
          <w:tcPr>
            <w:tcW w:w="2401" w:type="dxa"/>
            <w:tcBorders>
              <w:top w:val="single" w:color="000000" w:sz="6" w:space="0"/>
              <w:left w:val="nil"/>
              <w:bottom w:val="single" w:color="000000" w:sz="6" w:space="0"/>
              <w:right w:val="nil"/>
            </w:tcBorders>
            <w:shd w:val="clear" w:color="auto" w:fill="F2F2F2"/>
          </w:tcPr>
          <w:p w14:paraId="59A0B1D2">
            <w:pPr>
              <w:spacing w:before="40" w:after="40"/>
              <w:jc w:val="both"/>
              <w:rPr>
                <w:sz w:val="24"/>
                <w:szCs w:val="24"/>
              </w:rPr>
            </w:pPr>
            <w:r>
              <w:rPr>
                <w:rFonts w:ascii="Arial" w:hAnsi="Arial"/>
                <w:b/>
                <w:sz w:val="24"/>
                <w:szCs w:val="24"/>
              </w:rPr>
              <w:t>Failure Mode</w:t>
            </w:r>
          </w:p>
        </w:tc>
        <w:tc>
          <w:tcPr>
            <w:tcW w:w="2401" w:type="dxa"/>
            <w:tcBorders>
              <w:top w:val="single" w:color="000000" w:sz="6" w:space="0"/>
              <w:left w:val="nil"/>
              <w:bottom w:val="single" w:color="000000" w:sz="6" w:space="0"/>
              <w:right w:val="nil"/>
            </w:tcBorders>
            <w:shd w:val="clear" w:color="auto" w:fill="F2F2F2"/>
          </w:tcPr>
          <w:p w14:paraId="4446B681">
            <w:pPr>
              <w:spacing w:before="40" w:after="40"/>
              <w:jc w:val="both"/>
              <w:rPr>
                <w:sz w:val="24"/>
                <w:szCs w:val="24"/>
              </w:rPr>
            </w:pPr>
            <w:r>
              <w:rPr>
                <w:rFonts w:ascii="Arial" w:hAnsi="Arial"/>
                <w:b/>
                <w:sz w:val="24"/>
                <w:szCs w:val="24"/>
              </w:rPr>
              <w:t>Trigger Condition</w:t>
            </w:r>
          </w:p>
        </w:tc>
        <w:tc>
          <w:tcPr>
            <w:tcW w:w="2401" w:type="dxa"/>
            <w:tcBorders>
              <w:top w:val="single" w:color="000000" w:sz="6" w:space="0"/>
              <w:left w:val="nil"/>
              <w:bottom w:val="single" w:color="000000" w:sz="6" w:space="0"/>
              <w:right w:val="nil"/>
            </w:tcBorders>
            <w:shd w:val="clear" w:color="auto" w:fill="F2F2F2"/>
          </w:tcPr>
          <w:p w14:paraId="2F60D208">
            <w:pPr>
              <w:spacing w:before="40" w:after="40"/>
              <w:jc w:val="both"/>
              <w:rPr>
                <w:sz w:val="24"/>
                <w:szCs w:val="24"/>
              </w:rPr>
            </w:pPr>
            <w:r>
              <w:rPr>
                <w:rFonts w:ascii="Arial" w:hAnsi="Arial"/>
                <w:b/>
                <w:sz w:val="24"/>
                <w:szCs w:val="24"/>
              </w:rPr>
              <w:t>Operational Symptom</w:t>
            </w:r>
          </w:p>
        </w:tc>
        <w:tc>
          <w:tcPr>
            <w:tcW w:w="2401" w:type="dxa"/>
            <w:tcBorders>
              <w:top w:val="single" w:color="000000" w:sz="6" w:space="0"/>
              <w:left w:val="nil"/>
              <w:bottom w:val="single" w:color="000000" w:sz="6" w:space="0"/>
              <w:right w:val="nil"/>
            </w:tcBorders>
            <w:shd w:val="clear" w:color="auto" w:fill="F2F2F2"/>
          </w:tcPr>
          <w:p w14:paraId="19F3E416">
            <w:pPr>
              <w:spacing w:before="40" w:after="40"/>
              <w:jc w:val="both"/>
              <w:rPr>
                <w:sz w:val="24"/>
                <w:szCs w:val="24"/>
              </w:rPr>
            </w:pPr>
            <w:r>
              <w:rPr>
                <w:rFonts w:ascii="Arial" w:hAnsi="Arial"/>
                <w:b/>
                <w:sz w:val="24"/>
                <w:szCs w:val="24"/>
              </w:rPr>
              <w:t>AMORA Architectural Safeguard</w:t>
            </w:r>
          </w:p>
        </w:tc>
      </w:tr>
      <w:tr w14:paraId="2F5AEE2B">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14374DCF">
            <w:pPr>
              <w:spacing w:before="40" w:after="40"/>
              <w:jc w:val="both"/>
              <w:rPr>
                <w:sz w:val="24"/>
                <w:szCs w:val="24"/>
              </w:rPr>
            </w:pPr>
            <w:r>
              <w:rPr>
                <w:rFonts w:ascii="Arial" w:hAnsi="Arial"/>
                <w:sz w:val="24"/>
                <w:szCs w:val="24"/>
              </w:rPr>
              <w:t>Gating False Positive</w:t>
            </w:r>
          </w:p>
        </w:tc>
        <w:tc>
          <w:tcPr>
            <w:tcW w:w="2401" w:type="dxa"/>
            <w:tcBorders>
              <w:top w:val="single" w:color="EEEEEE" w:sz="2" w:space="0"/>
              <w:left w:val="nil"/>
              <w:bottom w:val="single" w:color="EEEEEE" w:sz="2" w:space="0"/>
              <w:right w:val="nil"/>
            </w:tcBorders>
          </w:tcPr>
          <w:p w14:paraId="0048CC57">
            <w:pPr>
              <w:spacing w:before="40" w:after="40"/>
              <w:jc w:val="both"/>
              <w:rPr>
                <w:sz w:val="24"/>
                <w:szCs w:val="24"/>
              </w:rPr>
            </w:pPr>
            <w:r>
              <w:rPr>
                <w:rFonts w:ascii="Arial" w:hAnsi="Arial"/>
                <w:sz w:val="24"/>
                <w:szCs w:val="24"/>
              </w:rPr>
              <w:t>Complex query with no factual need</w:t>
            </w:r>
          </w:p>
        </w:tc>
        <w:tc>
          <w:tcPr>
            <w:tcW w:w="2401" w:type="dxa"/>
            <w:tcBorders>
              <w:top w:val="single" w:color="EEEEEE" w:sz="2" w:space="0"/>
              <w:left w:val="nil"/>
              <w:bottom w:val="single" w:color="EEEEEE" w:sz="2" w:space="0"/>
              <w:right w:val="nil"/>
            </w:tcBorders>
          </w:tcPr>
          <w:p w14:paraId="4E3D4EA2">
            <w:pPr>
              <w:spacing w:before="40" w:after="40"/>
              <w:jc w:val="both"/>
              <w:rPr>
                <w:sz w:val="24"/>
                <w:szCs w:val="24"/>
              </w:rPr>
            </w:pPr>
            <w:r>
              <w:rPr>
                <w:rFonts w:ascii="Arial" w:hAnsi="Arial"/>
                <w:sz w:val="24"/>
                <w:szCs w:val="24"/>
              </w:rPr>
              <w:t>External retrieval invoked unnecessarily</w:t>
            </w:r>
          </w:p>
        </w:tc>
        <w:tc>
          <w:tcPr>
            <w:tcW w:w="2401" w:type="dxa"/>
            <w:tcBorders>
              <w:top w:val="single" w:color="EEEEEE" w:sz="2" w:space="0"/>
              <w:left w:val="nil"/>
              <w:bottom w:val="single" w:color="EEEEEE" w:sz="2" w:space="0"/>
              <w:right w:val="nil"/>
            </w:tcBorders>
          </w:tcPr>
          <w:p w14:paraId="55F0D3FE">
            <w:pPr>
              <w:spacing w:before="40" w:after="40"/>
              <w:jc w:val="both"/>
              <w:rPr>
                <w:sz w:val="24"/>
                <w:szCs w:val="24"/>
              </w:rPr>
            </w:pPr>
            <w:r>
              <w:rPr>
                <w:rFonts w:ascii="Arial" w:hAnsi="Arial"/>
                <w:sz w:val="24"/>
                <w:szCs w:val="24"/>
              </w:rPr>
              <w:t>Controlled cost: +200 ms latency; zero factual errors</w:t>
            </w:r>
          </w:p>
        </w:tc>
      </w:tr>
      <w:tr w14:paraId="7BC8EDB2">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483A8581">
            <w:pPr>
              <w:spacing w:before="40" w:after="40"/>
              <w:jc w:val="both"/>
              <w:rPr>
                <w:sz w:val="24"/>
                <w:szCs w:val="24"/>
              </w:rPr>
            </w:pPr>
            <w:r>
              <w:rPr>
                <w:rFonts w:ascii="Arial" w:hAnsi="Arial"/>
                <w:sz w:val="24"/>
                <w:szCs w:val="24"/>
              </w:rPr>
              <w:t>Gating False Negative</w:t>
            </w:r>
          </w:p>
        </w:tc>
        <w:tc>
          <w:tcPr>
            <w:tcW w:w="2401" w:type="dxa"/>
            <w:tcBorders>
              <w:top w:val="single" w:color="EEEEEE" w:sz="2" w:space="0"/>
              <w:left w:val="nil"/>
              <w:bottom w:val="single" w:color="EEEEEE" w:sz="2" w:space="0"/>
              <w:right w:val="nil"/>
            </w:tcBorders>
          </w:tcPr>
          <w:p w14:paraId="324733C2">
            <w:pPr>
              <w:spacing w:before="40" w:after="40"/>
              <w:jc w:val="both"/>
              <w:rPr>
                <w:sz w:val="24"/>
                <w:szCs w:val="24"/>
              </w:rPr>
            </w:pPr>
            <w:r>
              <w:rPr>
                <w:rFonts w:ascii="Arial" w:hAnsi="Arial"/>
                <w:sz w:val="24"/>
                <w:szCs w:val="24"/>
              </w:rPr>
              <w:t>Proprietary query with ambiguous wording</w:t>
            </w:r>
          </w:p>
        </w:tc>
        <w:tc>
          <w:tcPr>
            <w:tcW w:w="2401" w:type="dxa"/>
            <w:tcBorders>
              <w:top w:val="single" w:color="EEEEEE" w:sz="2" w:space="0"/>
              <w:left w:val="nil"/>
              <w:bottom w:val="single" w:color="EEEEEE" w:sz="2" w:space="0"/>
              <w:right w:val="nil"/>
            </w:tcBorders>
          </w:tcPr>
          <w:p w14:paraId="403A03E9">
            <w:pPr>
              <w:spacing w:before="40" w:after="40"/>
              <w:jc w:val="both"/>
              <w:rPr>
                <w:sz w:val="24"/>
                <w:szCs w:val="24"/>
              </w:rPr>
            </w:pPr>
            <w:r>
              <w:rPr>
                <w:rFonts w:ascii="Arial" w:hAnsi="Arial"/>
                <w:sz w:val="24"/>
                <w:szCs w:val="24"/>
              </w:rPr>
              <w:t>Retrieval bypassed; risk of hallucination</w:t>
            </w:r>
          </w:p>
        </w:tc>
        <w:tc>
          <w:tcPr>
            <w:tcW w:w="2401" w:type="dxa"/>
            <w:tcBorders>
              <w:top w:val="single" w:color="EEEEEE" w:sz="2" w:space="0"/>
              <w:left w:val="nil"/>
              <w:bottom w:val="single" w:color="EEEEEE" w:sz="2" w:space="0"/>
              <w:right w:val="nil"/>
            </w:tcBorders>
          </w:tcPr>
          <w:p w14:paraId="728B331C">
            <w:pPr>
              <w:spacing w:before="40" w:after="40"/>
              <w:jc w:val="both"/>
              <w:rPr>
                <w:sz w:val="24"/>
                <w:szCs w:val="24"/>
              </w:rPr>
            </w:pPr>
            <w:r>
              <w:rPr>
                <w:rFonts w:ascii="Arial" w:hAnsi="Arial"/>
                <w:sz w:val="24"/>
                <w:szCs w:val="24"/>
              </w:rPr>
              <w:t>Conservative θ = 0.25 threshold bounds risk to 0.0% on gold set</w:t>
            </w:r>
          </w:p>
        </w:tc>
      </w:tr>
      <w:tr w14:paraId="741025E6">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3AD97A0D">
            <w:pPr>
              <w:spacing w:before="40" w:after="40"/>
              <w:jc w:val="both"/>
              <w:rPr>
                <w:sz w:val="24"/>
                <w:szCs w:val="24"/>
              </w:rPr>
            </w:pPr>
            <w:r>
              <w:rPr>
                <w:rFonts w:ascii="Arial" w:hAnsi="Arial"/>
                <w:sz w:val="24"/>
                <w:szCs w:val="24"/>
              </w:rPr>
              <w:t>Endpoint Timeout</w:t>
            </w:r>
          </w:p>
        </w:tc>
        <w:tc>
          <w:tcPr>
            <w:tcW w:w="2401" w:type="dxa"/>
            <w:tcBorders>
              <w:top w:val="single" w:color="EEEEEE" w:sz="2" w:space="0"/>
              <w:left w:val="nil"/>
              <w:bottom w:val="single" w:color="EEEEEE" w:sz="2" w:space="0"/>
              <w:right w:val="nil"/>
            </w:tcBorders>
          </w:tcPr>
          <w:p w14:paraId="7A90350E">
            <w:pPr>
              <w:spacing w:before="40" w:after="40"/>
              <w:jc w:val="both"/>
              <w:rPr>
                <w:sz w:val="24"/>
                <w:szCs w:val="24"/>
              </w:rPr>
            </w:pPr>
            <w:r>
              <w:rPr>
                <w:rFonts w:ascii="Arial" w:hAnsi="Arial"/>
                <w:sz w:val="24"/>
                <w:szCs w:val="24"/>
              </w:rPr>
              <w:t>Target REST API or SQL database hangs</w:t>
            </w:r>
          </w:p>
        </w:tc>
        <w:tc>
          <w:tcPr>
            <w:tcW w:w="2401" w:type="dxa"/>
            <w:tcBorders>
              <w:top w:val="single" w:color="EEEEEE" w:sz="2" w:space="0"/>
              <w:left w:val="nil"/>
              <w:bottom w:val="single" w:color="EEEEEE" w:sz="2" w:space="0"/>
              <w:right w:val="nil"/>
            </w:tcBorders>
          </w:tcPr>
          <w:p w14:paraId="5066A4DB">
            <w:pPr>
              <w:spacing w:before="40" w:after="40"/>
              <w:jc w:val="both"/>
              <w:rPr>
                <w:sz w:val="24"/>
                <w:szCs w:val="24"/>
              </w:rPr>
            </w:pPr>
            <w:r>
              <w:rPr>
                <w:rFonts w:ascii="Arial" w:hAnsi="Arial"/>
                <w:sz w:val="24"/>
                <w:szCs w:val="24"/>
              </w:rPr>
              <w:t>End-to-end request latency spikes</w:t>
            </w:r>
          </w:p>
        </w:tc>
        <w:tc>
          <w:tcPr>
            <w:tcW w:w="2401" w:type="dxa"/>
            <w:tcBorders>
              <w:top w:val="single" w:color="EEEEEE" w:sz="2" w:space="0"/>
              <w:left w:val="nil"/>
              <w:bottom w:val="single" w:color="EEEEEE" w:sz="2" w:space="0"/>
              <w:right w:val="nil"/>
            </w:tcBorders>
          </w:tcPr>
          <w:p w14:paraId="57E17A87">
            <w:pPr>
              <w:spacing w:before="40" w:after="40"/>
              <w:jc w:val="both"/>
              <w:rPr>
                <w:sz w:val="24"/>
                <w:szCs w:val="24"/>
              </w:rPr>
            </w:pPr>
            <w:r>
              <w:rPr>
                <w:rFonts w:ascii="Arial" w:hAnsi="Arial"/>
                <w:sz w:val="24"/>
                <w:szCs w:val="24"/>
              </w:rPr>
              <w:t>Convex reliability metric L_i and 1.5s hard socket timeout</w:t>
            </w:r>
          </w:p>
        </w:tc>
      </w:tr>
      <w:tr w14:paraId="54AF4DE8">
        <w:tblPrEx>
          <w:tblCellMar>
            <w:top w:w="0" w:type="dxa"/>
            <w:left w:w="108" w:type="dxa"/>
            <w:bottom w:w="0" w:type="dxa"/>
            <w:right w:w="108" w:type="dxa"/>
          </w:tblCellMar>
        </w:tblPrEx>
        <w:trPr>
          <w:jc w:val="center"/>
        </w:trPr>
        <w:tc>
          <w:tcPr>
            <w:tcW w:w="2401" w:type="dxa"/>
            <w:tcBorders>
              <w:top w:val="single" w:color="EEEEEE" w:sz="2" w:space="0"/>
              <w:left w:val="nil"/>
              <w:bottom w:val="single" w:color="EEEEEE" w:sz="2" w:space="0"/>
              <w:right w:val="nil"/>
            </w:tcBorders>
          </w:tcPr>
          <w:p w14:paraId="25252032">
            <w:pPr>
              <w:spacing w:before="40" w:after="40"/>
              <w:jc w:val="both"/>
              <w:rPr>
                <w:sz w:val="24"/>
                <w:szCs w:val="24"/>
              </w:rPr>
            </w:pPr>
            <w:r>
              <w:rPr>
                <w:rFonts w:ascii="Arial" w:hAnsi="Arial"/>
                <w:sz w:val="24"/>
                <w:szCs w:val="24"/>
              </w:rPr>
              <w:t>Schema Drift</w:t>
            </w:r>
          </w:p>
        </w:tc>
        <w:tc>
          <w:tcPr>
            <w:tcW w:w="2401" w:type="dxa"/>
            <w:tcBorders>
              <w:top w:val="single" w:color="EEEEEE" w:sz="2" w:space="0"/>
              <w:left w:val="nil"/>
              <w:bottom w:val="single" w:color="EEEEEE" w:sz="2" w:space="0"/>
              <w:right w:val="nil"/>
            </w:tcBorders>
          </w:tcPr>
          <w:p w14:paraId="74C88D2A">
            <w:pPr>
              <w:spacing w:before="40" w:after="40"/>
              <w:jc w:val="both"/>
              <w:rPr>
                <w:sz w:val="24"/>
                <w:szCs w:val="24"/>
              </w:rPr>
            </w:pPr>
            <w:r>
              <w:rPr>
                <w:rFonts w:ascii="Arial" w:hAnsi="Arial"/>
                <w:sz w:val="24"/>
                <w:szCs w:val="24"/>
              </w:rPr>
              <w:t>DB schema altered without index re-build</w:t>
            </w:r>
          </w:p>
        </w:tc>
        <w:tc>
          <w:tcPr>
            <w:tcW w:w="2401" w:type="dxa"/>
            <w:tcBorders>
              <w:top w:val="single" w:color="EEEEEE" w:sz="2" w:space="0"/>
              <w:left w:val="nil"/>
              <w:bottom w:val="single" w:color="EEEEEE" w:sz="2" w:space="0"/>
              <w:right w:val="nil"/>
            </w:tcBorders>
          </w:tcPr>
          <w:p w14:paraId="0A812819">
            <w:pPr>
              <w:spacing w:before="40" w:after="40"/>
              <w:jc w:val="both"/>
              <w:rPr>
                <w:sz w:val="24"/>
                <w:szCs w:val="24"/>
              </w:rPr>
            </w:pPr>
            <w:r>
              <w:rPr>
                <w:rFonts w:ascii="Arial" w:hAnsi="Arial"/>
                <w:sz w:val="24"/>
                <w:szCs w:val="24"/>
              </w:rPr>
              <w:t>Candidate relevance score R_i drops</w:t>
            </w:r>
          </w:p>
        </w:tc>
        <w:tc>
          <w:tcPr>
            <w:tcW w:w="2401" w:type="dxa"/>
            <w:tcBorders>
              <w:top w:val="single" w:color="EEEEEE" w:sz="2" w:space="0"/>
              <w:left w:val="nil"/>
              <w:bottom w:val="single" w:color="EEEEEE" w:sz="2" w:space="0"/>
              <w:right w:val="nil"/>
            </w:tcBorders>
          </w:tcPr>
          <w:p w14:paraId="2F42B3AD">
            <w:pPr>
              <w:spacing w:before="40" w:after="40"/>
              <w:jc w:val="both"/>
              <w:rPr>
                <w:sz w:val="24"/>
                <w:szCs w:val="24"/>
              </w:rPr>
            </w:pPr>
            <w:r>
              <w:rPr>
                <w:rFonts w:ascii="Arial" w:hAnsi="Arial"/>
                <w:sz w:val="24"/>
                <w:szCs w:val="24"/>
              </w:rPr>
              <w:t>Automated CI/CD vector re-indexing hook (4.5s rebuild time)</w:t>
            </w:r>
          </w:p>
        </w:tc>
      </w:tr>
      <w:tr w14:paraId="07325E81">
        <w:tblPrEx>
          <w:tblCellMar>
            <w:top w:w="0" w:type="dxa"/>
            <w:left w:w="108" w:type="dxa"/>
            <w:bottom w:w="0" w:type="dxa"/>
            <w:right w:w="108" w:type="dxa"/>
          </w:tblCellMar>
        </w:tblPrEx>
        <w:trPr>
          <w:jc w:val="center"/>
        </w:trPr>
        <w:tc>
          <w:tcPr>
            <w:tcW w:w="2401" w:type="dxa"/>
            <w:tcBorders>
              <w:top w:val="single" w:color="000000" w:sz="6" w:space="0"/>
              <w:left w:val="nil"/>
              <w:bottom w:val="single" w:color="000000" w:sz="6" w:space="0"/>
              <w:right w:val="nil"/>
            </w:tcBorders>
          </w:tcPr>
          <w:p w14:paraId="090EB621">
            <w:pPr>
              <w:spacing w:before="40" w:after="40"/>
              <w:jc w:val="both"/>
              <w:rPr>
                <w:sz w:val="24"/>
                <w:szCs w:val="24"/>
              </w:rPr>
            </w:pPr>
            <w:r>
              <w:rPr>
                <w:rFonts w:ascii="Arial" w:hAnsi="Arial"/>
                <w:sz w:val="24"/>
                <w:szCs w:val="24"/>
              </w:rPr>
              <w:t>Semantic Masking</w:t>
            </w:r>
          </w:p>
        </w:tc>
        <w:tc>
          <w:tcPr>
            <w:tcW w:w="2401" w:type="dxa"/>
            <w:tcBorders>
              <w:top w:val="single" w:color="000000" w:sz="6" w:space="0"/>
              <w:left w:val="nil"/>
              <w:bottom w:val="single" w:color="000000" w:sz="6" w:space="0"/>
              <w:right w:val="nil"/>
            </w:tcBorders>
          </w:tcPr>
          <w:p w14:paraId="5692D605">
            <w:pPr>
              <w:spacing w:before="40" w:after="40"/>
              <w:jc w:val="both"/>
              <w:rPr>
                <w:sz w:val="24"/>
                <w:szCs w:val="24"/>
              </w:rPr>
            </w:pPr>
            <w:r>
              <w:rPr>
                <w:rFonts w:ascii="Arial" w:hAnsi="Arial"/>
                <w:sz w:val="24"/>
                <w:szCs w:val="24"/>
              </w:rPr>
              <w:t>Numerical conflict between two text passages</w:t>
            </w:r>
          </w:p>
        </w:tc>
        <w:tc>
          <w:tcPr>
            <w:tcW w:w="2401" w:type="dxa"/>
            <w:tcBorders>
              <w:top w:val="single" w:color="000000" w:sz="6" w:space="0"/>
              <w:left w:val="nil"/>
              <w:bottom w:val="single" w:color="000000" w:sz="6" w:space="0"/>
              <w:right w:val="nil"/>
            </w:tcBorders>
          </w:tcPr>
          <w:p w14:paraId="1453EFB3">
            <w:pPr>
              <w:spacing w:before="40" w:after="40"/>
              <w:jc w:val="both"/>
              <w:rPr>
                <w:sz w:val="24"/>
                <w:szCs w:val="24"/>
              </w:rPr>
            </w:pPr>
            <w:r>
              <w:rPr>
                <w:rFonts w:ascii="Arial" w:hAnsi="Arial"/>
                <w:sz w:val="24"/>
                <w:szCs w:val="24"/>
              </w:rPr>
              <w:t>Cosine similarity fails to detect mismatch</w:t>
            </w:r>
          </w:p>
        </w:tc>
        <w:tc>
          <w:tcPr>
            <w:tcW w:w="2401" w:type="dxa"/>
            <w:tcBorders>
              <w:top w:val="single" w:color="000000" w:sz="6" w:space="0"/>
              <w:left w:val="nil"/>
              <w:bottom w:val="single" w:color="000000" w:sz="6" w:space="0"/>
              <w:right w:val="nil"/>
            </w:tcBorders>
          </w:tcPr>
          <w:p w14:paraId="01CCCC66">
            <w:pPr>
              <w:spacing w:before="40" w:after="40"/>
              <w:jc w:val="both"/>
              <w:rPr>
                <w:sz w:val="24"/>
                <w:szCs w:val="24"/>
              </w:rPr>
            </w:pPr>
            <w:r>
              <w:rPr>
                <w:rFonts w:ascii="Arial" w:hAnsi="Arial"/>
                <w:sz w:val="24"/>
                <w:szCs w:val="24"/>
              </w:rPr>
              <w:t>Graph-level entity extraction and explicit discrepancy header injection</w:t>
            </w:r>
          </w:p>
        </w:tc>
      </w:tr>
    </w:tbl>
    <w:p w14:paraId="2BFEE605">
      <w:pPr>
        <w:keepNext/>
        <w:spacing w:before="320" w:after="120"/>
        <w:jc w:val="both"/>
        <w:rPr>
          <w:sz w:val="24"/>
          <w:szCs w:val="24"/>
        </w:rPr>
      </w:pPr>
      <w:r>
        <w:rPr>
          <w:rFonts w:ascii="Arial" w:hAnsi="Arial"/>
          <w:b/>
          <w:color w:val="0F0F0F"/>
          <w:sz w:val="24"/>
          <w:szCs w:val="24"/>
        </w:rPr>
        <w:t>Conclusion</w:t>
      </w:r>
    </w:p>
    <w:p w14:paraId="39C5EAED">
      <w:pPr>
        <w:spacing w:before="0" w:after="120" w:line="276" w:lineRule="auto"/>
        <w:jc w:val="both"/>
        <w:rPr>
          <w:sz w:val="24"/>
          <w:szCs w:val="24"/>
        </w:rPr>
      </w:pPr>
      <w:r>
        <w:rPr>
          <w:rFonts w:ascii="Arial" w:hAnsi="Arial"/>
          <w:color w:val="232323"/>
          <w:sz w:val="24"/>
          <w:szCs w:val="24"/>
        </w:rPr>
        <w:t>This paper presented AMORA, an end-to-end framework resolving foundational trade-offs between retrieval accuracy, query latency, prompt token inflation, and data governance in heterogeneous enterprise environments. By unifying adaptive uncertainty gating (IE-KRT), a scalable two-stage vector pre-filtering funnel, dynamic multi-objective scoring on the 5-simplex, and evidence fusion, AMORA fundamentally decouples when to retrieve from where to route and how to synthesize. Formal mathematical proofs established sub-linear computational complexity, guaranteed Pareto optimality, and derived probabilistic retrieval safety bounds. Empirical evaluations across 20 gold enterprise benchmarks verified that AMORA achieves a 35.0% retrieval bypass rate, compacts prompt token volume by 26.7%, sustains a compound 52.35% net system workload reduction, and preserves sub-4.2 millisecond routing latency across 10,000 catalog sources. By deploying a 4-bit quantized Qwen 2.5 7B model entirely on-premises, AMORA slashes operational expenditures by over 96.5% while enforcing complete data sovereignty. Future research will explore multi-agent collaborative routing cascades and self-supervised schema drift adaptation.</w:t>
      </w:r>
    </w:p>
    <w:p w14:paraId="3AB4ABE8">
      <w:pPr>
        <w:keepNext/>
        <w:spacing w:before="320" w:after="120"/>
        <w:jc w:val="both"/>
        <w:rPr>
          <w:sz w:val="24"/>
          <w:szCs w:val="24"/>
        </w:rPr>
      </w:pPr>
      <w:r>
        <w:rPr>
          <w:rFonts w:ascii="Arial" w:hAnsi="Arial"/>
          <w:b/>
          <w:color w:val="0F0F0F"/>
          <w:sz w:val="24"/>
          <w:szCs w:val="24"/>
        </w:rPr>
        <w:t>Data availability</w:t>
      </w:r>
    </w:p>
    <w:p w14:paraId="7341EEB9">
      <w:pPr>
        <w:spacing w:before="0" w:after="120" w:line="276" w:lineRule="auto"/>
        <w:jc w:val="both"/>
        <w:rPr>
          <w:sz w:val="24"/>
          <w:szCs w:val="24"/>
        </w:rPr>
      </w:pPr>
      <w:r>
        <w:rPr>
          <w:rFonts w:ascii="Arial" w:hAnsi="Arial"/>
          <w:color w:val="232323"/>
          <w:sz w:val="24"/>
          <w:szCs w:val="24"/>
        </w:rPr>
        <w:t>The benchmark datasets and endpoint catalog configurations generated and analyzed during the current study are available in the project repository at https://github.com/enterprise-amora/amora-bench or from the corresponding authors upon reasonable request.</w:t>
      </w:r>
    </w:p>
    <w:p w14:paraId="65E3B297">
      <w:pPr>
        <w:keepNext/>
        <w:spacing w:before="320" w:after="120"/>
        <w:jc w:val="both"/>
        <w:rPr>
          <w:sz w:val="24"/>
          <w:szCs w:val="24"/>
        </w:rPr>
      </w:pPr>
      <w:r>
        <w:rPr>
          <w:rFonts w:ascii="Arial" w:hAnsi="Arial"/>
          <w:b/>
          <w:color w:val="0F0F0F"/>
          <w:sz w:val="24"/>
          <w:szCs w:val="24"/>
        </w:rPr>
        <w:t>References</w:t>
      </w:r>
    </w:p>
    <w:p w14:paraId="14F6BDE6">
      <w:pPr>
        <w:spacing w:before="20" w:after="40" w:line="264" w:lineRule="auto"/>
        <w:jc w:val="both"/>
        <w:rPr>
          <w:sz w:val="24"/>
          <w:szCs w:val="24"/>
        </w:rPr>
      </w:pPr>
      <w:r>
        <w:rPr>
          <w:rFonts w:ascii="Arial" w:hAnsi="Arial"/>
          <w:sz w:val="24"/>
          <w:szCs w:val="24"/>
        </w:rPr>
        <w:t>1. Achiam, J. et al. GPT-4 technical report. arXiv preprint arXiv:2303.08774 (2023).</w:t>
      </w:r>
    </w:p>
    <w:p w14:paraId="61AA608C">
      <w:pPr>
        <w:spacing w:before="20" w:after="40" w:line="264" w:lineRule="auto"/>
        <w:jc w:val="both"/>
        <w:rPr>
          <w:sz w:val="24"/>
          <w:szCs w:val="24"/>
        </w:rPr>
      </w:pPr>
      <w:r>
        <w:rPr>
          <w:rFonts w:ascii="Arial" w:hAnsi="Arial"/>
          <w:sz w:val="24"/>
          <w:szCs w:val="24"/>
        </w:rPr>
        <w:t>2. Touvron, H. et al. Llama 2: Open foundation and fine-tuned chat models. arXiv preprint arXiv:2307.09288 (2023).</w:t>
      </w:r>
    </w:p>
    <w:p w14:paraId="040BBC5B">
      <w:pPr>
        <w:spacing w:before="20" w:after="40" w:line="264" w:lineRule="auto"/>
        <w:jc w:val="both"/>
        <w:rPr>
          <w:sz w:val="24"/>
          <w:szCs w:val="24"/>
        </w:rPr>
      </w:pPr>
      <w:r>
        <w:rPr>
          <w:rFonts w:ascii="Arial" w:hAnsi="Arial"/>
          <w:sz w:val="24"/>
          <w:szCs w:val="24"/>
        </w:rPr>
        <w:t>3. Brown, T. et al. Language models are few-shot learners. In Advances in Neural Information Processing Systems (NeurIPS), vol. 33, 1877–1901 (2020).</w:t>
      </w:r>
    </w:p>
    <w:p w14:paraId="56B53E75">
      <w:pPr>
        <w:spacing w:before="20" w:after="40" w:line="264" w:lineRule="auto"/>
        <w:jc w:val="both"/>
        <w:rPr>
          <w:sz w:val="24"/>
          <w:szCs w:val="24"/>
        </w:rPr>
      </w:pPr>
      <w:r>
        <w:rPr>
          <w:rFonts w:ascii="Arial" w:hAnsi="Arial"/>
          <w:sz w:val="24"/>
          <w:szCs w:val="24"/>
        </w:rPr>
        <w:t>4. Wei, J. et al. Emergent abilities of large language models. Transactions on Machine Learning Research (2022).</w:t>
      </w:r>
    </w:p>
    <w:p w14:paraId="68D5F242">
      <w:pPr>
        <w:spacing w:before="20" w:after="40" w:line="264" w:lineRule="auto"/>
        <w:jc w:val="both"/>
        <w:rPr>
          <w:sz w:val="24"/>
          <w:szCs w:val="24"/>
        </w:rPr>
      </w:pPr>
      <w:r>
        <w:rPr>
          <w:rFonts w:ascii="Arial" w:hAnsi="Arial"/>
          <w:sz w:val="24"/>
          <w:szCs w:val="24"/>
        </w:rPr>
        <w:t>5. Ji, Z. et al. Survey of hallucination in natural language generation. ACM Computing Surveys 55, 1–38 (2023).</w:t>
      </w:r>
    </w:p>
    <w:p w14:paraId="30A9219A">
      <w:pPr>
        <w:spacing w:before="20" w:after="40" w:line="264" w:lineRule="auto"/>
        <w:jc w:val="both"/>
        <w:rPr>
          <w:sz w:val="24"/>
          <w:szCs w:val="24"/>
        </w:rPr>
      </w:pPr>
      <w:r>
        <w:rPr>
          <w:rFonts w:ascii="Arial" w:hAnsi="Arial"/>
          <w:sz w:val="24"/>
          <w:szCs w:val="24"/>
        </w:rPr>
        <w:t>6. Huang, L. et al. A survey on hallucination in large language models: Principles, taxonomy, challenges, and open questions. arXiv preprint arXiv:2311.05232 (2023).</w:t>
      </w:r>
    </w:p>
    <w:p w14:paraId="3BB20D24">
      <w:pPr>
        <w:spacing w:before="20" w:after="40" w:line="264" w:lineRule="auto"/>
        <w:jc w:val="both"/>
        <w:rPr>
          <w:sz w:val="24"/>
          <w:szCs w:val="24"/>
        </w:rPr>
      </w:pPr>
      <w:r>
        <w:rPr>
          <w:rFonts w:ascii="Arial" w:hAnsi="Arial"/>
          <w:sz w:val="24"/>
          <w:szCs w:val="24"/>
        </w:rPr>
        <w:t>7. Lewis, P. et al. Retrieval-augmented generation for knowledge-intensive NLP tasks. In Advances in Neural Information Processing Systems (NeurIPS), vol. 33, 9459–9474 (2020).</w:t>
      </w:r>
    </w:p>
    <w:p w14:paraId="2BDEB3FA">
      <w:pPr>
        <w:spacing w:before="20" w:after="40" w:line="264" w:lineRule="auto"/>
        <w:jc w:val="both"/>
        <w:rPr>
          <w:sz w:val="24"/>
          <w:szCs w:val="24"/>
        </w:rPr>
      </w:pPr>
      <w:r>
        <w:rPr>
          <w:rFonts w:ascii="Arial" w:hAnsi="Arial"/>
          <w:sz w:val="24"/>
          <w:szCs w:val="24"/>
        </w:rPr>
        <w:t>8. Guu, K., Lee, K., Tung, Z., Pasupat, P. &amp; Chang, M.-W. REALM: Retrieval-augmented language model pre-training. In Proc. ICML, 3929–3938 (2020).</w:t>
      </w:r>
    </w:p>
    <w:p w14:paraId="5B9CF7EB">
      <w:pPr>
        <w:spacing w:before="20" w:after="40" w:line="264" w:lineRule="auto"/>
        <w:jc w:val="both"/>
        <w:rPr>
          <w:sz w:val="24"/>
          <w:szCs w:val="24"/>
        </w:rPr>
      </w:pPr>
      <w:r>
        <w:rPr>
          <w:rFonts w:ascii="Arial" w:hAnsi="Arial"/>
          <w:sz w:val="24"/>
          <w:szCs w:val="24"/>
        </w:rPr>
        <w:t>9. Borgeaud, S. et al. Improving language models by retrieving from trillions of tokens. In Proc. ICML, 2206–2240 (2022).</w:t>
      </w:r>
    </w:p>
    <w:p w14:paraId="7C3B60F1">
      <w:pPr>
        <w:spacing w:before="20" w:after="40" w:line="264" w:lineRule="auto"/>
        <w:jc w:val="both"/>
        <w:rPr>
          <w:sz w:val="24"/>
          <w:szCs w:val="24"/>
        </w:rPr>
      </w:pPr>
      <w:r>
        <w:rPr>
          <w:rFonts w:ascii="Arial" w:hAnsi="Arial"/>
          <w:sz w:val="24"/>
          <w:szCs w:val="24"/>
        </w:rPr>
        <w:t>10. Gao, Y. et al. Retrieval-augmented generation for large language models: A survey. arXiv preprint arXiv:2312.10997 (2023).</w:t>
      </w:r>
    </w:p>
    <w:p w14:paraId="6CD35F11">
      <w:pPr>
        <w:spacing w:before="20" w:after="40" w:line="264" w:lineRule="auto"/>
        <w:jc w:val="both"/>
        <w:rPr>
          <w:sz w:val="24"/>
          <w:szCs w:val="24"/>
        </w:rPr>
      </w:pPr>
      <w:r>
        <w:rPr>
          <w:rFonts w:ascii="Arial" w:hAnsi="Arial"/>
          <w:sz w:val="24"/>
          <w:szCs w:val="24"/>
        </w:rPr>
        <w:t>11. Karpukhin, V. et al. Dense passage retrieval for open-domain question answering. In Proc. EMNLP, 6769–6781 (2020).</w:t>
      </w:r>
    </w:p>
    <w:p w14:paraId="43941E76">
      <w:pPr>
        <w:spacing w:before="20" w:after="40" w:line="264" w:lineRule="auto"/>
        <w:jc w:val="both"/>
        <w:rPr>
          <w:sz w:val="24"/>
          <w:szCs w:val="24"/>
        </w:rPr>
      </w:pPr>
      <w:r>
        <w:rPr>
          <w:rFonts w:ascii="Arial" w:hAnsi="Arial"/>
          <w:sz w:val="24"/>
          <w:szCs w:val="24"/>
        </w:rPr>
        <w:t>12. Jiang, Z. et al. Active retrieval augmented generation. In Proc. EMNLP, 7968–7992 (2023).</w:t>
      </w:r>
    </w:p>
    <w:p w14:paraId="6667B363">
      <w:pPr>
        <w:spacing w:before="20" w:after="40" w:line="264" w:lineRule="auto"/>
        <w:jc w:val="both"/>
        <w:rPr>
          <w:sz w:val="24"/>
          <w:szCs w:val="24"/>
        </w:rPr>
      </w:pPr>
      <w:r>
        <w:rPr>
          <w:rFonts w:ascii="Arial" w:hAnsi="Arial"/>
          <w:sz w:val="24"/>
          <w:szCs w:val="24"/>
        </w:rPr>
        <w:t>13. Jeong, S. et al. Adaptive-RAG: Determining when and how to retrieve for large language models. In Proc. NAACL, 3110–3125 (2024).</w:t>
      </w:r>
    </w:p>
    <w:p w14:paraId="39334438">
      <w:pPr>
        <w:spacing w:before="20" w:after="40" w:line="264" w:lineRule="auto"/>
        <w:jc w:val="both"/>
        <w:rPr>
          <w:sz w:val="24"/>
          <w:szCs w:val="24"/>
        </w:rPr>
      </w:pPr>
      <w:r>
        <w:rPr>
          <w:rFonts w:ascii="Arial" w:hAnsi="Arial"/>
          <w:sz w:val="24"/>
          <w:szCs w:val="24"/>
        </w:rPr>
        <w:t>14. Thakur, N. et al. BEIR: A heterogeneous benchmark for zero-shot evaluation of information retrieval models. In Proc. NeurIPS Datasets and Benchmarks Track (2021).</w:t>
      </w:r>
    </w:p>
    <w:p w14:paraId="096E3358">
      <w:pPr>
        <w:spacing w:before="20" w:after="40" w:line="264" w:lineRule="auto"/>
        <w:jc w:val="both"/>
        <w:rPr>
          <w:sz w:val="24"/>
          <w:szCs w:val="24"/>
        </w:rPr>
      </w:pPr>
      <w:r>
        <w:rPr>
          <w:rFonts w:ascii="Arial" w:hAnsi="Arial"/>
          <w:sz w:val="24"/>
          <w:szCs w:val="24"/>
        </w:rPr>
        <w:t>15. Qin, Y. et al. ToolLLM: Facilitating large language models to master 16000+ real-world APIs. In Proc. ICLR (2024).</w:t>
      </w:r>
    </w:p>
    <w:p w14:paraId="5C767140">
      <w:pPr>
        <w:spacing w:before="20" w:after="40" w:line="264" w:lineRule="auto"/>
        <w:jc w:val="both"/>
        <w:rPr>
          <w:sz w:val="24"/>
          <w:szCs w:val="24"/>
        </w:rPr>
      </w:pPr>
      <w:r>
        <w:rPr>
          <w:rFonts w:ascii="Arial" w:hAnsi="Arial"/>
          <w:sz w:val="24"/>
          <w:szCs w:val="24"/>
        </w:rPr>
        <w:t>16. Patil, S. G. et al. Gorilla: Large language model connected with massive APIs. arXiv preprint arXiv:2305.15334 (2023).</w:t>
      </w:r>
    </w:p>
    <w:p w14:paraId="17ED6FF0">
      <w:pPr>
        <w:spacing w:before="20" w:after="40" w:line="264" w:lineRule="auto"/>
        <w:jc w:val="both"/>
        <w:rPr>
          <w:sz w:val="24"/>
          <w:szCs w:val="24"/>
        </w:rPr>
      </w:pPr>
      <w:r>
        <w:rPr>
          <w:rFonts w:ascii="Arial" w:hAnsi="Arial"/>
          <w:sz w:val="24"/>
          <w:szCs w:val="24"/>
        </w:rPr>
        <w:t>17. Vaswani, A. et al. Attention is all you need. In Advances in Neural Information Processing Systems (NeurIPS), vol. 30, 5998–6008 (2017).</w:t>
      </w:r>
    </w:p>
    <w:p w14:paraId="74F2E425">
      <w:pPr>
        <w:spacing w:before="20" w:after="40" w:line="264" w:lineRule="auto"/>
        <w:jc w:val="both"/>
        <w:rPr>
          <w:sz w:val="24"/>
          <w:szCs w:val="24"/>
        </w:rPr>
      </w:pPr>
      <w:r>
        <w:rPr>
          <w:rFonts w:ascii="Arial" w:hAnsi="Arial"/>
          <w:sz w:val="24"/>
          <w:szCs w:val="24"/>
        </w:rPr>
        <w:t>18. Dao, T. et al. FlashAttention: Fast and memory-efficient exact attention with IO-awareness. In Advances in Neural Information Processing Systems (NeurIPS), vol. 35, 16344–16359 (2022).</w:t>
      </w:r>
    </w:p>
    <w:p w14:paraId="0B3B8E52">
      <w:pPr>
        <w:spacing w:before="20" w:after="40" w:line="264" w:lineRule="auto"/>
        <w:jc w:val="both"/>
        <w:rPr>
          <w:sz w:val="24"/>
          <w:szCs w:val="24"/>
        </w:rPr>
      </w:pPr>
      <w:r>
        <w:rPr>
          <w:rFonts w:ascii="Arial" w:hAnsi="Arial"/>
          <w:sz w:val="24"/>
          <w:szCs w:val="24"/>
        </w:rPr>
        <w:t>19. Liu, N. F. et al. Lost in the middle: How language models use long contexts. Transactions of the Association for Computational Linguistics 12, 157–173 (2024).</w:t>
      </w:r>
    </w:p>
    <w:p w14:paraId="6C6050D5">
      <w:pPr>
        <w:spacing w:before="20" w:after="40" w:line="264" w:lineRule="auto"/>
        <w:jc w:val="both"/>
        <w:rPr>
          <w:sz w:val="24"/>
          <w:szCs w:val="24"/>
        </w:rPr>
      </w:pPr>
      <w:r>
        <w:rPr>
          <w:rFonts w:ascii="Arial" w:hAnsi="Arial"/>
          <w:sz w:val="24"/>
          <w:szCs w:val="24"/>
        </w:rPr>
        <w:t>20. Voigt, P. &amp; Von dem Bussche, A. The EU General Data Protection Regulation (GDPR): A Practical Guide (Springer, Cham, 2017).</w:t>
      </w:r>
    </w:p>
    <w:p w14:paraId="13C09F1D">
      <w:pPr>
        <w:spacing w:before="20" w:after="40" w:line="264" w:lineRule="auto"/>
        <w:jc w:val="both"/>
        <w:rPr>
          <w:sz w:val="24"/>
          <w:szCs w:val="24"/>
        </w:rPr>
      </w:pPr>
      <w:r>
        <w:rPr>
          <w:rFonts w:ascii="Arial" w:hAnsi="Arial"/>
          <w:sz w:val="24"/>
          <w:szCs w:val="24"/>
        </w:rPr>
        <w:t>21. Schick, T. et al. Toolformer: Language models can teach themselves to use tools. In Advances in Neural Information Processing Systems (NeurIPS), vol. 36 (2023).</w:t>
      </w:r>
    </w:p>
    <w:p w14:paraId="4B3B73DD">
      <w:pPr>
        <w:spacing w:before="20" w:after="40" w:line="264" w:lineRule="auto"/>
        <w:jc w:val="both"/>
        <w:rPr>
          <w:sz w:val="24"/>
          <w:szCs w:val="24"/>
        </w:rPr>
      </w:pPr>
      <w:r>
        <w:rPr>
          <w:rFonts w:ascii="Arial" w:hAnsi="Arial"/>
          <w:sz w:val="24"/>
          <w:szCs w:val="24"/>
        </w:rPr>
        <w:t>22. Yao, S. et al. ReAct: Synergizing reasoning and acting in language models. In Proc. ICLR (2023).</w:t>
      </w:r>
    </w:p>
    <w:p w14:paraId="09C67A99">
      <w:pPr>
        <w:spacing w:before="20" w:after="40" w:line="264" w:lineRule="auto"/>
        <w:jc w:val="both"/>
        <w:rPr>
          <w:sz w:val="24"/>
          <w:szCs w:val="24"/>
        </w:rPr>
      </w:pPr>
      <w:r>
        <w:rPr>
          <w:rFonts w:ascii="Arial" w:hAnsi="Arial"/>
          <w:sz w:val="24"/>
          <w:szCs w:val="24"/>
        </w:rPr>
        <w:t>23. Asai, A. et al. Self-RAG: Learning to retrieve, generate, and critique through self-reflection. In Proc. ICLR (2024).</w:t>
      </w:r>
    </w:p>
    <w:p w14:paraId="7AC2ABBD">
      <w:pPr>
        <w:spacing w:before="20" w:after="40" w:line="264" w:lineRule="auto"/>
        <w:jc w:val="both"/>
        <w:rPr>
          <w:sz w:val="24"/>
          <w:szCs w:val="24"/>
        </w:rPr>
      </w:pPr>
      <w:r>
        <w:rPr>
          <w:rFonts w:ascii="Arial" w:hAnsi="Arial"/>
          <w:sz w:val="24"/>
          <w:szCs w:val="24"/>
        </w:rPr>
        <w:t>24. Wang, Y., Peng, H. &amp; Sun, K. Do language models know when they need external knowledge to answer?. In Proc. ACL, 2351–2365 (2023).</w:t>
      </w:r>
    </w:p>
    <w:p w14:paraId="70A768B0">
      <w:pPr>
        <w:spacing w:before="20" w:after="40" w:line="264" w:lineRule="auto"/>
        <w:jc w:val="both"/>
        <w:rPr>
          <w:sz w:val="24"/>
          <w:szCs w:val="24"/>
        </w:rPr>
      </w:pPr>
      <w:r>
        <w:rPr>
          <w:rFonts w:ascii="Arial" w:hAnsi="Arial"/>
          <w:sz w:val="24"/>
          <w:szCs w:val="24"/>
        </w:rPr>
        <w:t>25. Song, Y. et al. RestGPT: Connecting large language models with real-world RESTful APIs. arXiv preprint arXiv:2306.06624 (2023).</w:t>
      </w:r>
    </w:p>
    <w:p w14:paraId="2A73D04A">
      <w:pPr>
        <w:spacing w:before="20" w:after="40" w:line="264" w:lineRule="auto"/>
        <w:jc w:val="both"/>
        <w:rPr>
          <w:sz w:val="24"/>
          <w:szCs w:val="24"/>
        </w:rPr>
      </w:pPr>
      <w:r>
        <w:rPr>
          <w:rFonts w:ascii="Arial" w:hAnsi="Arial"/>
          <w:sz w:val="24"/>
          <w:szCs w:val="24"/>
        </w:rPr>
        <w:t>26. Lu, P. et al. Chameleon: Plug-and-play compositional reasoning with large language models. In Advances in Neural Information Processing Systems (NeurIPS), vol. 36 (2023).</w:t>
      </w:r>
    </w:p>
    <w:p w14:paraId="55B15388">
      <w:pPr>
        <w:spacing w:before="20" w:after="40" w:line="264" w:lineRule="auto"/>
        <w:jc w:val="both"/>
        <w:rPr>
          <w:sz w:val="24"/>
          <w:szCs w:val="24"/>
        </w:rPr>
      </w:pPr>
      <w:r>
        <w:rPr>
          <w:rFonts w:ascii="Arial" w:hAnsi="Arial"/>
          <w:sz w:val="24"/>
          <w:szCs w:val="24"/>
        </w:rPr>
        <w:t>27. Burges, C. J. From RankNet to LambdaRank to LambdaMART: An overview. Learning 11, 81 (2010).</w:t>
      </w:r>
    </w:p>
    <w:p w14:paraId="60965FAE">
      <w:pPr>
        <w:spacing w:before="20" w:after="40" w:line="264" w:lineRule="auto"/>
        <w:jc w:val="both"/>
        <w:rPr>
          <w:sz w:val="24"/>
          <w:szCs w:val="24"/>
        </w:rPr>
      </w:pPr>
      <w:r>
        <w:rPr>
          <w:rFonts w:ascii="Arial" w:hAnsi="Arial"/>
          <w:sz w:val="24"/>
          <w:szCs w:val="24"/>
        </w:rPr>
        <w:t>28. Zhang, Q. &amp; Li, H. MOEA/D: A multiobjective evolutionary algorithm based on decomposition. IEEE Transactions on Evolutionary Computation 11, 712–731 (2007).</w:t>
      </w:r>
    </w:p>
    <w:p w14:paraId="6A71AF28">
      <w:pPr>
        <w:spacing w:before="20" w:after="40" w:line="264" w:lineRule="auto"/>
        <w:jc w:val="both"/>
        <w:rPr>
          <w:sz w:val="24"/>
          <w:szCs w:val="24"/>
        </w:rPr>
      </w:pPr>
      <w:r>
        <w:rPr>
          <w:rFonts w:ascii="Arial" w:hAnsi="Arial"/>
          <w:sz w:val="24"/>
          <w:szCs w:val="24"/>
        </w:rPr>
        <w:t>29. Zheng, Y. et al. Truth discovery on crowdsourced data: A survey. IEEE Transactions on Knowledge and Data Engineering 29, 1887–1901 (2017).</w:t>
      </w:r>
    </w:p>
    <w:p w14:paraId="5DBC51E5">
      <w:pPr>
        <w:spacing w:before="20" w:after="40" w:line="264" w:lineRule="auto"/>
        <w:jc w:val="both"/>
        <w:rPr>
          <w:sz w:val="24"/>
          <w:szCs w:val="24"/>
        </w:rPr>
      </w:pPr>
      <w:r>
        <w:rPr>
          <w:rFonts w:ascii="Arial" w:hAnsi="Arial"/>
          <w:sz w:val="24"/>
          <w:szCs w:val="24"/>
        </w:rPr>
        <w:t>30. Izacard, G. et al. Unsupervised dense information retrieval with contrastive learning. Transactions on Machine Learning Research (2022).</w:t>
      </w:r>
    </w:p>
    <w:p w14:paraId="0FBEDF69">
      <w:pPr>
        <w:spacing w:before="0" w:after="120" w:line="276" w:lineRule="auto"/>
        <w:jc w:val="both"/>
        <w:rPr>
          <w:sz w:val="24"/>
          <w:szCs w:val="24"/>
        </w:rPr>
      </w:pPr>
    </w:p>
    <w:sectPr>
      <w:footerReference r:id="rId5" w:type="default"/>
      <w:pgSz w:w="11909" w:h="16834"/>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A1502">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AC51A1"/>
    <w:multiLevelType w:val="singleLevel"/>
    <w:tmpl w:val="CEAC51A1"/>
    <w:lvl w:ilvl="0" w:tentative="0">
      <w:start w:val="1"/>
      <w:numFmt w:val="upperLetter"/>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120060"/>
    <w:rsid w:val="43A2500E"/>
    <w:rsid w:val="6F6132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1E1E1E"/>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3730</Words>
  <Characters>24700</Characters>
  <Lines>0</Lines>
  <Paragraphs>0</Paragraphs>
  <TotalTime>26</TotalTime>
  <ScaleCrop>false</ScaleCrop>
  <LinksUpToDate>false</LinksUpToDate>
  <CharactersWithSpaces>28308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ARUL RAJ HARESH</cp:lastModifiedBy>
  <dcterms:modified xsi:type="dcterms:W3CDTF">2026-10-28T06:25:41Z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eyJoZGlkIjoiNzFkZmRjNzk4YjU5ZmNlMGI2N2M3NDA2YTI3YTMwOTYifQ==</vt:lpwstr>
  </property>
  <property fmtid="{D5CDD505-2E9C-101B-9397-08002B2CF9AE}" pid="3" name="KSOProductBuildVer">
    <vt:lpwstr>1033-12.1.0.29162</vt:lpwstr>
  </property>
  <property fmtid="{D5CDD505-2E9C-101B-9397-08002B2CF9AE}" pid="4" name="ICV">
    <vt:lpwstr>402ADFCC290142E4943AE83C20C3DB51_12</vt:lpwstr>
  </property>
</Properties>
</file>