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2026-06-03 日报</w:t>
      </w:r>
    </w:p>
    <w:p>
      <w:r>
        <w:t xml:space="preserve">上午：</w:t>
      </w:r>
    </w:p>
    <w:p>
      <w:r>
        <w:t xml:space="preserve">梳理自动化发布工具的账号配置逻辑。</w:t>
      </w:r>
    </w:p>
    <w:p>
      <w:r>
        <w:t xml:space="preserve">对比小红书、抖音、TikTok 的平台字段差异。</w:t>
      </w:r>
    </w:p>
    <w:p>
      <w:r>
        <w:t xml:space="preserve">下午：</w:t>
      </w:r>
    </w:p>
    <w:p>
      <w:r>
        <w:t xml:space="preserve">调试评论自动回复接口。</w:t>
      </w:r>
    </w:p>
    <w:p>
      <w:r>
        <w:t xml:space="preserve">发现部分错误码没有统一映射，后续需要整理错误码映射表。</w:t>
      </w:r>
    </w:p>
    <w:tbl>
      <w:tblPr>
        <w:tblW w:w="0" w:type="auto"/>
      </w:tblPr>
      <w:tblGrid>
        <w:gridCol w:w="2500"/>
        <w:gridCol w:w="6500"/>
      </w:tblGrid>
      <w:tr>
        <w:tc>
          <w:tcPr>
            <w:tcW w:w="0" w:type="auto"/>
          </w:tcPr>
          <w:p>
            <w:r>
              <w:t>分类</w:t>
            </w:r>
          </w:p>
        </w:tc>
        <w:tc>
          <w:tcPr>
            <w:tcW w:w="0" w:type="auto"/>
          </w:tcPr>
          <w:p>
            <w:r>
              <w:t>内容</w:t>
            </w:r>
          </w:p>
        </w:tc>
      </w:tr>
      <w:tr>
        <w:tc>
          <w:tcPr>
            <w:tcW w:w="0" w:type="auto"/>
          </w:tcPr>
          <w:p>
            <w:r>
              <w:t>个人成长</w:t>
            </w:r>
          </w:p>
        </w:tc>
        <w:tc>
          <w:tcPr>
            <w:tcW w:w="0" w:type="auto"/>
          </w:tcPr>
          <w:p>
            <w:r>
              <w:t>对不同平台的发布字段和账号授权流程有了更清晰理解。</w:t>
            </w:r>
          </w:p>
        </w:tc>
      </w:tr>
      <w:tr>
        <w:tc>
          <w:tcPr>
            <w:tcW w:w="0" w:type="auto"/>
          </w:tcPr>
          <w:p>
            <w:r>
              <w:t>问题</w:t>
            </w:r>
          </w:p>
        </w:tc>
        <w:tc>
          <w:tcPr>
            <w:tcW w:w="0" w:type="auto"/>
          </w:tcPr>
          <w:p>
            <w:r>
              <w:t>不同平台接口返回结构不一致，导致统一封装成本较高。</w:t>
            </w:r>
          </w:p>
        </w:tc>
      </w:tr>
      <w:tr>
        <w:tc>
          <w:tcPr>
            <w:tcW w:w="0" w:type="auto"/>
          </w:tcPr>
          <w:p>
            <w:r>
              <w:t>解决方案</w:t>
            </w:r>
          </w:p>
        </w:tc>
        <w:tc>
          <w:tcPr>
            <w:tcW w:w="0" w:type="auto"/>
          </w:tcPr>
          <w:p>
            <w:r>
              <w:t>后续准备抽象统一字段映射层，降低平台差异对业务逻辑的影响。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DailyChewer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DailyChewer Example Report</dc:title>
  <dc:creator>DailyChewer</dc:creator>
</cp:coreProperties>
</file>