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169D53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800350" cy="2476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PERSONAL PROFILE</w:t>
      </w: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ind w:left="4460" w:right="40"/>
        <w:spacing w:after="0" w:line="3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 three-year-experienced general surgeon. Abdominal surgery, laparoscopy, and trauma surgery are all areas of expertise. Emergency medicine experience.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-469265</wp:posOffset>
            </wp:positionH>
            <wp:positionV relativeFrom="paragraph">
              <wp:posOffset>855345</wp:posOffset>
            </wp:positionV>
            <wp:extent cx="7559040" cy="9702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b w:val="1"/>
          <w:bCs w:val="1"/>
          <w:color w:val="FFFFFF"/>
        </w:rPr>
        <w:t>JACOB HOWARD, MD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i w:val="1"/>
          <w:iCs w:val="1"/>
          <w:color w:val="FFFFFF"/>
        </w:rPr>
        <w:t>General Surgeon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-469265</wp:posOffset>
            </wp:positionH>
            <wp:positionV relativeFrom="paragraph">
              <wp:posOffset>193675</wp:posOffset>
            </wp:positionV>
            <wp:extent cx="2800350" cy="7241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24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5" w:orient="portrait"/>
          <w:cols w:equalWidth="0" w:num="1">
            <w:col w:w="9960"/>
          </w:cols>
          <w:pgMar w:left="740" w:top="1101" w:right="1210" w:bottom="426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169D53"/>
        </w:rPr>
        <w:t>CONTACT DETAILS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123 Anywhere St., Any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City, ST 12345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hello@reallygreatsite.co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www.reallygreatsite.com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@reallygreatsite</w:t>
      </w: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169D53"/>
        </w:rPr>
        <w:t>SPECIALIZATIONS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General Surgery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Bariatric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Trauma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Rescue Of Abdominal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Organs and Tissues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Adult Intensive Care</w:t>
      </w: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169D53"/>
        </w:rPr>
        <w:t>COMPETENCIES</w:t>
      </w:r>
    </w:p>
    <w:p>
      <w:pPr>
        <w:spacing w:after="0" w:line="185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Good communication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skills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340" w:right="114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Attention to detail Strong leadership and management skills</w:t>
      </w:r>
    </w:p>
    <w:p>
      <w:pPr>
        <w:spacing w:after="0" w:line="1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169D53"/>
        </w:rPr>
        <w:t>EDUCATION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400" w:right="1100"/>
        <w:spacing w:after="0" w:line="3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Warner &amp; Spencer University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380" w:right="1080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169D53"/>
        </w:rPr>
        <w:t>Doctor of Medicine, General Surgeon | August 2018-April 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169D53"/>
        </w:rPr>
        <w:t>MEDICAL CAREER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General Surgeon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-163830</wp:posOffset>
            </wp:positionH>
            <wp:positionV relativeFrom="paragraph">
              <wp:posOffset>-80645</wp:posOffset>
            </wp:positionV>
            <wp:extent cx="57150" cy="571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169D53"/>
        </w:rPr>
        <w:t>Larana General Hospital | July 2020-Current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Chief of Surgery Department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59055</wp:posOffset>
            </wp:positionH>
            <wp:positionV relativeFrom="paragraph">
              <wp:posOffset>-80010</wp:posOffset>
            </wp:positionV>
            <wp:extent cx="47625" cy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340" w:right="78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Managed the organizational aspects of the Surgery Department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59055</wp:posOffset>
            </wp:positionH>
            <wp:positionV relativeFrom="paragraph">
              <wp:posOffset>-276225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340"/>
        <w:spacing w:after="0" w:line="32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Trained in a variety of surgical services using state of the art techniques and technologies Performed general surgical procedures of abdominal diseases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59055</wp:posOffset>
            </wp:positionH>
            <wp:positionV relativeFrom="paragraph">
              <wp:posOffset>-525145</wp:posOffset>
            </wp:positionV>
            <wp:extent cx="47625" cy="47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59055</wp:posOffset>
            </wp:positionH>
            <wp:positionV relativeFrom="paragraph">
              <wp:posOffset>-182245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Surgical Resident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-163830</wp:posOffset>
            </wp:positionH>
            <wp:positionV relativeFrom="paragraph">
              <wp:posOffset>-80645</wp:posOffset>
            </wp:positionV>
            <wp:extent cx="57150" cy="571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right="900"/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169D53"/>
        </w:rPr>
        <w:t>Fauget General Hospital | August 2018-January 2020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340" w:right="26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Developed diagnose medical conditions that warranted general surgery and other related treatments under senior supervision Performed on emergency (trauma) surgical procedures at patients with damaged organs of thorax and abdomen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59055</wp:posOffset>
            </wp:positionH>
            <wp:positionV relativeFrom="paragraph">
              <wp:posOffset>-859155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59055</wp:posOffset>
            </wp:positionH>
            <wp:positionV relativeFrom="paragraph">
              <wp:posOffset>-344805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General Practitioner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-163830</wp:posOffset>
            </wp:positionH>
            <wp:positionV relativeFrom="paragraph">
              <wp:posOffset>-80645</wp:posOffset>
            </wp:positionV>
            <wp:extent cx="57150" cy="571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right="20"/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i w:val="1"/>
          <w:iCs w:val="1"/>
          <w:color w:val="169D53"/>
        </w:rPr>
        <w:t>Arrowai Medical Center | August 2014-October 2017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340" w:right="32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Shadowed at the Medical Center 7-12 hours per week.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59055</wp:posOffset>
            </wp:positionH>
            <wp:positionV relativeFrom="paragraph">
              <wp:posOffset>-104775</wp:posOffset>
            </wp:positionV>
            <wp:extent cx="47625" cy="476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340" w:right="140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Observed an average of about seven cases and follow-ups per week in the OR/ER with the Doctor.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59055</wp:posOffset>
            </wp:positionH>
            <wp:positionV relativeFrom="paragraph">
              <wp:posOffset>-398780</wp:posOffset>
            </wp:positionV>
            <wp:extent cx="47625" cy="476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20" w:h="16845" w:orient="portrait"/>
      <w:cols w:equalWidth="0" w:num="2">
        <w:col w:w="3740" w:space="720"/>
        <w:col w:w="5500"/>
      </w:cols>
      <w:pgMar w:left="740" w:top="1101" w:right="1210" w:bottom="42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2024-09-16T09:25:53Z</dcterms:created>
  <dcterms:modified xsi:type="dcterms:W3CDTF">2024-09-16T09:25:53Z</dcterms:modified>
</cp:coreProperties>
</file>