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PII Test Document</w:t>
      </w:r>
    </w:p>
    <w:p>
      <w:r>
        <w:t>Generated by evaluation/make_synthetic.py. Every paragraph below has known gold labels; do not edit without regenerating ground truth.</w:t>
      </w:r>
    </w:p>
    <w:p>
      <w:r>
        <w:t>Employee record: Priya Raghunathan, SSN 452-11-8873, date of birth 14/03/1982.</w:t>
      </w:r>
    </w:p>
    <w:p>
      <w:r>
        <w:t>Payment received from card 4539 1488 0343 6467 issued to Marcus Whitfield.</w:t>
      </w:r>
    </w:p>
    <w:p>
      <w:r>
        <w:t>Card on file: 5500-0000-0000-0004. Backup card: 3400 0000 0000 009.</w:t>
      </w:r>
    </w:p>
    <w:p>
      <w:r>
        <w:t>The request originated from 203.0.113.42 and was relayed via 10.0.0.255.</w:t>
      </w:r>
    </w:p>
    <w:p>
      <w:r>
        <w:t>IPv6 endpoint 2001:0db8:85a3:0000:0000:8a2e:0370:7334 logged the session.</w:t>
      </w:r>
    </w:p>
    <w:p>
      <w:r>
        <w:t>Applicant Dr. Rohan Dey (DOB: 02 August 1979) can be reached at rohan.dey@example-mail.com or +91 98765 43210.</w:t>
      </w:r>
    </w:p>
    <w:p>
      <w:r>
        <w:t>Beneficiary: Ms. Anita Krishnan, born on March 7, 1990, SSN 078-05-1120.</w:t>
      </w:r>
    </w:p>
    <w:p>
      <w:r>
        <w:t>Correspondence address: 48 Riverbend Road, Whitefield, Bengaluru - 560 066, Karnataka, India.</w:t>
      </w:r>
    </w:p>
    <w:p>
      <w:r>
        <w:t>Vendor of record is Northwind Components Private Limited, represented by Sanjay Iyer.</w:t>
      </w:r>
    </w:p>
    <w:p>
      <w:r>
        <w:t>PAN AABCK1234M and Aadhaar 2340 1234 5678 were submitted with the form.</w:t>
      </w:r>
    </w:p>
    <w:p>
      <w:r>
        <w:t>Order 4532-1122-3344-5566 shipped on 12/01/2024; see invoice 998-12-3456.</w:t>
      </w:r>
    </w:p>
    <w:p>
      <w:r>
        <w:t>Version 10.0.0.1 of the firmware supersedes build 999.999.999.999.</w:t>
      </w:r>
    </w:p>
    <w:p>
      <w:r>
        <w:t>SSN 000-45-6789 and 666-45-6789 are structurally invalid identifiers.</w:t>
      </w:r>
    </w:p>
    <w:p>
      <w:r>
        <w:t>The board met on December 10, 2025 and page 124 records the resolution.</w:t>
      </w:r>
    </w:p>
    <w:p>
      <w:r>
        <w:t>Ticket 4111111111111111 was raised against the Companies Act, 2013 by SEBI.</w:t>
      </w:r>
    </w:p>
    <w:p>
      <w:r>
        <w:t>Reserve Bank of India and the National Stock Exchange of India Limited published the circular on Working Day 3.</w:t>
      </w:r>
    </w:p>
    <w:p>
      <w:r>
        <w:t>Total revenue was 4,200.00 million against 10,00,000 Equity Shares of face value 5 each.</w:t>
      </w:r>
    </w:p>
    <w:p>
      <w:r>
        <w:t>Refer to the Escrow Collection Bank and the Public Offer Account Bank as defined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