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Changing Landscape of the Global Economy</w:t>
      </w:r>
    </w:p>
    <w:p>
      <w:r>
        <w:br/>
        <w:t>The global economy is constantly evolving, driven by factors such as technological advancements, trade policies, and geopolitical events. In recent years, digital transformation and automation have reshaped industries, influencing employment and productivity worldwide.</w:t>
        <w:br/>
        <w:br/>
        <w:t>Economic policies play a crucial role in stability and growth. Central banks regulate inflation and interest rates, while governments implement fiscal policies to stimulate markets and control public debt. These measures impact businesses, investments, and consumer confidence.</w:t>
        <w:br/>
        <w:br/>
        <w:t>As globalization continues, economies are becoming more interconnected. The rise of emerging markets, shifts in trade agreements, and advancements in financial technology are shaping the future of economic development. Staying adaptable in this ever-changing environment is essential for businesses and individuals alike.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