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2B2B5E"/>
          <w:sz w:val="36"/>
        </w:rPr>
        <w:t>Harikrishnan N</w:t>
      </w:r>
    </w:p>
    <w:p>
      <w:pPr>
        <w:jc w:val="center"/>
      </w:pPr>
      <w:r>
        <w:rPr>
          <w:rFonts w:ascii="Calibri" w:hAnsi="Calibri"/>
          <w:b w:val="0"/>
          <w:i w:val="0"/>
          <w:color w:val="505050"/>
          <w:sz w:val="20"/>
        </w:rPr>
        <w:t>Business Analyst | Trust &amp; Safety | Automation &amp; Data Systems</w:t>
      </w:r>
    </w:p>
    <w:p>
      <w:pPr>
        <w:jc w:val="center"/>
      </w:pPr>
      <w:r>
        <w:rPr>
          <w:rFonts w:ascii="Calibri" w:hAnsi="Calibri"/>
          <w:b w:val="0"/>
          <w:i w:val="0"/>
          <w:color w:val="646464"/>
          <w:sz w:val="17"/>
        </w:rPr>
        <w:t>harikrishnanz98@gmail.com | +91 9744754654 | https://www.linkedin.com/in/harikriz | https://harikriz.netlify.app</w:t>
      </w:r>
    </w:p>
    <w:p>
      <w:r>
        <w:rPr>
          <w:rFonts w:ascii="Calibri" w:hAnsi="Calibri"/>
          <w:b/>
          <w:i w:val="0"/>
          <w:color w:val="2B2B5E"/>
          <w:sz w:val="22"/>
        </w:rPr>
        <w:t>PROFESSIONAL SUMMARY</w:t>
      </w:r>
    </w:p>
    <w:p>
      <w:pPr>
        <w:spacing w:before="0" w:after="60"/>
        <w:pBdr>
          <w:bottom w:val="single" w:sz="4" w:space="1" w:color="2B2B5E"/>
        </w:pBdr>
      </w:pPr>
    </w:p>
    <w:p>
      <w:pPr>
        <w:spacing w:before="60"/>
      </w:pPr>
      <w:r>
        <w:rPr>
          <w:rFonts w:ascii="Calibri" w:hAnsi="Calibri"/>
          <w:b w:val="0"/>
          <w:i w:val="0"/>
          <w:sz w:val="19"/>
        </w:rPr>
        <w:t>Results-driven Business Analyst with 5+ years of experience building risk detection frameworks, audit automation platforms, and enforcement quality systems at scale. Proven ability to thrive in ambiguous, compliance-intensive environments, delivering automated integrity solutions adopted by 250+ users globally and processing millions of records with measurable gains in accuracy, efficiency, and risk coverage.</w:t>
      </w:r>
    </w:p>
    <w:p>
      <w:r>
        <w:rPr>
          <w:rFonts w:ascii="Calibri" w:hAnsi="Calibri"/>
          <w:b/>
          <w:i w:val="0"/>
          <w:color w:val="2B2B5E"/>
          <w:sz w:val="22"/>
        </w:rPr>
        <w:t>CORE COMPETENCIES</w:t>
      </w:r>
    </w:p>
    <w:p>
      <w:pPr>
        <w:spacing w:before="0" w:after="60"/>
        <w:pBdr>
          <w:bottom w:val="single" w:sz="4" w:space="1" w:color="2B2B5E"/>
        </w:pBdr>
      </w:pPr>
    </w:p>
    <w:p>
      <w:pPr>
        <w:spacing w:before="60"/>
      </w:pPr>
      <w:r>
        <w:rPr>
          <w:rFonts w:ascii="Calibri" w:hAnsi="Calibri"/>
          <w:b w:val="0"/>
          <w:i w:val="0"/>
          <w:sz w:val="19"/>
        </w:rPr>
        <w:t>Python | SQL | AWS (S3, Redshift, DynamoDB, CloudWatch) | Flask | VBA | ETL Pipeline Development | Risk Detection &amp; Sampling Logic | Audit Automation | Data Analysis &amp; Visualization | QuickSight Dashboarding | SAP | Excel | Workflow Optimization | Stakeholder Management | Internal Tool Development | AHT Modeling &amp; Bottleneck Analysis</w:t>
      </w:r>
    </w:p>
    <w:p>
      <w:r>
        <w:rPr>
          <w:rFonts w:ascii="Calibri" w:hAnsi="Calibri"/>
          <w:b/>
          <w:i w:val="0"/>
          <w:color w:val="2B2B5E"/>
          <w:sz w:val="22"/>
        </w:rPr>
        <w:t>PROFESSIONAL EXPERIENCE</w:t>
      </w:r>
    </w:p>
    <w:p>
      <w:pPr>
        <w:spacing w:before="0" w:after="60"/>
        <w:pBdr>
          <w:bottom w:val="single" w:sz="4" w:space="1" w:color="2B2B5E"/>
        </w:pBdr>
      </w:pPr>
    </w:p>
    <w:p>
      <w:r>
        <w:rPr>
          <w:rFonts w:ascii="Calibri" w:hAnsi="Calibri"/>
          <w:b/>
          <w:i w:val="0"/>
          <w:color w:val="2B2B5E"/>
          <w:sz w:val="21"/>
        </w:rPr>
        <w:t>Business Analyst</w:t>
      </w:r>
      <w:r>
        <w:rPr>
          <w:rFonts w:ascii="Calibri" w:hAnsi="Calibri"/>
          <w:b w:val="0"/>
          <w:i w:val="0"/>
          <w:color w:val="787878"/>
          <w:sz w:val="20"/>
        </w:rPr>
        <w:t xml:space="preserve">  |  </w:t>
      </w:r>
      <w:r>
        <w:rPr>
          <w:rFonts w:ascii="Calibri" w:hAnsi="Calibri"/>
          <w:b/>
          <w:i w:val="0"/>
          <w:sz w:val="20"/>
        </w:rPr>
        <w:t>Amazon Prime Video and Studios</w:t>
      </w:r>
    </w:p>
    <w:p>
      <w:r>
        <w:rPr>
          <w:rFonts w:ascii="Calibri" w:hAnsi="Calibri"/>
          <w:b w:val="0"/>
          <w:i/>
          <w:color w:val="646464"/>
          <w:sz w:val="18"/>
        </w:rPr>
        <w:t>May 2022 – Present  |  Bangalore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Architected and deployed full-stack audit orchestration platform using Python, Flask, DynamoDB, and Redshift, now used by 200+ employees globally, saving 18 analyst-hours per day and reducing manual touchpoints from 30+ to 3.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Engineered Python-based agent automation system for storefront compliance audits, integrating playback simulation, screenshot capture, and Cloud OCR processing with automated pass/fail detection logic.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Redesigned SQL-based defect detection thresholds through historical pattern analysis, achieving 30% improvement in critical issue detection while reducing false positives in enforcement pipelines.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Conducted deep-dive analysis on defect data across workflows, identifying recurring risk patterns and developing targeted risk-based sampling logic to surface erroneous items from large data pools.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Built ETL pipelines to ingest and process audited data daily, creating a self-adjusting risk detection system with continuous feedback loop between audit outcomes and detection thresholds.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Designed and maintained standardized pipeline for model outputs per organizational requirements, owning critical datasets consumed by multiple analytical teams.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Resolved 100+ ad-hoc data requests from cross-functional stakeholders, delivering custom SQL queries, data extracts, and analytical summaries under tight deadlines.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Developed dynamic Time and Motion Study engine with step-wise time capture, automatic AHT calculation, bottleneck discovery, and optimal vs achievable target modeling.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Developed 3 VBA macros deployed as BAU tools across 50+ employees, saving approximately 10 hours per week and achieving 80% manual touchpoint reduction in audit workflows.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Built live admin dashboards using QuickSight, enabling self-serve workflow visibility and tracking volumes, quality, and SLA trends for leadership reviews.</w:t>
      </w:r>
    </w:p>
    <w:p>
      <w:r>
        <w:rPr>
          <w:rFonts w:ascii="Calibri" w:hAnsi="Calibri"/>
          <w:b/>
          <w:i w:val="0"/>
          <w:color w:val="2B2B5E"/>
          <w:sz w:val="21"/>
        </w:rPr>
        <w:t>Catalog Specialist</w:t>
      </w:r>
      <w:r>
        <w:rPr>
          <w:rFonts w:ascii="Calibri" w:hAnsi="Calibri"/>
          <w:b w:val="0"/>
          <w:i w:val="0"/>
          <w:color w:val="787878"/>
          <w:sz w:val="20"/>
        </w:rPr>
        <w:t xml:space="preserve">  |  </w:t>
      </w:r>
      <w:r>
        <w:rPr>
          <w:rFonts w:ascii="Calibri" w:hAnsi="Calibri"/>
          <w:b/>
          <w:i w:val="0"/>
          <w:sz w:val="20"/>
        </w:rPr>
        <w:t>Amazon Prime Video and Studios</w:t>
      </w:r>
    </w:p>
    <w:p>
      <w:r>
        <w:rPr>
          <w:rFonts w:ascii="Calibri" w:hAnsi="Calibri"/>
          <w:b w:val="0"/>
          <w:i/>
          <w:color w:val="646464"/>
          <w:sz w:val="18"/>
        </w:rPr>
        <w:t>March 2022 – May 2022  |  Bangalore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Conducted content analysis and classification with 98% productivity while maintaining 100% quality standards.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Managed sensitive corporate data in secure environment with strict governance protocols.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Collaborated with 40+ team members on data collection, validation, and weekly reporting.</w:t>
      </w:r>
    </w:p>
    <w:p>
      <w:r>
        <w:rPr>
          <w:rFonts w:ascii="Calibri" w:hAnsi="Calibri"/>
          <w:b/>
          <w:i w:val="0"/>
          <w:color w:val="2B2B5E"/>
          <w:sz w:val="21"/>
        </w:rPr>
        <w:t>Operational Assistant</w:t>
      </w:r>
      <w:r>
        <w:rPr>
          <w:rFonts w:ascii="Calibri" w:hAnsi="Calibri"/>
          <w:b w:val="0"/>
          <w:i w:val="0"/>
          <w:color w:val="787878"/>
          <w:sz w:val="20"/>
        </w:rPr>
        <w:t xml:space="preserve">  |  </w:t>
      </w:r>
      <w:r>
        <w:rPr>
          <w:rFonts w:ascii="Calibri" w:hAnsi="Calibri"/>
          <w:b/>
          <w:i w:val="0"/>
          <w:sz w:val="20"/>
        </w:rPr>
        <w:t>MRF Limited</w:t>
      </w:r>
    </w:p>
    <w:p>
      <w:r>
        <w:rPr>
          <w:rFonts w:ascii="Calibri" w:hAnsi="Calibri"/>
          <w:b w:val="0"/>
          <w:i/>
          <w:color w:val="646464"/>
          <w:sz w:val="18"/>
        </w:rPr>
        <w:t>January 2021 – March 2022  |  Agra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Generated daily Management Information Reports by compiling and analyzing large datasets for senior management decision-making.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Managed SAP-based operations including vendor liabilities, inventory tracking, sales analysis, and inter-office stock transfers.</w:t>
      </w:r>
    </w:p>
    <w:p>
      <w:pPr>
        <w:ind w:left="360" w:hanging="288"/>
      </w:pPr>
      <w:r>
        <w:rPr>
          <w:rFonts w:ascii="Calibri" w:hAnsi="Calibri"/>
          <w:b w:val="0"/>
          <w:i w:val="0"/>
          <w:sz w:val="19"/>
        </w:rPr>
        <w:t>•  Prepared and led TDS and TCS Returns, ensuring compliance with regulatory requirements.</w:t>
      </w:r>
    </w:p>
    <w:p>
      <w:r>
        <w:rPr>
          <w:rFonts w:ascii="Calibri" w:hAnsi="Calibri"/>
          <w:b/>
          <w:i w:val="0"/>
          <w:color w:val="2B2B5E"/>
          <w:sz w:val="22"/>
        </w:rPr>
        <w:t>EDUCATION</w:t>
      </w:r>
    </w:p>
    <w:p>
      <w:pPr>
        <w:spacing w:before="0" w:after="60"/>
        <w:pBdr>
          <w:bottom w:val="single" w:sz="4" w:space="1" w:color="2B2B5E"/>
        </w:pBdr>
      </w:pPr>
    </w:p>
    <w:p>
      <w:r>
        <w:rPr>
          <w:rFonts w:ascii="Calibri" w:hAnsi="Calibri"/>
          <w:b/>
          <w:i w:val="0"/>
          <w:sz w:val="20"/>
        </w:rPr>
        <w:t>Bachelor of Commerce</w:t>
      </w:r>
      <w:r>
        <w:rPr>
          <w:rFonts w:ascii="Calibri" w:hAnsi="Calibri"/>
          <w:b w:val="0"/>
          <w:i w:val="0"/>
          <w:color w:val="787878"/>
          <w:sz w:val="19"/>
        </w:rPr>
        <w:t xml:space="preserve">  |  </w:t>
      </w:r>
      <w:r>
        <w:rPr>
          <w:rFonts w:ascii="Calibri" w:hAnsi="Calibri"/>
          <w:b w:val="0"/>
          <w:i w:val="0"/>
          <w:sz w:val="19"/>
        </w:rPr>
        <w:t>Kerala University, S.D College</w:t>
      </w:r>
      <w:r>
        <w:rPr>
          <w:rFonts w:ascii="Calibri" w:hAnsi="Calibri"/>
          <w:b w:val="0"/>
          <w:i w:val="0"/>
          <w:color w:val="787878"/>
          <w:sz w:val="19"/>
        </w:rPr>
        <w:t xml:space="preserve">  |  </w:t>
      </w:r>
      <w:r>
        <w:rPr>
          <w:rFonts w:ascii="Calibri" w:hAnsi="Calibri"/>
          <w:b w:val="0"/>
          <w:i/>
          <w:color w:val="646464"/>
          <w:sz w:val="19"/>
        </w:rPr>
        <w:t>2016 – 2019</w:t>
      </w:r>
      <w:r>
        <w:rPr>
          <w:rFonts w:ascii="Calibri" w:hAnsi="Calibri"/>
          <w:b w:val="0"/>
          <w:i w:val="0"/>
          <w:color w:val="787878"/>
          <w:sz w:val="19"/>
        </w:rPr>
        <w:t xml:space="preserve">  |  </w:t>
      </w:r>
      <w:r>
        <w:rPr>
          <w:rFonts w:ascii="Calibri" w:hAnsi="Calibri"/>
          <w:b w:val="0"/>
          <w:i w:val="0"/>
          <w:color w:val="505050"/>
          <w:sz w:val="19"/>
        </w:rPr>
        <w:t>CGPA: 7.1/10</w:t>
      </w:r>
    </w:p>
    <w:p>
      <w:r>
        <w:rPr>
          <w:rFonts w:ascii="Calibri" w:hAnsi="Calibri"/>
          <w:b/>
          <w:i w:val="0"/>
          <w:sz w:val="20"/>
        </w:rPr>
        <w:t>Tally and MS Office Certification</w:t>
      </w:r>
      <w:r>
        <w:rPr>
          <w:rFonts w:ascii="Calibri" w:hAnsi="Calibri"/>
          <w:b w:val="0"/>
          <w:i w:val="0"/>
          <w:color w:val="787878"/>
          <w:sz w:val="19"/>
        </w:rPr>
        <w:t xml:space="preserve">  |  </w:t>
      </w:r>
      <w:r>
        <w:rPr>
          <w:rFonts w:ascii="Calibri" w:hAnsi="Calibri"/>
          <w:b w:val="0"/>
          <w:i w:val="0"/>
          <w:sz w:val="19"/>
        </w:rPr>
        <w:t>ICMAI Chapters Institution</w:t>
      </w:r>
      <w:r>
        <w:rPr>
          <w:rFonts w:ascii="Calibri" w:hAnsi="Calibri"/>
          <w:b w:val="0"/>
          <w:i w:val="0"/>
          <w:color w:val="787878"/>
          <w:sz w:val="19"/>
        </w:rPr>
        <w:t xml:space="preserve">  |  </w:t>
      </w:r>
      <w:r>
        <w:rPr>
          <w:rFonts w:ascii="Calibri" w:hAnsi="Calibri"/>
          <w:b w:val="0"/>
          <w:i/>
          <w:color w:val="646464"/>
          <w:sz w:val="19"/>
        </w:rPr>
        <w:t>2019 – 2020</w:t>
      </w:r>
      <w:r>
        <w:rPr>
          <w:rFonts w:ascii="Calibri" w:hAnsi="Calibri"/>
          <w:b w:val="0"/>
          <w:i w:val="0"/>
          <w:color w:val="787878"/>
          <w:sz w:val="19"/>
        </w:rPr>
        <w:t xml:space="preserve">  |  </w:t>
      </w:r>
      <w:r>
        <w:rPr>
          <w:rFonts w:ascii="Calibri" w:hAnsi="Calibri"/>
          <w:b w:val="0"/>
          <w:i w:val="0"/>
          <w:color w:val="505050"/>
          <w:sz w:val="19"/>
        </w:rPr>
        <w:t>Grade: A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