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32 - 12 September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32 -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b8w1e07tg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Features of DynamoDB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managed NoSQL database service.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predictable performance with seamless scaling.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flexible data models: key–value and document.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replication across multiple AZs (high availability).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Fine-grained access control with IAM.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ACID transactions for mission-critical workloads.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2z24o4f4v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Advantages of DynamoDB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Highly scalable (automatic partitioning).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latency reads/writes.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other AWS services (Lambda, API Gateway, etc.).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 consistency models (eventual and strong consistency).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both provisioned and on-demand capacity modes.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xkm97xmpy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Disadvantages of DynamoDB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Costs can increase with heavy read/write workloads.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Querying is limited compared to relational databases.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Indexes must be designed carefully at the start.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joins or aggregations are not natively supported.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lond6vhlp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DynamoDBMapper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object persistence model in the AWS SDK for Java.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Maps Java classes to DynamoDB tables.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Simplifies CRUD operations without manually building requests.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annotate Java class with @DynamoDBTable, use DynamoDBMapper to save, load, or delete objects.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5xv13okm1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DynamoDB Streams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Captures a time-ordered sequence of item-level changes in a table.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used to trigger AWS Lambda functions for real-time processing.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Replicating data across regions.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event-driven architectures.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Auditing and logging changes.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cc6uwp5bj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Pricing Models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Provisioned mode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specify Read Capacity Units (RCU) and Write Capacity Units (WCU).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On-demand mode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pay per request, no need to specify capacity.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charges for storage, Streams, backups, and DAX usage.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g6lp332s8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Hot Keys Issue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hot key is when too many read/write requests are routed to the same partition key.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Leads to throttling and uneven distribution of workload.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practice: choose partition keys with high cardinality to spread requests evenly.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z2fp1jx95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DynamoDB Accelerator (DAX)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In-memory caching service for DynamoDB.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read latency from milliseconds to microseconds.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managed and highly available.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Drop-in replacement (works with DynamoDB API calls).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