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321B9BC6" w:rsidR="00900F93" w:rsidRPr="00B86900" w:rsidRDefault="00426B68" w:rsidP="00D065EE">
      <w:pPr>
        <w:pStyle w:val="Title"/>
        <w:jc w:val="center"/>
        <w:rPr>
          <w:rFonts w:ascii="Times New Roman" w:eastAsiaTheme="minorHAnsi" w:hAnsi="Times New Roman" w:cs="Times New Roman"/>
          <w:spacing w:val="0"/>
          <w:kern w:val="0"/>
          <w:sz w:val="40"/>
          <w:szCs w:val="40"/>
        </w:rPr>
      </w:pPr>
      <w:r w:rsidRPr="00916895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916895">
        <w:rPr>
          <w:rFonts w:ascii="Times New Roman" w:eastAsiaTheme="minorHAnsi" w:hAnsi="Times New Roman" w:cs="Times New Roman"/>
          <w:spacing w:val="0"/>
          <w:kern w:val="0"/>
          <w:sz w:val="40"/>
          <w:szCs w:val="40"/>
        </w:rPr>
        <w:t>Wipro’s</w:t>
      </w:r>
      <w:r w:rsidR="008E6556" w:rsidRPr="00022849">
        <w:rPr>
          <w:rFonts w:ascii="Times New Roman" w:eastAsiaTheme="minorHAnsi" w:hAnsi="Times New Roman" w:cs="Times New Roman"/>
          <w:spacing w:val="0"/>
          <w:kern w:val="0"/>
          <w:sz w:val="40"/>
          <w:szCs w:val="40"/>
        </w:rPr>
        <w:t xml:space="preserve"> </w:t>
      </w:r>
    </w:p>
    <w:p w14:paraId="43AFCA57" w14:textId="3CF843FB" w:rsidR="00AE23C0" w:rsidRPr="00916895" w:rsidRDefault="00584276" w:rsidP="00916895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916895">
        <w:rPr>
          <w:rFonts w:ascii="Times New Roman" w:hAnsi="Times New Roman" w:cs="Times New Roman"/>
          <w:sz w:val="40"/>
          <w:szCs w:val="40"/>
        </w:rPr>
        <w:t>Logging and Monitoring</w:t>
      </w:r>
      <w:r w:rsidR="00AE23C0" w:rsidRPr="00916895">
        <w:rPr>
          <w:rFonts w:ascii="Times New Roman" w:hAnsi="Times New Roman" w:cs="Times New Roman"/>
          <w:sz w:val="40"/>
          <w:szCs w:val="40"/>
        </w:rPr>
        <w:t xml:space="preserve"> Policy</w:t>
      </w: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6894"/>
      </w:tblGrid>
      <w:tr w:rsidR="00D065EE" w:rsidRPr="00764D6C" w14:paraId="538A144F" w14:textId="77777777" w:rsidTr="000521AC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2C3D0690" w:rsidR="00D065EE" w:rsidRPr="00764D6C" w:rsidRDefault="00703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3466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109A9" w:rsidRPr="00764D6C" w14:paraId="2F6685B6" w14:textId="77777777" w:rsidTr="000521AC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109A9" w:rsidRPr="00764D6C" w:rsidRDefault="005109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3769E85F" w:rsidR="005109A9" w:rsidRPr="00764D6C" w:rsidRDefault="00DE41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764D6C" w14:paraId="75EEEA25" w14:textId="77777777" w:rsidTr="000521AC">
        <w:trPr>
          <w:trHeight w:val="257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065EE" w:rsidRPr="00764D6C" w:rsidRDefault="005109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52CC4DCE" w:rsidR="00D065EE" w:rsidRPr="00764D6C" w:rsidRDefault="00DE41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</w:p>
        </w:tc>
      </w:tr>
      <w:tr w:rsidR="00D065EE" w:rsidRPr="00764D6C" w14:paraId="3B4837CB" w14:textId="77777777" w:rsidTr="000521AC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D065EE" w:rsidRPr="00764D6C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66F66C4F" w:rsidR="00D065EE" w:rsidRPr="00764D6C" w:rsidRDefault="001800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20, 2019</w:t>
            </w:r>
          </w:p>
        </w:tc>
      </w:tr>
    </w:tbl>
    <w:p w14:paraId="5C914B39" w14:textId="77777777" w:rsidR="00D065EE" w:rsidRPr="00764D6C" w:rsidRDefault="00D065EE" w:rsidP="00621E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776A28" w:rsidRDefault="00D065EE" w:rsidP="00621E0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5EE2E90" w14:textId="77777777" w:rsidR="00F674F8" w:rsidRPr="00AB2383" w:rsidRDefault="00F674F8" w:rsidP="00621E06">
      <w:pPr>
        <w:spacing w:after="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</w:p>
    <w:p w14:paraId="75DC6B66" w14:textId="2E96EF8A" w:rsidR="004C65AE" w:rsidRDefault="00F674F8" w:rsidP="00621E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This policy </w:t>
      </w:r>
      <w:r w:rsidR="0018009D">
        <w:rPr>
          <w:rFonts w:ascii="Times New Roman" w:eastAsia="Verdana" w:hAnsi="Times New Roman" w:cs="Times New Roman"/>
          <w:color w:val="151920"/>
          <w:sz w:val="20"/>
          <w:szCs w:val="20"/>
        </w:rPr>
        <w:t>emphasizes</w:t>
      </w:r>
      <w:r w:rsidR="004C65AE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  <w:r w:rsidR="006A7E56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the </w:t>
      </w:r>
      <w:r w:rsidR="00E87C30">
        <w:rPr>
          <w:rFonts w:ascii="Times New Roman" w:eastAsia="Verdana" w:hAnsi="Times New Roman" w:cs="Times New Roman"/>
          <w:color w:val="151920"/>
          <w:sz w:val="20"/>
          <w:szCs w:val="20"/>
        </w:rPr>
        <w:t>requirement</w:t>
      </w:r>
      <w:r w:rsidR="006A7E56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of </w:t>
      </w:r>
      <w:r w:rsidR="004C65AE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>logging</w:t>
      </w:r>
      <w:r w:rsidR="00A17B27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, </w:t>
      </w:r>
      <w:r w:rsidR="005B7CC7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>monitoring,</w:t>
      </w:r>
      <w:r w:rsidR="00A17B27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and </w:t>
      </w:r>
      <w:r w:rsidR="004070FA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>analy</w:t>
      </w:r>
      <w:r w:rsidR="00DD27D6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zing </w:t>
      </w:r>
      <w:r w:rsidR="004C65AE" w:rsidRPr="00776A2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security events to </w:t>
      </w:r>
      <w:r w:rsidR="0065515E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identify and </w:t>
      </w:r>
      <w:r w:rsidR="004C65AE" w:rsidRPr="00776A28">
        <w:rPr>
          <w:rFonts w:ascii="Times New Roman" w:hAnsi="Times New Roman" w:cs="Times New Roman"/>
          <w:sz w:val="20"/>
          <w:szCs w:val="20"/>
        </w:rPr>
        <w:t xml:space="preserve">detect </w:t>
      </w:r>
      <w:r w:rsidR="0065515E">
        <w:rPr>
          <w:rFonts w:ascii="Times New Roman" w:hAnsi="Times New Roman" w:cs="Times New Roman"/>
          <w:sz w:val="20"/>
          <w:szCs w:val="20"/>
        </w:rPr>
        <w:t xml:space="preserve">any </w:t>
      </w:r>
      <w:r w:rsidR="004C65AE" w:rsidRPr="00776A28">
        <w:rPr>
          <w:rFonts w:ascii="Times New Roman" w:hAnsi="Times New Roman" w:cs="Times New Roman"/>
          <w:sz w:val="20"/>
          <w:szCs w:val="20"/>
        </w:rPr>
        <w:t xml:space="preserve">anomalous </w:t>
      </w:r>
      <w:r w:rsidRPr="00776A28">
        <w:rPr>
          <w:rFonts w:ascii="Times New Roman" w:hAnsi="Times New Roman" w:cs="Times New Roman"/>
          <w:sz w:val="20"/>
          <w:szCs w:val="20"/>
        </w:rPr>
        <w:t xml:space="preserve">behavior </w:t>
      </w:r>
      <w:r w:rsidR="004C65AE" w:rsidRPr="00776A28">
        <w:rPr>
          <w:rFonts w:ascii="Times New Roman" w:hAnsi="Times New Roman" w:cs="Times New Roman"/>
          <w:sz w:val="20"/>
          <w:szCs w:val="20"/>
        </w:rPr>
        <w:t>and potential information security incidents. This policy also</w:t>
      </w:r>
      <w:r w:rsidR="00E33BAF">
        <w:rPr>
          <w:rFonts w:ascii="Times New Roman" w:hAnsi="Times New Roman" w:cs="Times New Roman"/>
          <w:sz w:val="20"/>
          <w:szCs w:val="20"/>
        </w:rPr>
        <w:t xml:space="preserve"> </w:t>
      </w:r>
      <w:r w:rsidR="00384938">
        <w:rPr>
          <w:rFonts w:ascii="Times New Roman" w:hAnsi="Times New Roman" w:cs="Times New Roman"/>
          <w:sz w:val="20"/>
          <w:szCs w:val="20"/>
        </w:rPr>
        <w:t>specifies</w:t>
      </w:r>
      <w:r w:rsidR="009A0F02">
        <w:rPr>
          <w:rFonts w:ascii="Times New Roman" w:hAnsi="Times New Roman" w:cs="Times New Roman"/>
          <w:sz w:val="20"/>
          <w:szCs w:val="20"/>
        </w:rPr>
        <w:t xml:space="preserve"> </w:t>
      </w:r>
      <w:r w:rsidR="002E0F4A">
        <w:rPr>
          <w:rFonts w:ascii="Times New Roman" w:hAnsi="Times New Roman" w:cs="Times New Roman"/>
          <w:sz w:val="20"/>
          <w:szCs w:val="20"/>
        </w:rPr>
        <w:t>identify</w:t>
      </w:r>
      <w:r w:rsidR="001543CD">
        <w:rPr>
          <w:rFonts w:ascii="Times New Roman" w:hAnsi="Times New Roman" w:cs="Times New Roman"/>
          <w:sz w:val="20"/>
          <w:szCs w:val="20"/>
        </w:rPr>
        <w:t>ing</w:t>
      </w:r>
      <w:r w:rsidR="002E0F4A">
        <w:rPr>
          <w:rFonts w:ascii="Times New Roman" w:hAnsi="Times New Roman" w:cs="Times New Roman"/>
          <w:sz w:val="20"/>
          <w:szCs w:val="20"/>
        </w:rPr>
        <w:t xml:space="preserve"> threats through the utilization of threat intelligence, threat detection, and threat-hunting</w:t>
      </w:r>
      <w:r w:rsidR="00F90F68" w:rsidRPr="00776A28">
        <w:rPr>
          <w:rFonts w:ascii="Times New Roman" w:hAnsi="Times New Roman" w:cs="Times New Roman"/>
          <w:sz w:val="20"/>
          <w:szCs w:val="20"/>
        </w:rPr>
        <w:t xml:space="preserve"> techniques</w:t>
      </w:r>
      <w:r w:rsidR="004C65AE" w:rsidRPr="00776A28">
        <w:rPr>
          <w:rFonts w:ascii="Times New Roman" w:hAnsi="Times New Roman" w:cs="Times New Roman"/>
          <w:sz w:val="20"/>
          <w:szCs w:val="20"/>
        </w:rPr>
        <w:t>.</w:t>
      </w:r>
    </w:p>
    <w:p w14:paraId="179846E1" w14:textId="77777777" w:rsidR="006A7E56" w:rsidRDefault="006A7E56" w:rsidP="00621E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D867A3" w14:textId="5CC7A9C2" w:rsidR="00340E6D" w:rsidRPr="00776A28" w:rsidRDefault="00340E6D" w:rsidP="00621E06">
      <w:pPr>
        <w:spacing w:after="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776A28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5FFE16A1" w14:textId="77777777" w:rsidR="00F674F8" w:rsidRPr="00776A28" w:rsidRDefault="00F674F8" w:rsidP="00621E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25AED1" w14:textId="11D8EB36" w:rsidR="001B4A1D" w:rsidRPr="00776A28" w:rsidRDefault="00524802" w:rsidP="00621E0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>Organization</w:t>
      </w:r>
      <w:r w:rsidR="00C534E8" w:rsidRPr="00776A28">
        <w:rPr>
          <w:rFonts w:ascii="Times New Roman" w:hAnsi="Times New Roman" w:cs="Times New Roman"/>
          <w:sz w:val="20"/>
          <w:szCs w:val="20"/>
        </w:rPr>
        <w:t>’s</w:t>
      </w:r>
      <w:r w:rsidRPr="00776A28">
        <w:rPr>
          <w:rFonts w:ascii="Times New Roman" w:hAnsi="Times New Roman" w:cs="Times New Roman"/>
          <w:sz w:val="20"/>
          <w:szCs w:val="20"/>
        </w:rPr>
        <w:t xml:space="preserve"> </w:t>
      </w:r>
      <w:r w:rsidR="001B4A1D" w:rsidRPr="00776A28">
        <w:rPr>
          <w:rFonts w:ascii="Times New Roman" w:hAnsi="Times New Roman" w:cs="Times New Roman"/>
          <w:sz w:val="20"/>
          <w:szCs w:val="20"/>
        </w:rPr>
        <w:t>employees, retainers, contractors, and service providers.</w:t>
      </w:r>
    </w:p>
    <w:p w14:paraId="108B9F70" w14:textId="77777777" w:rsidR="00F674F8" w:rsidRPr="00776A28" w:rsidRDefault="00F674F8" w:rsidP="00621E0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7F704172" w:rsidR="00827CCF" w:rsidRPr="00776A28" w:rsidRDefault="00827CCF" w:rsidP="00621E0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DFEBC0A" w14:textId="77777777" w:rsidR="00BB2A7D" w:rsidRDefault="00BB2A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AA6C91" w14:textId="791404B8" w:rsidR="001B4A1D" w:rsidRPr="00776A28" w:rsidRDefault="001B4A1D" w:rsidP="0013713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F674F8" w:rsidRPr="00776A28">
        <w:rPr>
          <w:rFonts w:ascii="Times New Roman" w:hAnsi="Times New Roman" w:cs="Times New Roman"/>
          <w:sz w:val="20"/>
          <w:szCs w:val="20"/>
        </w:rPr>
        <w:t>applies</w:t>
      </w:r>
      <w:r w:rsidRPr="00776A28">
        <w:rPr>
          <w:rFonts w:ascii="Times New Roman" w:hAnsi="Times New Roman" w:cs="Times New Roman"/>
          <w:sz w:val="20"/>
          <w:szCs w:val="20"/>
        </w:rPr>
        <w:t xml:space="preserve"> to </w:t>
      </w:r>
      <w:r w:rsidR="00415D87">
        <w:rPr>
          <w:rFonts w:ascii="Times New Roman" w:hAnsi="Times New Roman" w:cs="Times New Roman"/>
          <w:sz w:val="20"/>
          <w:szCs w:val="20"/>
        </w:rPr>
        <w:t>all</w:t>
      </w:r>
      <w:r w:rsidR="00415D87" w:rsidRPr="00776A28">
        <w:rPr>
          <w:rFonts w:ascii="Times New Roman" w:hAnsi="Times New Roman" w:cs="Times New Roman"/>
          <w:sz w:val="20"/>
          <w:szCs w:val="20"/>
        </w:rPr>
        <w:t xml:space="preserve"> </w:t>
      </w:r>
      <w:r w:rsidRPr="00776A28">
        <w:rPr>
          <w:rFonts w:ascii="Times New Roman" w:hAnsi="Times New Roman" w:cs="Times New Roman"/>
          <w:sz w:val="20"/>
          <w:szCs w:val="20"/>
        </w:rPr>
        <w:t>information systems</w:t>
      </w:r>
      <w:r w:rsidR="00153C05" w:rsidRPr="00776A28">
        <w:rPr>
          <w:rFonts w:ascii="Times New Roman" w:hAnsi="Times New Roman" w:cs="Times New Roman"/>
          <w:sz w:val="20"/>
          <w:szCs w:val="20"/>
        </w:rPr>
        <w:t xml:space="preserve"> owned or managed by the </w:t>
      </w:r>
      <w:r w:rsidR="00373939">
        <w:rPr>
          <w:rFonts w:ascii="Times New Roman" w:hAnsi="Times New Roman" w:cs="Times New Roman"/>
          <w:sz w:val="20"/>
          <w:szCs w:val="20"/>
        </w:rPr>
        <w:t>O</w:t>
      </w:r>
      <w:r w:rsidR="00153C05" w:rsidRPr="00776A28">
        <w:rPr>
          <w:rFonts w:ascii="Times New Roman" w:hAnsi="Times New Roman" w:cs="Times New Roman"/>
          <w:sz w:val="20"/>
          <w:szCs w:val="20"/>
        </w:rPr>
        <w:t>rganization</w:t>
      </w:r>
      <w:r w:rsidRPr="00776A28">
        <w:rPr>
          <w:rFonts w:ascii="Times New Roman" w:hAnsi="Times New Roman" w:cs="Times New Roman"/>
          <w:sz w:val="20"/>
          <w:szCs w:val="20"/>
        </w:rPr>
        <w:t>.</w:t>
      </w:r>
    </w:p>
    <w:p w14:paraId="67CBB51B" w14:textId="77777777" w:rsidR="00F674F8" w:rsidRPr="00776A28" w:rsidRDefault="00F674F8" w:rsidP="0013713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06899953" w:rsidR="00D065EE" w:rsidRPr="00776A28" w:rsidRDefault="00D065EE" w:rsidP="0013713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3E8F7325" w14:textId="09AD45A5" w:rsidR="00A07154" w:rsidRPr="00916895" w:rsidRDefault="00A07154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>LM</w:t>
      </w:r>
      <w:r w:rsidR="00456034" w:rsidRPr="00916895">
        <w:rPr>
          <w:rFonts w:ascii="Times New Roman" w:hAnsi="Times New Roman" w:cs="Times New Roman"/>
          <w:b/>
          <w:sz w:val="20"/>
          <w:szCs w:val="20"/>
        </w:rPr>
        <w:t>.</w:t>
      </w:r>
      <w:r w:rsidRPr="00916895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41255A" w:rsidRPr="00916895">
        <w:rPr>
          <w:rFonts w:ascii="Times New Roman" w:hAnsi="Times New Roman" w:cs="Times New Roman"/>
          <w:sz w:val="20"/>
          <w:szCs w:val="20"/>
        </w:rPr>
        <w:t>L</w:t>
      </w:r>
      <w:r w:rsidRPr="00916895">
        <w:rPr>
          <w:rFonts w:ascii="Times New Roman" w:hAnsi="Times New Roman" w:cs="Times New Roman"/>
          <w:sz w:val="20"/>
          <w:szCs w:val="20"/>
        </w:rPr>
        <w:t xml:space="preserve">ogging, monitoring, </w:t>
      </w:r>
      <w:r w:rsidR="00295897" w:rsidRPr="00916895">
        <w:rPr>
          <w:rFonts w:ascii="Times New Roman" w:hAnsi="Times New Roman" w:cs="Times New Roman"/>
          <w:sz w:val="20"/>
          <w:szCs w:val="20"/>
        </w:rPr>
        <w:t xml:space="preserve">and </w:t>
      </w:r>
      <w:r w:rsidR="004D4F53" w:rsidRPr="00916895">
        <w:rPr>
          <w:rFonts w:ascii="Times New Roman" w:hAnsi="Times New Roman" w:cs="Times New Roman"/>
          <w:sz w:val="20"/>
          <w:szCs w:val="20"/>
        </w:rPr>
        <w:t>analy</w:t>
      </w:r>
      <w:r w:rsidR="004D4F53" w:rsidRPr="00916895">
        <w:rPr>
          <w:rFonts w:ascii="Times New Roman" w:hAnsi="Times New Roman" w:cs="Times New Roman"/>
          <w:bCs/>
          <w:sz w:val="20"/>
          <w:szCs w:val="20"/>
        </w:rPr>
        <w:t>zing</w:t>
      </w:r>
      <w:r w:rsidR="004D4F53" w:rsidRPr="00916895">
        <w:rPr>
          <w:rFonts w:ascii="Times New Roman" w:hAnsi="Times New Roman" w:cs="Times New Roman"/>
          <w:sz w:val="20"/>
          <w:szCs w:val="20"/>
        </w:rPr>
        <w:t xml:space="preserve"> </w:t>
      </w:r>
      <w:r w:rsidR="005B7CC7" w:rsidRPr="00916895">
        <w:rPr>
          <w:rFonts w:ascii="Times New Roman" w:hAnsi="Times New Roman" w:cs="Times New Roman"/>
          <w:sz w:val="20"/>
          <w:szCs w:val="20"/>
        </w:rPr>
        <w:t>c</w:t>
      </w:r>
      <w:r w:rsidRPr="00916895">
        <w:rPr>
          <w:rFonts w:ascii="Times New Roman" w:hAnsi="Times New Roman" w:cs="Times New Roman"/>
          <w:sz w:val="20"/>
          <w:szCs w:val="20"/>
        </w:rPr>
        <w:t xml:space="preserve">apabilities shall 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be implemented as per </w:t>
      </w:r>
      <w:r w:rsidR="00456034" w:rsidRPr="00916895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applicable laws, </w:t>
      </w:r>
      <w:r w:rsidR="00606068" w:rsidRPr="00916895">
        <w:rPr>
          <w:rFonts w:ascii="Times New Roman" w:hAnsi="Times New Roman" w:cs="Times New Roman"/>
          <w:bCs/>
          <w:sz w:val="20"/>
          <w:szCs w:val="20"/>
        </w:rPr>
        <w:t>regulations,</w:t>
      </w:r>
      <w:r w:rsidR="00444734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F1189" w:rsidRPr="00916895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Pr="00916895">
        <w:rPr>
          <w:rFonts w:ascii="Times New Roman" w:hAnsi="Times New Roman" w:cs="Times New Roman"/>
          <w:bCs/>
          <w:sz w:val="20"/>
          <w:szCs w:val="20"/>
        </w:rPr>
        <w:t>business requirements</w:t>
      </w:r>
      <w:r w:rsidR="00444734" w:rsidRPr="00916895">
        <w:rPr>
          <w:rFonts w:ascii="Times New Roman" w:hAnsi="Times New Roman" w:cs="Times New Roman"/>
          <w:bCs/>
          <w:sz w:val="20"/>
          <w:szCs w:val="20"/>
        </w:rPr>
        <w:t>.</w:t>
      </w:r>
    </w:p>
    <w:p w14:paraId="50F66015" w14:textId="12326E9B" w:rsidR="00456034" w:rsidRPr="00916895" w:rsidRDefault="00456034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 xml:space="preserve">LM.2 </w:t>
      </w:r>
      <w:r w:rsidR="00D40115" w:rsidRPr="00916895">
        <w:rPr>
          <w:rFonts w:ascii="Times New Roman" w:hAnsi="Times New Roman" w:cs="Times New Roman"/>
          <w:bCs/>
          <w:sz w:val="20"/>
          <w:szCs w:val="20"/>
        </w:rPr>
        <w:t>S</w:t>
      </w:r>
      <w:r w:rsidR="00955900" w:rsidRPr="00916895">
        <w:rPr>
          <w:rFonts w:ascii="Times New Roman" w:hAnsi="Times New Roman" w:cs="Times New Roman"/>
          <w:bCs/>
          <w:sz w:val="20"/>
          <w:szCs w:val="20"/>
        </w:rPr>
        <w:t>ecurity event</w:t>
      </w:r>
      <w:r w:rsidR="003545ED" w:rsidRPr="00F2392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C5A79" w:rsidRPr="00F23927">
        <w:rPr>
          <w:rFonts w:ascii="Times New Roman" w:hAnsi="Times New Roman" w:cs="Times New Roman"/>
          <w:bCs/>
          <w:sz w:val="20"/>
          <w:szCs w:val="20"/>
        </w:rPr>
        <w:t>logs</w:t>
      </w:r>
      <w:r w:rsidR="002C5A79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C3534" w:rsidRPr="00916895">
        <w:rPr>
          <w:rFonts w:ascii="Times New Roman" w:hAnsi="Times New Roman" w:cs="Times New Roman"/>
          <w:bCs/>
          <w:sz w:val="20"/>
          <w:szCs w:val="20"/>
        </w:rPr>
        <w:t xml:space="preserve">and alerts </w:t>
      </w:r>
      <w:r w:rsidR="00D40115" w:rsidRPr="00916895">
        <w:rPr>
          <w:rFonts w:ascii="Times New Roman" w:hAnsi="Times New Roman" w:cs="Times New Roman"/>
          <w:bCs/>
          <w:sz w:val="20"/>
          <w:szCs w:val="20"/>
        </w:rPr>
        <w:t>shall be enabled</w:t>
      </w:r>
      <w:r w:rsidR="00EF5A72" w:rsidRPr="00916895">
        <w:rPr>
          <w:rFonts w:ascii="Times New Roman" w:hAnsi="Times New Roman" w:cs="Times New Roman"/>
          <w:bCs/>
          <w:sz w:val="20"/>
          <w:szCs w:val="20"/>
        </w:rPr>
        <w:t xml:space="preserve"> as per the Logging and Monitoring Standard</w:t>
      </w:r>
      <w:r w:rsidR="00955900" w:rsidRPr="00916895">
        <w:rPr>
          <w:rFonts w:ascii="Times New Roman" w:hAnsi="Times New Roman" w:cs="Times New Roman"/>
          <w:bCs/>
          <w:sz w:val="20"/>
          <w:szCs w:val="20"/>
        </w:rPr>
        <w:t>.</w:t>
      </w:r>
    </w:p>
    <w:p w14:paraId="6D7DFEDB" w14:textId="78F939C5" w:rsidR="00AE3EFA" w:rsidRPr="00916895" w:rsidRDefault="00AE3EFA" w:rsidP="00A604C5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916895">
        <w:rPr>
          <w:rFonts w:ascii="Times New Roman" w:hAnsi="Times New Roman" w:cs="Times New Roman"/>
          <w:b/>
          <w:bCs/>
          <w:sz w:val="20"/>
          <w:szCs w:val="20"/>
        </w:rPr>
        <w:t>LM.3</w:t>
      </w:r>
      <w:r w:rsidRPr="00916895">
        <w:rPr>
          <w:rFonts w:ascii="Times New Roman" w:hAnsi="Times New Roman" w:cs="Times New Roman"/>
          <w:sz w:val="20"/>
          <w:szCs w:val="20"/>
        </w:rPr>
        <w:t xml:space="preserve"> </w:t>
      </w:r>
      <w:r w:rsidR="009D34F8">
        <w:rPr>
          <w:rFonts w:ascii="Times New Roman" w:hAnsi="Times New Roman" w:cs="Times New Roman"/>
          <w:sz w:val="20"/>
          <w:szCs w:val="20"/>
        </w:rPr>
        <w:t>The information systems administrator’s</w:t>
      </w:r>
      <w:r w:rsidRPr="00916895">
        <w:rPr>
          <w:rFonts w:ascii="Times New Roman" w:hAnsi="Times New Roman" w:cs="Times New Roman"/>
          <w:sz w:val="20"/>
          <w:szCs w:val="20"/>
        </w:rPr>
        <w:t xml:space="preserve"> activities shall be logged and monitored with</w:t>
      </w:r>
      <w:r w:rsidR="00B40191" w:rsidRPr="00916895">
        <w:rPr>
          <w:rFonts w:ascii="Times New Roman" w:hAnsi="Times New Roman" w:cs="Times New Roman"/>
          <w:sz w:val="20"/>
          <w:szCs w:val="20"/>
        </w:rPr>
        <w:t xml:space="preserve"> centralized</w:t>
      </w:r>
      <w:r w:rsidRPr="00916895">
        <w:rPr>
          <w:rFonts w:ascii="Times New Roman" w:hAnsi="Times New Roman" w:cs="Times New Roman"/>
          <w:sz w:val="20"/>
          <w:szCs w:val="20"/>
        </w:rPr>
        <w:t xml:space="preserve"> security monitoring tools.</w:t>
      </w:r>
    </w:p>
    <w:p w14:paraId="4CBBCDE7" w14:textId="1005F25E" w:rsidR="00703466" w:rsidRPr="00916895" w:rsidRDefault="00703466" w:rsidP="00A604C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 xml:space="preserve">LM.4 </w:t>
      </w:r>
      <w:r w:rsidRPr="00916895">
        <w:rPr>
          <w:rFonts w:ascii="Times New Roman" w:hAnsi="Times New Roman" w:cs="Times New Roman"/>
          <w:sz w:val="20"/>
          <w:szCs w:val="20"/>
        </w:rPr>
        <w:t xml:space="preserve">Clock synchronization shall be enabled for </w:t>
      </w:r>
      <w:r w:rsidR="00373939">
        <w:rPr>
          <w:rFonts w:ascii="Times New Roman" w:hAnsi="Times New Roman" w:cs="Times New Roman"/>
          <w:sz w:val="20"/>
          <w:szCs w:val="20"/>
        </w:rPr>
        <w:t>O</w:t>
      </w:r>
      <w:r w:rsidRPr="00916895">
        <w:rPr>
          <w:rFonts w:ascii="Times New Roman" w:hAnsi="Times New Roman" w:cs="Times New Roman"/>
          <w:sz w:val="20"/>
          <w:szCs w:val="20"/>
        </w:rPr>
        <w:t>rganization’s information systems.</w:t>
      </w:r>
    </w:p>
    <w:p w14:paraId="16BC84D3" w14:textId="35D7819D" w:rsidR="001F085C" w:rsidRPr="00916895" w:rsidRDefault="001F085C" w:rsidP="00A604C5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916895">
        <w:rPr>
          <w:rFonts w:ascii="Times New Roman" w:hAnsi="Times New Roman" w:cs="Times New Roman"/>
          <w:b/>
          <w:bCs/>
          <w:sz w:val="20"/>
          <w:szCs w:val="20"/>
        </w:rPr>
        <w:t>LM.</w:t>
      </w:r>
      <w:r w:rsidR="00703466" w:rsidRPr="00916895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916895">
        <w:rPr>
          <w:rFonts w:ascii="Times New Roman" w:hAnsi="Times New Roman" w:cs="Times New Roman"/>
          <w:sz w:val="20"/>
          <w:szCs w:val="20"/>
        </w:rPr>
        <w:t xml:space="preserve"> </w:t>
      </w:r>
      <w:r w:rsidR="00337DBB" w:rsidRPr="00916895">
        <w:rPr>
          <w:rFonts w:ascii="Times New Roman" w:hAnsi="Times New Roman" w:cs="Times New Roman"/>
          <w:sz w:val="20"/>
          <w:szCs w:val="20"/>
        </w:rPr>
        <w:t>A</w:t>
      </w:r>
      <w:r w:rsidRPr="00916895">
        <w:rPr>
          <w:rFonts w:ascii="Times New Roman" w:hAnsi="Times New Roman" w:cs="Times New Roman"/>
          <w:sz w:val="20"/>
          <w:szCs w:val="20"/>
        </w:rPr>
        <w:t>utomated security monitoring tools shall be configured as per business requirements.</w:t>
      </w:r>
    </w:p>
    <w:p w14:paraId="396EAE43" w14:textId="14B55F21" w:rsidR="00254D44" w:rsidRPr="00916895" w:rsidRDefault="00606068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>LM.</w:t>
      </w:r>
      <w:r w:rsidR="00070E1C" w:rsidRPr="00916895">
        <w:rPr>
          <w:rFonts w:ascii="Times New Roman" w:hAnsi="Times New Roman" w:cs="Times New Roman"/>
          <w:b/>
          <w:sz w:val="20"/>
          <w:szCs w:val="20"/>
        </w:rPr>
        <w:t>6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26CB" w:rsidRPr="00916895">
        <w:rPr>
          <w:rFonts w:ascii="Times New Roman" w:hAnsi="Times New Roman" w:cs="Times New Roman"/>
          <w:bCs/>
          <w:sz w:val="20"/>
          <w:szCs w:val="20"/>
        </w:rPr>
        <w:t>S</w:t>
      </w:r>
      <w:r w:rsidR="006B1CAA" w:rsidRPr="00916895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0647FA" w:rsidRPr="00916895">
        <w:rPr>
          <w:rFonts w:ascii="Times New Roman" w:hAnsi="Times New Roman" w:cs="Times New Roman"/>
          <w:bCs/>
          <w:sz w:val="20"/>
          <w:szCs w:val="20"/>
        </w:rPr>
        <w:t>configuration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of </w:t>
      </w:r>
      <w:r w:rsidR="00E71650" w:rsidRPr="00916895">
        <w:rPr>
          <w:rFonts w:ascii="Times New Roman" w:hAnsi="Times New Roman" w:cs="Times New Roman"/>
          <w:bCs/>
          <w:sz w:val="20"/>
          <w:szCs w:val="20"/>
        </w:rPr>
        <w:t>known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behavior</w:t>
      </w:r>
      <w:r w:rsidR="00E71650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A6B35" w:rsidRPr="00916895">
        <w:rPr>
          <w:rFonts w:ascii="Times New Roman" w:hAnsi="Times New Roman" w:cs="Times New Roman"/>
          <w:bCs/>
          <w:sz w:val="20"/>
          <w:szCs w:val="20"/>
        </w:rPr>
        <w:t>patterns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26CB" w:rsidRPr="00916895">
        <w:rPr>
          <w:rFonts w:ascii="Times New Roman" w:hAnsi="Times New Roman" w:cs="Times New Roman"/>
          <w:bCs/>
          <w:sz w:val="20"/>
          <w:szCs w:val="20"/>
        </w:rPr>
        <w:t>shall be defined</w:t>
      </w:r>
      <w:r w:rsidR="000647FA" w:rsidRPr="00916895">
        <w:rPr>
          <w:rFonts w:ascii="Times New Roman" w:hAnsi="Times New Roman" w:cs="Times New Roman"/>
          <w:bCs/>
          <w:sz w:val="20"/>
          <w:szCs w:val="20"/>
        </w:rPr>
        <w:t xml:space="preserve"> and updated</w:t>
      </w:r>
      <w:r w:rsidR="00254D44" w:rsidRPr="0091689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41491AC" w14:textId="5BC73BDF" w:rsidR="00606068" w:rsidRPr="00916895" w:rsidRDefault="00254D44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>LM.</w:t>
      </w:r>
      <w:r w:rsidR="00070E1C" w:rsidRPr="00916895">
        <w:rPr>
          <w:rFonts w:ascii="Times New Roman" w:hAnsi="Times New Roman" w:cs="Times New Roman"/>
          <w:b/>
          <w:sz w:val="20"/>
          <w:szCs w:val="20"/>
        </w:rPr>
        <w:t>7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403C4" w:rsidRPr="00916895">
        <w:rPr>
          <w:rFonts w:ascii="Times New Roman" w:hAnsi="Times New Roman" w:cs="Times New Roman"/>
          <w:bCs/>
          <w:sz w:val="20"/>
          <w:szCs w:val="20"/>
        </w:rPr>
        <w:t xml:space="preserve">Near </w:t>
      </w:r>
      <w:r w:rsidR="00EF18F4" w:rsidRPr="00EF18F4">
        <w:rPr>
          <w:rFonts w:ascii="Times New Roman" w:hAnsi="Times New Roman" w:cs="Times New Roman"/>
          <w:bCs/>
          <w:sz w:val="20"/>
          <w:szCs w:val="20"/>
        </w:rPr>
        <w:t>real-time security event log monitoring</w:t>
      </w:r>
      <w:r w:rsidR="00F674F8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403C4" w:rsidRPr="00916895">
        <w:rPr>
          <w:rFonts w:ascii="Times New Roman" w:hAnsi="Times New Roman" w:cs="Times New Roman"/>
          <w:bCs/>
          <w:sz w:val="20"/>
          <w:szCs w:val="20"/>
        </w:rPr>
        <w:t>shall be enabled</w:t>
      </w:r>
      <w:r w:rsidR="00C9454B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B1CAA" w:rsidRPr="00916895">
        <w:rPr>
          <w:rFonts w:ascii="Times New Roman" w:hAnsi="Times New Roman" w:cs="Times New Roman"/>
          <w:bCs/>
          <w:sz w:val="20"/>
          <w:szCs w:val="20"/>
        </w:rPr>
        <w:t>to identify unusual and anomalous behaviors.</w:t>
      </w:r>
    </w:p>
    <w:p w14:paraId="6E79C8A3" w14:textId="03F7E267" w:rsidR="006F2E6F" w:rsidRPr="00916895" w:rsidRDefault="001D619A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bCs/>
          <w:sz w:val="20"/>
          <w:szCs w:val="20"/>
        </w:rPr>
        <w:t>LM.</w:t>
      </w:r>
      <w:r w:rsidR="00070E1C" w:rsidRPr="00916895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916895">
        <w:rPr>
          <w:rFonts w:ascii="Times New Roman" w:hAnsi="Times New Roman" w:cs="Times New Roman"/>
          <w:sz w:val="20"/>
          <w:szCs w:val="20"/>
        </w:rPr>
        <w:t xml:space="preserve"> Security </w:t>
      </w:r>
      <w:r w:rsidR="00710522" w:rsidRPr="00916895">
        <w:rPr>
          <w:rFonts w:ascii="Times New Roman" w:hAnsi="Times New Roman" w:cs="Times New Roman"/>
          <w:sz w:val="20"/>
          <w:szCs w:val="20"/>
        </w:rPr>
        <w:t>even</w:t>
      </w:r>
      <w:r w:rsidR="00710522">
        <w:rPr>
          <w:rFonts w:ascii="Times New Roman" w:hAnsi="Times New Roman" w:cs="Times New Roman"/>
          <w:sz w:val="20"/>
          <w:szCs w:val="20"/>
        </w:rPr>
        <w:t>t</w:t>
      </w:r>
      <w:r w:rsidR="008A774E">
        <w:rPr>
          <w:rFonts w:ascii="Times New Roman" w:hAnsi="Times New Roman" w:cs="Times New Roman"/>
          <w:sz w:val="20"/>
          <w:szCs w:val="20"/>
        </w:rPr>
        <w:t xml:space="preserve"> </w:t>
      </w:r>
      <w:r w:rsidRPr="00916895">
        <w:rPr>
          <w:rFonts w:ascii="Times New Roman" w:hAnsi="Times New Roman" w:cs="Times New Roman"/>
          <w:bCs/>
          <w:sz w:val="20"/>
          <w:szCs w:val="20"/>
        </w:rPr>
        <w:t>logs shall be protected against unauthorized access</w:t>
      </w:r>
      <w:r w:rsidR="006E3B18" w:rsidRPr="00916895">
        <w:rPr>
          <w:rFonts w:ascii="Times New Roman" w:hAnsi="Times New Roman" w:cs="Times New Roman"/>
          <w:bCs/>
          <w:sz w:val="20"/>
          <w:szCs w:val="20"/>
        </w:rPr>
        <w:t>, alteration,</w:t>
      </w:r>
      <w:r w:rsidR="00444734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C5B6A" w:rsidRPr="00916895">
        <w:rPr>
          <w:rFonts w:ascii="Times New Roman" w:hAnsi="Times New Roman" w:cs="Times New Roman"/>
          <w:bCs/>
          <w:sz w:val="20"/>
          <w:szCs w:val="20"/>
        </w:rPr>
        <w:t>disclosure,</w:t>
      </w:r>
      <w:r w:rsidR="00160BB4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16895">
        <w:rPr>
          <w:rFonts w:ascii="Times New Roman" w:hAnsi="Times New Roman" w:cs="Times New Roman"/>
          <w:bCs/>
          <w:sz w:val="20"/>
          <w:szCs w:val="20"/>
        </w:rPr>
        <w:t>misuse</w:t>
      </w:r>
      <w:r w:rsidR="002874C3" w:rsidRPr="00916895">
        <w:rPr>
          <w:rFonts w:ascii="Times New Roman" w:hAnsi="Times New Roman" w:cs="Times New Roman"/>
          <w:bCs/>
          <w:sz w:val="20"/>
          <w:szCs w:val="20"/>
        </w:rPr>
        <w:t>, and destruction</w:t>
      </w:r>
      <w:r w:rsidRPr="00916895">
        <w:rPr>
          <w:rFonts w:ascii="Times New Roman" w:hAnsi="Times New Roman" w:cs="Times New Roman"/>
          <w:bCs/>
          <w:sz w:val="20"/>
          <w:szCs w:val="20"/>
        </w:rPr>
        <w:t>.</w:t>
      </w:r>
    </w:p>
    <w:p w14:paraId="647797DA" w14:textId="4713E862" w:rsidR="001D619A" w:rsidRPr="00916895" w:rsidRDefault="001D619A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>LM.</w:t>
      </w:r>
      <w:r w:rsidR="00070E1C" w:rsidRPr="00916895">
        <w:rPr>
          <w:rFonts w:ascii="Times New Roman" w:hAnsi="Times New Roman" w:cs="Times New Roman"/>
          <w:b/>
          <w:sz w:val="20"/>
          <w:szCs w:val="20"/>
        </w:rPr>
        <w:t>9</w:t>
      </w:r>
      <w:r w:rsidR="00360D40" w:rsidRPr="0091689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C48F1" w:rsidRPr="00916895">
        <w:rPr>
          <w:rFonts w:ascii="Times New Roman" w:hAnsi="Times New Roman" w:cs="Times New Roman"/>
          <w:bCs/>
          <w:sz w:val="20"/>
          <w:szCs w:val="20"/>
        </w:rPr>
        <w:t>Personal Identifiable Information (</w:t>
      </w:r>
      <w:r w:rsidR="00360D40" w:rsidRPr="00916895">
        <w:rPr>
          <w:rFonts w:ascii="Times New Roman" w:hAnsi="Times New Roman" w:cs="Times New Roman"/>
          <w:bCs/>
          <w:sz w:val="20"/>
          <w:szCs w:val="20"/>
        </w:rPr>
        <w:t>PII</w:t>
      </w:r>
      <w:r w:rsidR="006C48F1" w:rsidRPr="00916895">
        <w:rPr>
          <w:rFonts w:ascii="Times New Roman" w:hAnsi="Times New Roman" w:cs="Times New Roman"/>
          <w:bCs/>
          <w:sz w:val="20"/>
          <w:szCs w:val="20"/>
        </w:rPr>
        <w:t>)</w:t>
      </w:r>
      <w:r w:rsidR="00602422" w:rsidRPr="00916895">
        <w:rPr>
          <w:rFonts w:ascii="Times New Roman" w:hAnsi="Times New Roman" w:cs="Times New Roman"/>
          <w:bCs/>
          <w:sz w:val="20"/>
          <w:szCs w:val="20"/>
        </w:rPr>
        <w:t xml:space="preserve"> in security event logs</w:t>
      </w:r>
      <w:r w:rsidR="00F403C4" w:rsidRPr="00916895">
        <w:rPr>
          <w:rFonts w:ascii="Times New Roman" w:hAnsi="Times New Roman" w:cs="Times New Roman"/>
          <w:bCs/>
          <w:sz w:val="20"/>
          <w:szCs w:val="20"/>
        </w:rPr>
        <w:t xml:space="preserve"> shall be masked.</w:t>
      </w:r>
    </w:p>
    <w:p w14:paraId="3E71E4D7" w14:textId="676D24C4" w:rsidR="00BF4298" w:rsidRPr="00916895" w:rsidRDefault="00955900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bCs/>
          <w:sz w:val="20"/>
          <w:szCs w:val="20"/>
        </w:rPr>
        <w:t>LM.</w:t>
      </w:r>
      <w:r w:rsidR="00070E1C" w:rsidRPr="00916895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="001F085C" w:rsidRPr="009168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C48F1" w:rsidRPr="00916895">
        <w:rPr>
          <w:rFonts w:ascii="Times New Roman" w:hAnsi="Times New Roman" w:cs="Times New Roman"/>
          <w:bCs/>
          <w:sz w:val="20"/>
          <w:szCs w:val="20"/>
        </w:rPr>
        <w:t xml:space="preserve">Adequate </w:t>
      </w:r>
      <w:r w:rsidR="00602422" w:rsidRPr="00916895">
        <w:rPr>
          <w:rFonts w:ascii="Times New Roman" w:hAnsi="Times New Roman" w:cs="Times New Roman"/>
          <w:bCs/>
          <w:sz w:val="20"/>
          <w:szCs w:val="20"/>
        </w:rPr>
        <w:t xml:space="preserve">storage </w:t>
      </w:r>
      <w:r w:rsidR="006C48F1" w:rsidRPr="00916895">
        <w:rPr>
          <w:rFonts w:ascii="Times New Roman" w:hAnsi="Times New Roman" w:cs="Times New Roman"/>
          <w:bCs/>
          <w:sz w:val="20"/>
          <w:szCs w:val="20"/>
        </w:rPr>
        <w:t>capacity</w:t>
      </w:r>
      <w:r w:rsidR="00602422" w:rsidRPr="00916895">
        <w:rPr>
          <w:rFonts w:ascii="Times New Roman" w:hAnsi="Times New Roman" w:cs="Times New Roman"/>
          <w:bCs/>
          <w:sz w:val="20"/>
          <w:szCs w:val="20"/>
        </w:rPr>
        <w:t xml:space="preserve"> shall be </w:t>
      </w:r>
      <w:r w:rsidR="00866446" w:rsidRPr="00916895">
        <w:rPr>
          <w:rFonts w:ascii="Times New Roman" w:hAnsi="Times New Roman" w:cs="Times New Roman"/>
          <w:bCs/>
          <w:sz w:val="20"/>
          <w:szCs w:val="20"/>
        </w:rPr>
        <w:t>planned</w:t>
      </w:r>
      <w:r w:rsidR="005B62D3" w:rsidRPr="00916895">
        <w:rPr>
          <w:rFonts w:ascii="Times New Roman" w:hAnsi="Times New Roman" w:cs="Times New Roman"/>
          <w:bCs/>
          <w:sz w:val="20"/>
          <w:szCs w:val="20"/>
        </w:rPr>
        <w:t xml:space="preserve"> for security logs</w:t>
      </w:r>
      <w:r w:rsidR="00602422" w:rsidRPr="00916895">
        <w:rPr>
          <w:rFonts w:ascii="Times New Roman" w:hAnsi="Times New Roman" w:cs="Times New Roman"/>
          <w:bCs/>
          <w:sz w:val="20"/>
          <w:szCs w:val="20"/>
        </w:rPr>
        <w:t xml:space="preserve"> based on</w:t>
      </w:r>
      <w:r w:rsidR="005B62D3" w:rsidRPr="00916895">
        <w:rPr>
          <w:rFonts w:ascii="Times New Roman" w:hAnsi="Times New Roman" w:cs="Times New Roman"/>
          <w:bCs/>
          <w:sz w:val="20"/>
          <w:szCs w:val="20"/>
        </w:rPr>
        <w:t xml:space="preserve"> business requirements.</w:t>
      </w:r>
    </w:p>
    <w:p w14:paraId="580AB35E" w14:textId="4BDD075F" w:rsidR="00602422" w:rsidRPr="00916895" w:rsidRDefault="00BF4298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bCs/>
          <w:sz w:val="20"/>
          <w:szCs w:val="20"/>
        </w:rPr>
        <w:t xml:space="preserve">LM.11 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Threat hunting and threat detection shall be performed to </w:t>
      </w:r>
      <w:r w:rsidR="00F403C4" w:rsidRPr="00916895">
        <w:rPr>
          <w:rFonts w:ascii="Times New Roman" w:hAnsi="Times New Roman" w:cs="Times New Roman"/>
          <w:bCs/>
          <w:sz w:val="20"/>
          <w:szCs w:val="20"/>
        </w:rPr>
        <w:t>identify cyber incidents and execute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cyber</w:t>
      </w:r>
      <w:r w:rsidR="00F403C4"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16895">
        <w:rPr>
          <w:rFonts w:ascii="Times New Roman" w:hAnsi="Times New Roman" w:cs="Times New Roman"/>
          <w:bCs/>
          <w:sz w:val="20"/>
          <w:szCs w:val="20"/>
        </w:rPr>
        <w:t>responses.</w:t>
      </w:r>
    </w:p>
    <w:p w14:paraId="4CE0D7E0" w14:textId="3232F097" w:rsidR="00484500" w:rsidRPr="00C07A5A" w:rsidRDefault="00235DBE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16895">
        <w:rPr>
          <w:rFonts w:ascii="Times New Roman" w:hAnsi="Times New Roman" w:cs="Times New Roman"/>
          <w:b/>
          <w:sz w:val="20"/>
          <w:szCs w:val="20"/>
        </w:rPr>
        <w:t>LM.1</w:t>
      </w:r>
      <w:r w:rsidR="00BF4298" w:rsidRPr="00916895">
        <w:rPr>
          <w:rFonts w:ascii="Times New Roman" w:hAnsi="Times New Roman" w:cs="Times New Roman"/>
          <w:b/>
          <w:sz w:val="20"/>
          <w:szCs w:val="20"/>
        </w:rPr>
        <w:t>2</w:t>
      </w:r>
      <w:r w:rsidRPr="009168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B0197" w:rsidRPr="00916895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0B61D6" w:rsidRPr="00916895">
        <w:rPr>
          <w:rFonts w:ascii="Times New Roman" w:hAnsi="Times New Roman" w:cs="Times New Roman"/>
          <w:bCs/>
          <w:sz w:val="20"/>
          <w:szCs w:val="20"/>
        </w:rPr>
        <w:t>O</w:t>
      </w:r>
      <w:r w:rsidR="008B0197" w:rsidRPr="00916895">
        <w:rPr>
          <w:rFonts w:ascii="Times New Roman" w:hAnsi="Times New Roman" w:cs="Times New Roman"/>
          <w:bCs/>
          <w:sz w:val="20"/>
          <w:szCs w:val="20"/>
        </w:rPr>
        <w:t>rganization shall receive</w:t>
      </w:r>
      <w:r w:rsidR="008B0197" w:rsidRPr="002B5DEE">
        <w:rPr>
          <w:rFonts w:ascii="Times New Roman" w:hAnsi="Times New Roman" w:cs="Times New Roman"/>
          <w:bCs/>
          <w:sz w:val="20"/>
          <w:szCs w:val="20"/>
        </w:rPr>
        <w:t xml:space="preserve"> threat intelligence from </w:t>
      </w:r>
      <w:r w:rsidR="00625274" w:rsidRPr="002B5DEE">
        <w:rPr>
          <w:rFonts w:ascii="Times New Roman" w:hAnsi="Times New Roman" w:cs="Times New Roman"/>
          <w:bCs/>
          <w:sz w:val="20"/>
          <w:szCs w:val="20"/>
        </w:rPr>
        <w:t xml:space="preserve">internal and </w:t>
      </w:r>
      <w:r w:rsidR="008B0197" w:rsidRPr="002B5DEE">
        <w:rPr>
          <w:rFonts w:ascii="Times New Roman" w:hAnsi="Times New Roman" w:cs="Times New Roman"/>
          <w:bCs/>
          <w:sz w:val="20"/>
          <w:szCs w:val="20"/>
        </w:rPr>
        <w:t>external sources</w:t>
      </w:r>
      <w:r w:rsidR="00562CA7" w:rsidRPr="002B5DE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256A7" w:rsidRPr="002B5DEE">
        <w:rPr>
          <w:rFonts w:ascii="Times New Roman" w:hAnsi="Times New Roman" w:cs="Times New Roman"/>
          <w:bCs/>
          <w:sz w:val="20"/>
          <w:szCs w:val="20"/>
        </w:rPr>
        <w:t xml:space="preserve">which </w:t>
      </w:r>
      <w:r w:rsidR="009D0046" w:rsidRPr="002B5DEE">
        <w:rPr>
          <w:rFonts w:ascii="Times New Roman" w:hAnsi="Times New Roman" w:cs="Times New Roman"/>
          <w:bCs/>
          <w:sz w:val="20"/>
          <w:szCs w:val="20"/>
        </w:rPr>
        <w:t>shall</w:t>
      </w:r>
      <w:r w:rsidR="000E67FE" w:rsidRPr="002B5DE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E67FE" w:rsidRPr="00C07A5A">
        <w:rPr>
          <w:rFonts w:ascii="Times New Roman" w:hAnsi="Times New Roman" w:cs="Times New Roman"/>
          <w:bCs/>
          <w:sz w:val="20"/>
          <w:szCs w:val="20"/>
        </w:rPr>
        <w:t>be</w:t>
      </w:r>
      <w:r w:rsidR="009D0046" w:rsidRPr="00C07A5A">
        <w:rPr>
          <w:rFonts w:ascii="Times New Roman" w:hAnsi="Times New Roman" w:cs="Times New Roman"/>
          <w:bCs/>
          <w:sz w:val="20"/>
          <w:szCs w:val="20"/>
        </w:rPr>
        <w:t xml:space="preserve"> considered</w:t>
      </w:r>
      <w:r w:rsidR="00484500" w:rsidRPr="00C07A5A">
        <w:rPr>
          <w:rFonts w:ascii="Times New Roman" w:hAnsi="Times New Roman" w:cs="Times New Roman"/>
          <w:bCs/>
          <w:sz w:val="20"/>
          <w:szCs w:val="20"/>
        </w:rPr>
        <w:t xml:space="preserve"> to identify potential threats, enable monitoring, and take appropriate actions to reduce cyber risks.</w:t>
      </w:r>
    </w:p>
    <w:p w14:paraId="2254C5CC" w14:textId="109E7FE6" w:rsidR="00235DBE" w:rsidRPr="00C07A5A" w:rsidRDefault="00235DBE" w:rsidP="00A604C5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07A5A">
        <w:rPr>
          <w:rFonts w:ascii="Times New Roman" w:hAnsi="Times New Roman" w:cs="Times New Roman"/>
          <w:b/>
          <w:sz w:val="20"/>
          <w:szCs w:val="20"/>
        </w:rPr>
        <w:t>LM.1</w:t>
      </w:r>
      <w:r w:rsidR="00BF4298" w:rsidRPr="00C07A5A">
        <w:rPr>
          <w:rFonts w:ascii="Times New Roman" w:hAnsi="Times New Roman" w:cs="Times New Roman"/>
          <w:b/>
          <w:sz w:val="20"/>
          <w:szCs w:val="20"/>
        </w:rPr>
        <w:t>3</w:t>
      </w:r>
      <w:r w:rsidRPr="00C07A5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93EB7" w:rsidRPr="00C07A5A">
        <w:rPr>
          <w:rFonts w:ascii="Times New Roman" w:hAnsi="Times New Roman" w:cs="Times New Roman"/>
          <w:bCs/>
          <w:sz w:val="20"/>
          <w:szCs w:val="20"/>
        </w:rPr>
        <w:t>Periodic awareness o</w:t>
      </w:r>
      <w:r w:rsidR="00D256A7" w:rsidRPr="00C07A5A">
        <w:rPr>
          <w:rFonts w:ascii="Times New Roman" w:hAnsi="Times New Roman" w:cs="Times New Roman"/>
          <w:bCs/>
          <w:sz w:val="20"/>
          <w:szCs w:val="20"/>
        </w:rPr>
        <w:t>f</w:t>
      </w:r>
      <w:r w:rsidR="00A93EB7" w:rsidRPr="00C07A5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51F89" w:rsidRPr="00C07A5A">
        <w:rPr>
          <w:rFonts w:ascii="Times New Roman" w:hAnsi="Times New Roman" w:cs="Times New Roman"/>
          <w:bCs/>
          <w:sz w:val="20"/>
          <w:szCs w:val="20"/>
        </w:rPr>
        <w:t>e</w:t>
      </w:r>
      <w:r w:rsidR="00A93EB7" w:rsidRPr="00C07A5A">
        <w:rPr>
          <w:rFonts w:ascii="Times New Roman" w:hAnsi="Times New Roman" w:cs="Times New Roman"/>
          <w:bCs/>
          <w:sz w:val="20"/>
          <w:szCs w:val="20"/>
        </w:rPr>
        <w:t xml:space="preserve">merging threats </w:t>
      </w:r>
      <w:r w:rsidR="00D064C1" w:rsidRPr="00C07A5A">
        <w:rPr>
          <w:rFonts w:ascii="Times New Roman" w:hAnsi="Times New Roman" w:cs="Times New Roman"/>
          <w:bCs/>
          <w:sz w:val="20"/>
          <w:szCs w:val="20"/>
        </w:rPr>
        <w:t xml:space="preserve">shall be communicated </w:t>
      </w:r>
      <w:r w:rsidR="00A93EB7" w:rsidRPr="00C07A5A">
        <w:rPr>
          <w:rFonts w:ascii="Times New Roman" w:hAnsi="Times New Roman" w:cs="Times New Roman"/>
          <w:bCs/>
          <w:sz w:val="20"/>
          <w:szCs w:val="20"/>
        </w:rPr>
        <w:t>to</w:t>
      </w:r>
      <w:r w:rsidR="0062126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064C1" w:rsidRPr="00C07A5A">
        <w:rPr>
          <w:rFonts w:ascii="Times New Roman" w:hAnsi="Times New Roman" w:cs="Times New Roman"/>
          <w:bCs/>
          <w:sz w:val="20"/>
          <w:szCs w:val="20"/>
        </w:rPr>
        <w:t>users</w:t>
      </w:r>
      <w:r w:rsidR="00A93EB7" w:rsidRPr="00C07A5A">
        <w:rPr>
          <w:rFonts w:ascii="Times New Roman" w:hAnsi="Times New Roman" w:cs="Times New Roman"/>
          <w:bCs/>
          <w:sz w:val="20"/>
          <w:szCs w:val="20"/>
        </w:rPr>
        <w:t>.</w:t>
      </w:r>
    </w:p>
    <w:p w14:paraId="3387D304" w14:textId="38144C3A" w:rsidR="00456034" w:rsidRPr="00916895" w:rsidRDefault="00FB61B0" w:rsidP="00A604C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7A5A">
        <w:rPr>
          <w:rFonts w:ascii="Times New Roman" w:hAnsi="Times New Roman" w:cs="Times New Roman"/>
          <w:b/>
          <w:bCs/>
          <w:sz w:val="20"/>
          <w:szCs w:val="20"/>
        </w:rPr>
        <w:t>LM.1</w:t>
      </w:r>
      <w:r w:rsidR="00BF4298" w:rsidRPr="00C07A5A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C07A5A">
        <w:rPr>
          <w:rFonts w:ascii="Times New Roman" w:hAnsi="Times New Roman" w:cs="Times New Roman"/>
          <w:sz w:val="20"/>
          <w:szCs w:val="20"/>
        </w:rPr>
        <w:t xml:space="preserve"> Security event </w:t>
      </w:r>
      <w:r w:rsidR="009E1033" w:rsidRPr="00C07A5A">
        <w:rPr>
          <w:rFonts w:ascii="Times New Roman" w:hAnsi="Times New Roman" w:cs="Times New Roman"/>
          <w:sz w:val="20"/>
          <w:szCs w:val="20"/>
        </w:rPr>
        <w:t xml:space="preserve">logs </w:t>
      </w:r>
      <w:r w:rsidRPr="00C07A5A">
        <w:rPr>
          <w:rFonts w:ascii="Times New Roman" w:hAnsi="Times New Roman" w:cs="Times New Roman"/>
          <w:sz w:val="20"/>
          <w:szCs w:val="20"/>
        </w:rPr>
        <w:t xml:space="preserve">shall be retained as per the </w:t>
      </w:r>
      <w:r w:rsidR="00DE3481" w:rsidRPr="00C07A5A">
        <w:rPr>
          <w:rFonts w:ascii="Times New Roman" w:hAnsi="Times New Roman" w:cs="Times New Roman"/>
          <w:bCs/>
          <w:sz w:val="20"/>
          <w:szCs w:val="20"/>
        </w:rPr>
        <w:t xml:space="preserve">Logging and </w:t>
      </w:r>
      <w:r w:rsidR="00DE3481" w:rsidRPr="00916895">
        <w:rPr>
          <w:rFonts w:ascii="Times New Roman" w:hAnsi="Times New Roman" w:cs="Times New Roman"/>
          <w:bCs/>
          <w:sz w:val="20"/>
          <w:szCs w:val="20"/>
        </w:rPr>
        <w:t>Monitoring Standard</w:t>
      </w:r>
      <w:r w:rsidRPr="00916895">
        <w:rPr>
          <w:rFonts w:ascii="Times New Roman" w:hAnsi="Times New Roman" w:cs="Times New Roman"/>
          <w:sz w:val="20"/>
          <w:szCs w:val="20"/>
        </w:rPr>
        <w:t>.</w:t>
      </w:r>
    </w:p>
    <w:p w14:paraId="6438F37A" w14:textId="00B27018" w:rsidR="00AE23C0" w:rsidRPr="00776A28" w:rsidRDefault="00AE23C0" w:rsidP="0013713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76A28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4A54B008" w14:textId="77777777" w:rsidR="00D256A7" w:rsidRPr="00776A28" w:rsidRDefault="00D256A7" w:rsidP="0013713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696"/>
        <w:gridCol w:w="7371"/>
      </w:tblGrid>
      <w:tr w:rsidR="00AE23C0" w:rsidRPr="00776A28" w14:paraId="0B5DE6A1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77E16AE1" w14:textId="77777777" w:rsidR="00AE23C0" w:rsidRPr="00776A28" w:rsidRDefault="00AE23C0" w:rsidP="00247AB3">
            <w:pPr>
              <w:ind w:right="172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7371" w:type="dxa"/>
            <w:vAlign w:val="center"/>
          </w:tcPr>
          <w:p w14:paraId="1DCE3898" w14:textId="77777777" w:rsidR="00AE23C0" w:rsidRPr="00776A28" w:rsidRDefault="00AE23C0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392FDC" w:rsidRPr="00776A28" w14:paraId="77DD2A3F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67AD590F" w14:textId="4AE1A875" w:rsidR="00392FDC" w:rsidRPr="00776A28" w:rsidRDefault="00392FDC" w:rsidP="00247AB3">
            <w:pPr>
              <w:ind w:right="172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Cs/>
                <w:sz w:val="20"/>
                <w:szCs w:val="20"/>
              </w:rPr>
              <w:t>Data Masking</w:t>
            </w:r>
          </w:p>
        </w:tc>
        <w:tc>
          <w:tcPr>
            <w:tcW w:w="7371" w:type="dxa"/>
            <w:vAlign w:val="center"/>
          </w:tcPr>
          <w:p w14:paraId="003E7A0E" w14:textId="2E50A3E0" w:rsidR="0078680D" w:rsidRPr="00776A28" w:rsidRDefault="0078680D" w:rsidP="00247AB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process of partially or completely replacing sensitive data </w:t>
            </w:r>
            <w:r w:rsidR="00652694" w:rsidRPr="00776A28">
              <w:rPr>
                <w:rFonts w:ascii="Times New Roman" w:hAnsi="Times New Roman" w:cs="Times New Roman"/>
                <w:bCs/>
                <w:sz w:val="20"/>
                <w:szCs w:val="20"/>
              </w:rPr>
              <w:t>with random characters or non-sensitive data.</w:t>
            </w:r>
          </w:p>
        </w:tc>
      </w:tr>
      <w:tr w:rsidR="006C672F" w:rsidRPr="00776A28" w14:paraId="6941C9DE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5AB46767" w14:textId="2890FF28" w:rsidR="006C672F" w:rsidRPr="00776A28" w:rsidRDefault="006C672F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lastRenderedPageBreak/>
              <w:t>Information Security Event</w:t>
            </w:r>
          </w:p>
        </w:tc>
        <w:tc>
          <w:tcPr>
            <w:tcW w:w="7371" w:type="dxa"/>
            <w:vAlign w:val="center"/>
          </w:tcPr>
          <w:p w14:paraId="55EFBD66" w14:textId="0BB07C8E" w:rsidR="006C672F" w:rsidRPr="00776A28" w:rsidRDefault="006C672F" w:rsidP="00695EA7">
            <w:pPr>
              <w:pStyle w:val="BodyText"/>
              <w:jc w:val="left"/>
              <w:rPr>
                <w:color w:val="333333"/>
                <w:shd w:val="clear" w:color="auto" w:fill="FFFFFF"/>
              </w:rPr>
            </w:pPr>
            <w:r w:rsidRPr="00776A28">
              <w:t>Identified occurrence of a system, service</w:t>
            </w:r>
            <w:r w:rsidR="00D256A7" w:rsidRPr="00776A28">
              <w:t>,</w:t>
            </w:r>
            <w:r w:rsidRPr="00776A28">
              <w:t xml:space="preserve"> or network state indicating a possible breach of information security policy</w:t>
            </w:r>
            <w:r w:rsidR="00D256A7" w:rsidRPr="00776A28">
              <w:t>,</w:t>
            </w:r>
            <w:r w:rsidRPr="00776A28">
              <w:t xml:space="preserve"> </w:t>
            </w:r>
            <w:r w:rsidR="00A3099B">
              <w:t>failure of controls, or a previously unknown situation relevant to it</w:t>
            </w:r>
            <w:r w:rsidR="00CF34D4">
              <w:t>s</w:t>
            </w:r>
            <w:r w:rsidR="00695EA7">
              <w:t xml:space="preserve"> </w:t>
            </w:r>
            <w:r w:rsidRPr="00776A28">
              <w:t>security</w:t>
            </w:r>
            <w:r w:rsidR="009058F1" w:rsidRPr="00776A28">
              <w:t>.</w:t>
            </w:r>
          </w:p>
        </w:tc>
      </w:tr>
      <w:tr w:rsidR="00E03D71" w:rsidRPr="00776A28" w14:paraId="0B1FCA9A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041EF595" w14:textId="77D41D04" w:rsidR="00E03D71" w:rsidRPr="00776A28" w:rsidRDefault="00A27CCF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Information Systems</w:t>
            </w:r>
          </w:p>
        </w:tc>
        <w:tc>
          <w:tcPr>
            <w:tcW w:w="7371" w:type="dxa"/>
            <w:vAlign w:val="center"/>
          </w:tcPr>
          <w:p w14:paraId="32C0022A" w14:textId="16485079" w:rsidR="00E03D71" w:rsidRPr="00776A28" w:rsidRDefault="00A27CCF" w:rsidP="00247AB3">
            <w:pPr>
              <w:pStyle w:val="BodyText"/>
              <w:jc w:val="left"/>
            </w:pPr>
            <w:r w:rsidRPr="00776A28">
              <w:t>Set of applications, services, information technology assets, or other information-handling components</w:t>
            </w:r>
            <w:r w:rsidR="006F213D" w:rsidRPr="00776A28">
              <w:t>.</w:t>
            </w:r>
          </w:p>
        </w:tc>
      </w:tr>
      <w:tr w:rsidR="00A27CCF" w:rsidRPr="00776A28" w14:paraId="19FD8E8B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56D8EC25" w14:textId="66AB91BA" w:rsidR="00A27CCF" w:rsidRPr="00776A28" w:rsidRDefault="00B75340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Information </w:t>
            </w:r>
            <w:r w:rsidR="00024F0C"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S</w:t>
            </w: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ecurity </w:t>
            </w:r>
            <w:r w:rsidR="00A27CCF"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Incident</w:t>
            </w:r>
          </w:p>
        </w:tc>
        <w:tc>
          <w:tcPr>
            <w:tcW w:w="7371" w:type="dxa"/>
            <w:vAlign w:val="center"/>
          </w:tcPr>
          <w:p w14:paraId="5AE839C8" w14:textId="6841EAE1" w:rsidR="00A27CCF" w:rsidRPr="00776A28" w:rsidRDefault="00695EA7" w:rsidP="00695EA7">
            <w:pPr>
              <w:pStyle w:val="BodyText"/>
              <w:jc w:val="left"/>
            </w:pPr>
            <w:r>
              <w:t>A s</w:t>
            </w:r>
            <w:r w:rsidR="00A27CCF" w:rsidRPr="00776A28">
              <w:t>ingle or a series of unwanted or unexpected information security events that create a significant probability of compromising business operations and threaten information security.</w:t>
            </w:r>
          </w:p>
        </w:tc>
      </w:tr>
      <w:tr w:rsidR="002874C3" w:rsidRPr="00776A28" w14:paraId="4751AAC7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440C6FB3" w14:textId="609EFDAF" w:rsidR="002874C3" w:rsidRPr="00776A28" w:rsidRDefault="002874C3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Threat Detection</w:t>
            </w:r>
          </w:p>
        </w:tc>
        <w:tc>
          <w:tcPr>
            <w:tcW w:w="7371" w:type="dxa"/>
            <w:vAlign w:val="center"/>
          </w:tcPr>
          <w:p w14:paraId="2C25F5C1" w14:textId="00CCB3B1" w:rsidR="002874C3" w:rsidRPr="00776A28" w:rsidRDefault="00D96F0D" w:rsidP="00247AB3">
            <w:pPr>
              <w:pStyle w:val="BodyText"/>
              <w:jc w:val="left"/>
            </w:pPr>
            <w:r w:rsidRPr="00776A28">
              <w:t>The process of monitoring, identifying, and providing alerts on malicious cyberthreat activity.</w:t>
            </w:r>
          </w:p>
        </w:tc>
      </w:tr>
      <w:tr w:rsidR="002874C3" w:rsidRPr="00776A28" w14:paraId="3E128B97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4B6BF2AF" w14:textId="0201A62B" w:rsidR="002874C3" w:rsidRPr="00776A28" w:rsidRDefault="002874C3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Threat Hunting</w:t>
            </w:r>
          </w:p>
        </w:tc>
        <w:tc>
          <w:tcPr>
            <w:tcW w:w="7371" w:type="dxa"/>
            <w:vAlign w:val="center"/>
          </w:tcPr>
          <w:p w14:paraId="074A079B" w14:textId="4F2FCCCD" w:rsidR="002874C3" w:rsidRPr="00776A28" w:rsidRDefault="00D96F0D" w:rsidP="00247AB3">
            <w:pPr>
              <w:pStyle w:val="BodyText"/>
              <w:jc w:val="left"/>
            </w:pPr>
            <w:r w:rsidRPr="00776A28">
              <w:t xml:space="preserve">A proactive approach to identify previously unknown, or ongoing non-remediated threats within an </w:t>
            </w:r>
            <w:r w:rsidR="00373939">
              <w:t>O</w:t>
            </w:r>
            <w:r w:rsidRPr="00776A28">
              <w:t>rganization's network.</w:t>
            </w:r>
          </w:p>
        </w:tc>
      </w:tr>
      <w:tr w:rsidR="00A27CCF" w:rsidRPr="00776A28" w14:paraId="2EEF6366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3DB93CC2" w14:textId="198513F4" w:rsidR="00A27CCF" w:rsidRPr="00776A28" w:rsidRDefault="00A27CCF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Threat</w:t>
            </w:r>
            <w:r w:rsidR="00A94257"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Intelligence</w:t>
            </w:r>
          </w:p>
        </w:tc>
        <w:tc>
          <w:tcPr>
            <w:tcW w:w="7371" w:type="dxa"/>
            <w:vAlign w:val="center"/>
          </w:tcPr>
          <w:p w14:paraId="065CBDF0" w14:textId="5F02861A" w:rsidR="00A27CCF" w:rsidRPr="00776A28" w:rsidRDefault="003D0DA0" w:rsidP="00247AB3">
            <w:pPr>
              <w:pStyle w:val="BodyText"/>
              <w:jc w:val="left"/>
            </w:pPr>
            <w:r w:rsidRPr="00776A28">
              <w:t>Threat information that has been aggregated, transformed, analyzed, interpreted, or enriched to provide the necessary context for decision-making processes.</w:t>
            </w:r>
          </w:p>
        </w:tc>
      </w:tr>
      <w:tr w:rsidR="000B61D6" w:rsidRPr="00776A28" w14:paraId="49B1ABC0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5A00B0C6" w14:textId="27E1B9BE" w:rsidR="000B61D6" w:rsidRPr="00776A28" w:rsidRDefault="000B61D6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Organization</w:t>
            </w:r>
          </w:p>
        </w:tc>
        <w:tc>
          <w:tcPr>
            <w:tcW w:w="7371" w:type="dxa"/>
            <w:vAlign w:val="center"/>
          </w:tcPr>
          <w:p w14:paraId="678A8F8B" w14:textId="0A16170D" w:rsidR="000B61D6" w:rsidRPr="00776A28" w:rsidRDefault="00B007DB" w:rsidP="00247AB3">
            <w:pPr>
              <w:pStyle w:val="BodyText"/>
              <w:jc w:val="left"/>
            </w:pPr>
            <w:r w:rsidRPr="00B007DB">
              <w:rPr>
                <w:rFonts w:eastAsia="Times New Roman"/>
                <w:color w:val="00000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641FAB" w:rsidRPr="00776A28" w14:paraId="28096B72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44A9F15F" w14:textId="3770DA20" w:rsidR="00641FAB" w:rsidRPr="00776A28" w:rsidRDefault="00695EA7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E2E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Personal Identifiable Information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641FAB"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PII</w:t>
            </w:r>
            <w: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)</w:t>
            </w:r>
          </w:p>
        </w:tc>
        <w:tc>
          <w:tcPr>
            <w:tcW w:w="7371" w:type="dxa"/>
            <w:vAlign w:val="center"/>
          </w:tcPr>
          <w:p w14:paraId="469D9FD4" w14:textId="0509341A" w:rsidR="00641FAB" w:rsidRPr="00776A28" w:rsidRDefault="001B757F" w:rsidP="00695EA7">
            <w:pPr>
              <w:pStyle w:val="BodyText"/>
              <w:jc w:val="left"/>
              <w:rPr>
                <w:color w:val="1A1A1A"/>
                <w:shd w:val="clear" w:color="auto" w:fill="FFFFFF"/>
              </w:rPr>
            </w:pPr>
            <w:r w:rsidRPr="00776A28">
              <w:rPr>
                <w:color w:val="1A1A1A"/>
                <w:shd w:val="clear" w:color="auto" w:fill="FFFFFF"/>
                <w:lang w:val="en-IN"/>
              </w:rPr>
              <w:t xml:space="preserve">Data that could potentially identify a specific individual directly or indirectly. It includes but </w:t>
            </w:r>
            <w:r w:rsidR="00D256A7" w:rsidRPr="00776A28">
              <w:rPr>
                <w:color w:val="1A1A1A"/>
                <w:shd w:val="clear" w:color="auto" w:fill="FFFFFF"/>
                <w:lang w:val="en-IN"/>
              </w:rPr>
              <w:t xml:space="preserve">is </w:t>
            </w:r>
            <w:r w:rsidRPr="00776A28">
              <w:rPr>
                <w:color w:val="1A1A1A"/>
                <w:shd w:val="clear" w:color="auto" w:fill="FFFFFF"/>
                <w:lang w:val="en-IN"/>
              </w:rPr>
              <w:t>not limited to</w:t>
            </w:r>
            <w:r w:rsidR="00695EA7">
              <w:rPr>
                <w:color w:val="1A1A1A"/>
                <w:shd w:val="clear" w:color="auto" w:fill="FFFFFF"/>
                <w:lang w:val="en-IN"/>
              </w:rPr>
              <w:t>,</w:t>
            </w:r>
            <w:r w:rsidRPr="00776A28">
              <w:rPr>
                <w:color w:val="1A1A1A"/>
                <w:shd w:val="clear" w:color="auto" w:fill="FFFFFF"/>
                <w:lang w:val="en-IN"/>
              </w:rPr>
              <w:t xml:space="preserve"> name, date of birth, social security number, </w:t>
            </w:r>
            <w:r w:rsidR="00695EA7">
              <w:rPr>
                <w:color w:val="1A1A1A"/>
                <w:shd w:val="clear" w:color="auto" w:fill="FFFFFF"/>
                <w:lang w:val="en-IN"/>
              </w:rPr>
              <w:t>g</w:t>
            </w:r>
            <w:r w:rsidRPr="00776A28">
              <w:rPr>
                <w:color w:val="1A1A1A"/>
                <w:shd w:val="clear" w:color="auto" w:fill="FFFFFF"/>
                <w:lang w:val="en-IN"/>
              </w:rPr>
              <w:t>overnment</w:t>
            </w:r>
            <w:r w:rsidR="00695EA7">
              <w:rPr>
                <w:color w:val="1A1A1A"/>
                <w:shd w:val="clear" w:color="auto" w:fill="FFFFFF"/>
                <w:lang w:val="en-IN"/>
              </w:rPr>
              <w:t xml:space="preserve"> or n</w:t>
            </w:r>
            <w:r w:rsidRPr="00776A28">
              <w:rPr>
                <w:color w:val="1A1A1A"/>
                <w:shd w:val="clear" w:color="auto" w:fill="FFFFFF"/>
                <w:lang w:val="en-IN"/>
              </w:rPr>
              <w:t xml:space="preserve">ational </w:t>
            </w:r>
            <w:r w:rsidR="00695EA7">
              <w:rPr>
                <w:color w:val="1A1A1A"/>
                <w:shd w:val="clear" w:color="auto" w:fill="FFFFFF"/>
                <w:lang w:val="en-IN"/>
              </w:rPr>
              <w:t>i</w:t>
            </w:r>
            <w:r w:rsidRPr="00776A28">
              <w:rPr>
                <w:color w:val="1A1A1A"/>
                <w:shd w:val="clear" w:color="auto" w:fill="FFFFFF"/>
                <w:lang w:val="en-IN"/>
              </w:rPr>
              <w:t>dentifier, address, telephone number, employee ID number, credit card number</w:t>
            </w:r>
            <w:r w:rsidR="00D256A7" w:rsidRPr="00776A28">
              <w:rPr>
                <w:color w:val="1A1A1A"/>
                <w:shd w:val="clear" w:color="auto" w:fill="FFFFFF"/>
                <w:lang w:val="en-IN"/>
              </w:rPr>
              <w:t>,</w:t>
            </w:r>
            <w:r w:rsidRPr="00776A28">
              <w:rPr>
                <w:color w:val="1A1A1A"/>
                <w:shd w:val="clear" w:color="auto" w:fill="FFFFFF"/>
                <w:lang w:val="en-IN"/>
              </w:rPr>
              <w:t xml:space="preserve"> and password</w:t>
            </w:r>
            <w:r w:rsidR="00695EA7">
              <w:rPr>
                <w:color w:val="1A1A1A"/>
                <w:shd w:val="clear" w:color="auto" w:fill="FFFFFF"/>
                <w:lang w:val="en-IN"/>
              </w:rPr>
              <w:t>s</w:t>
            </w:r>
            <w:r w:rsidR="00641FAB" w:rsidRPr="00776A28">
              <w:rPr>
                <w:color w:val="1A1A1A"/>
                <w:shd w:val="clear" w:color="auto" w:fill="FFFFFF"/>
                <w:lang w:val="en-IN"/>
              </w:rPr>
              <w:t>.</w:t>
            </w:r>
          </w:p>
        </w:tc>
      </w:tr>
      <w:tr w:rsidR="00D064C1" w:rsidRPr="00776A28" w14:paraId="75E6ADE4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1B04C713" w14:textId="2FEBBA80" w:rsidR="00D064C1" w:rsidRPr="00776A28" w:rsidRDefault="00D064C1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Users</w:t>
            </w:r>
          </w:p>
        </w:tc>
        <w:tc>
          <w:tcPr>
            <w:tcW w:w="7371" w:type="dxa"/>
            <w:vAlign w:val="center"/>
          </w:tcPr>
          <w:p w14:paraId="2155DC07" w14:textId="5BED540E" w:rsidR="00D064C1" w:rsidRPr="00776A28" w:rsidRDefault="00B007DB" w:rsidP="00247AB3">
            <w:pPr>
              <w:pStyle w:val="BodyText"/>
              <w:jc w:val="left"/>
              <w:rPr>
                <w:color w:val="1A1A1A"/>
                <w:shd w:val="clear" w:color="auto" w:fill="FFFFFF"/>
                <w:lang w:val="en-IN"/>
              </w:rPr>
            </w:pPr>
            <w:r w:rsidRPr="00B007DB">
              <w:rPr>
                <w:rStyle w:val="normaltextrun"/>
                <w:rFonts w:eastAsia="Times New Roman"/>
              </w:rPr>
              <w:t>The term “User” includes employee of the Organization, retainers, contractors, trainees or interns, customers, partners, suppliers, and vendors.</w:t>
            </w:r>
          </w:p>
        </w:tc>
      </w:tr>
      <w:tr w:rsidR="00D064C1" w:rsidRPr="00776A28" w14:paraId="06C551AF" w14:textId="77777777" w:rsidTr="00247AB3">
        <w:trPr>
          <w:trHeight w:val="397"/>
          <w:jc w:val="center"/>
        </w:trPr>
        <w:tc>
          <w:tcPr>
            <w:tcW w:w="1696" w:type="dxa"/>
            <w:vAlign w:val="center"/>
          </w:tcPr>
          <w:p w14:paraId="4A50E3D4" w14:textId="7B206DA2" w:rsidR="00D064C1" w:rsidRPr="00776A28" w:rsidRDefault="00D064C1" w:rsidP="00247AB3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  <w:lang w:val="en-IN"/>
              </w:rPr>
            </w:pPr>
            <w:r w:rsidRPr="00776A2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Vulnerability</w:t>
            </w:r>
          </w:p>
        </w:tc>
        <w:tc>
          <w:tcPr>
            <w:tcW w:w="7371" w:type="dxa"/>
            <w:vAlign w:val="center"/>
          </w:tcPr>
          <w:p w14:paraId="1C410E11" w14:textId="0134FE12" w:rsidR="00D064C1" w:rsidRPr="00776A28" w:rsidRDefault="00D064C1" w:rsidP="00247AB3">
            <w:pPr>
              <w:pStyle w:val="BodyText"/>
              <w:jc w:val="left"/>
              <w:rPr>
                <w:color w:val="000000"/>
                <w:shd w:val="clear" w:color="auto" w:fill="FFFFFF"/>
              </w:rPr>
            </w:pPr>
            <w:r w:rsidRPr="00776A28">
              <w:rPr>
                <w:color w:val="000000"/>
                <w:shd w:val="clear" w:color="auto" w:fill="FFFFFF"/>
              </w:rPr>
              <w:t>A weakness in an information system, system security procedures, or internal controls that could be exploited or triggered by a threat source.</w:t>
            </w:r>
          </w:p>
        </w:tc>
      </w:tr>
    </w:tbl>
    <w:p w14:paraId="25DAA89C" w14:textId="77777777" w:rsidR="00986726" w:rsidRPr="00247AB3" w:rsidRDefault="00986726" w:rsidP="00247AB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3040E8" w14:textId="77777777" w:rsidR="00AE23C0" w:rsidRPr="00776A28" w:rsidRDefault="00AE23C0" w:rsidP="00247AB3">
      <w:pPr>
        <w:pStyle w:val="Heading4"/>
        <w:spacing w:after="0" w:line="240" w:lineRule="auto"/>
      </w:pPr>
      <w:r w:rsidRPr="00776A28">
        <w:t>Acronyms</w:t>
      </w:r>
    </w:p>
    <w:p w14:paraId="62804AC9" w14:textId="77777777" w:rsidR="00D256A7" w:rsidRPr="00BB2A7D" w:rsidRDefault="00D256A7" w:rsidP="00247AB3">
      <w:pPr>
        <w:spacing w:after="0" w:line="240" w:lineRule="auto"/>
      </w:pP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696"/>
        <w:gridCol w:w="7371"/>
      </w:tblGrid>
      <w:tr w:rsidR="00AE23C0" w:rsidRPr="00776A28" w14:paraId="5C3E1C76" w14:textId="77777777" w:rsidTr="00247AB3">
        <w:trPr>
          <w:trHeight w:val="2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E4B7" w14:textId="77777777" w:rsidR="00AE23C0" w:rsidRPr="00776A28" w:rsidRDefault="00AE23C0" w:rsidP="00247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76A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Acronym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11A1" w14:textId="77777777" w:rsidR="00AE23C0" w:rsidRPr="00776A28" w:rsidRDefault="00AE23C0" w:rsidP="00247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76A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524802" w:rsidRPr="00776A28" w14:paraId="2343716C" w14:textId="77777777" w:rsidTr="00247AB3">
        <w:trPr>
          <w:trHeight w:val="2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82284" w14:textId="472FC054" w:rsidR="00524802" w:rsidRPr="00776A28" w:rsidRDefault="00524802" w:rsidP="00247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76A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GCISO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0C145" w14:textId="5E49665A" w:rsidR="00524802" w:rsidRPr="00776A28" w:rsidRDefault="00524802" w:rsidP="00247AB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6A28">
              <w:rPr>
                <w:rFonts w:ascii="Times New Roman" w:hAnsi="Times New Roman" w:cs="Times New Roman"/>
                <w:bCs/>
                <w:sz w:val="20"/>
                <w:szCs w:val="20"/>
              </w:rPr>
              <w:t>Group Chief Information Security Office</w:t>
            </w:r>
          </w:p>
        </w:tc>
      </w:tr>
      <w:tr w:rsidR="006C48F1" w:rsidRPr="00776A28" w14:paraId="4D49DF55" w14:textId="77777777" w:rsidTr="00247AB3">
        <w:trPr>
          <w:trHeight w:val="2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76011" w14:textId="2CD054F5" w:rsidR="006C48F1" w:rsidRPr="00776A28" w:rsidRDefault="006C48F1" w:rsidP="00247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76A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PII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D426C" w14:textId="409F4C63" w:rsidR="006C48F1" w:rsidRPr="00776A28" w:rsidRDefault="006C48F1" w:rsidP="00247AB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6A28">
              <w:rPr>
                <w:rFonts w:ascii="Times New Roman" w:hAnsi="Times New Roman" w:cs="Times New Roman"/>
                <w:bCs/>
                <w:sz w:val="20"/>
                <w:szCs w:val="20"/>
              </w:rPr>
              <w:t>Personal Identifiable Information</w:t>
            </w:r>
          </w:p>
        </w:tc>
      </w:tr>
    </w:tbl>
    <w:p w14:paraId="66A93257" w14:textId="77777777" w:rsidR="00D256A7" w:rsidRPr="00776A28" w:rsidRDefault="00D256A7" w:rsidP="00247A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4F42855" w14:textId="77777777" w:rsidR="00AE23C0" w:rsidRPr="00776A28" w:rsidRDefault="00AE23C0" w:rsidP="00247AB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b/>
          <w:sz w:val="20"/>
          <w:szCs w:val="20"/>
        </w:rPr>
        <w:t>References</w:t>
      </w:r>
    </w:p>
    <w:p w14:paraId="0A4B715B" w14:textId="595B2E5A" w:rsidR="00426B68" w:rsidRPr="00776A28" w:rsidRDefault="00E03D71" w:rsidP="00247AB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>Security Patch Management Policy</w:t>
      </w:r>
    </w:p>
    <w:p w14:paraId="1A0E1215" w14:textId="194B582D" w:rsidR="00D953D6" w:rsidRPr="00776A28" w:rsidRDefault="00D953D6" w:rsidP="00247AB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>Data Retention Policy</w:t>
      </w:r>
    </w:p>
    <w:p w14:paraId="7A826819" w14:textId="7C4AEF02" w:rsidR="00D953D6" w:rsidRPr="00776A28" w:rsidRDefault="00D953D6" w:rsidP="00247AB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>Data Protection and Privacy Policy</w:t>
      </w:r>
    </w:p>
    <w:p w14:paraId="75081FE2" w14:textId="77777777" w:rsidR="00EF2CC3" w:rsidRPr="00776A28" w:rsidDel="00EF2CC3" w:rsidRDefault="00EF2CC3" w:rsidP="00247AB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>Clock Synchronization Standard</w:t>
      </w:r>
    </w:p>
    <w:p w14:paraId="6F3CF0A3" w14:textId="0C55B729" w:rsidR="00D953D6" w:rsidRPr="00776A28" w:rsidRDefault="00D953D6" w:rsidP="00247AB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76A28">
        <w:rPr>
          <w:rFonts w:ascii="Times New Roman" w:hAnsi="Times New Roman" w:cs="Times New Roman"/>
          <w:sz w:val="20"/>
          <w:szCs w:val="20"/>
        </w:rPr>
        <w:t xml:space="preserve">Logging </w:t>
      </w:r>
      <w:r w:rsidR="00C00E5E" w:rsidRPr="00776A28">
        <w:rPr>
          <w:rFonts w:ascii="Times New Roman" w:hAnsi="Times New Roman" w:cs="Times New Roman"/>
          <w:sz w:val="20"/>
          <w:szCs w:val="20"/>
        </w:rPr>
        <w:t>and</w:t>
      </w:r>
      <w:r w:rsidRPr="00776A28">
        <w:rPr>
          <w:rFonts w:ascii="Times New Roman" w:hAnsi="Times New Roman" w:cs="Times New Roman"/>
          <w:sz w:val="20"/>
          <w:szCs w:val="20"/>
        </w:rPr>
        <w:t xml:space="preserve"> Monitoring Standard</w:t>
      </w:r>
    </w:p>
    <w:p w14:paraId="6D16D4CC" w14:textId="77777777" w:rsidR="00D256A7" w:rsidRPr="00247AB3" w:rsidRDefault="00D256A7" w:rsidP="00247AB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AC7201" w14:textId="4D2B151B" w:rsidR="00426B68" w:rsidRPr="00776A28" w:rsidRDefault="00426B68" w:rsidP="00247AB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6A28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15EBCDA4" w14:textId="77777777" w:rsidR="00D256A7" w:rsidRPr="00776A28" w:rsidRDefault="00D256A7" w:rsidP="00247AB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83"/>
        <w:gridCol w:w="1046"/>
        <w:gridCol w:w="2993"/>
        <w:gridCol w:w="1284"/>
        <w:gridCol w:w="1738"/>
        <w:gridCol w:w="1072"/>
      </w:tblGrid>
      <w:tr w:rsidR="00776A28" w:rsidRPr="00776A28" w14:paraId="38C57AEB" w14:textId="77777777" w:rsidTr="000521AC">
        <w:trPr>
          <w:trHeight w:val="567"/>
          <w:jc w:val="center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F012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776A28" w:rsidRDefault="00426B68" w:rsidP="00247AB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776A28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776A28" w:rsidRPr="00776A28" w14:paraId="5F69E664" w14:textId="77777777" w:rsidTr="000521AC">
        <w:trPr>
          <w:trHeight w:val="567"/>
          <w:jc w:val="center"/>
        </w:trPr>
        <w:tc>
          <w:tcPr>
            <w:tcW w:w="490" w:type="pct"/>
            <w:vAlign w:val="center"/>
          </w:tcPr>
          <w:p w14:paraId="021AA74C" w14:textId="27C00BC9" w:rsidR="006005C5" w:rsidRPr="00776A28" w:rsidRDefault="000521AC" w:rsidP="0091689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6005C5" w:rsidRPr="00776A2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580" w:type="pct"/>
            <w:vAlign w:val="center"/>
          </w:tcPr>
          <w:p w14:paraId="5390C71B" w14:textId="363FC2B4" w:rsidR="006005C5" w:rsidRPr="00776A28" w:rsidRDefault="006005C5" w:rsidP="00776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76A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Pr="00776A28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776A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July 2023</w:t>
            </w:r>
          </w:p>
        </w:tc>
        <w:tc>
          <w:tcPr>
            <w:tcW w:w="1660" w:type="pct"/>
            <w:vAlign w:val="center"/>
          </w:tcPr>
          <w:p w14:paraId="6D2577BE" w14:textId="77777777" w:rsidR="000521AC" w:rsidRDefault="00416762" w:rsidP="00776A28">
            <w:pPr>
              <w:pStyle w:val="BodyText"/>
              <w:jc w:val="left"/>
            </w:pPr>
            <w:r w:rsidRPr="00776A28">
              <w:t>Renamed to “Logging and Monitoring Policy” from “Cyber Threat Detection Policy”.</w:t>
            </w:r>
          </w:p>
          <w:p w14:paraId="74332F00" w14:textId="516F94D4" w:rsidR="00524802" w:rsidRPr="000521AC" w:rsidRDefault="006005C5" w:rsidP="00776A28">
            <w:pPr>
              <w:pStyle w:val="BodyText"/>
              <w:jc w:val="left"/>
              <w:rPr>
                <w:color w:val="000000" w:themeColor="text1"/>
                <w:shd w:val="clear" w:color="auto" w:fill="FFFFFF"/>
              </w:rPr>
            </w:pPr>
            <w:r w:rsidRPr="00776A28">
              <w:rPr>
                <w:rStyle w:val="normaltextrun"/>
                <w:color w:val="000000" w:themeColor="text1"/>
                <w:shd w:val="clear" w:color="auto" w:fill="FFFFFF"/>
              </w:rPr>
              <w:t>Reviewed and updated the policy as per the ISO 27001:2022 and best practices of NIST 800-53 Rev5.</w:t>
            </w:r>
          </w:p>
        </w:tc>
        <w:tc>
          <w:tcPr>
            <w:tcW w:w="712" w:type="pct"/>
            <w:vAlign w:val="center"/>
          </w:tcPr>
          <w:p w14:paraId="6A9EFBD3" w14:textId="471D4523" w:rsidR="006005C5" w:rsidRPr="00776A28" w:rsidRDefault="006005C5" w:rsidP="00776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76A28">
              <w:rPr>
                <w:rFonts w:ascii="Times New Roman" w:hAnsi="Times New Roman" w:cs="Times New Roman"/>
                <w:sz w:val="20"/>
                <w:szCs w:val="20"/>
              </w:rPr>
              <w:t>Roju Vadakkath</w:t>
            </w:r>
          </w:p>
        </w:tc>
        <w:tc>
          <w:tcPr>
            <w:tcW w:w="964" w:type="pct"/>
            <w:vAlign w:val="center"/>
          </w:tcPr>
          <w:p w14:paraId="702FABFC" w14:textId="48F23013" w:rsidR="006005C5" w:rsidRPr="00776A28" w:rsidRDefault="006005C5" w:rsidP="00776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776A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594" w:type="pct"/>
            <w:vAlign w:val="center"/>
          </w:tcPr>
          <w:p w14:paraId="6FE5D6AF" w14:textId="6EB10BB1" w:rsidR="006005C5" w:rsidRPr="00776A28" w:rsidRDefault="000521AC" w:rsidP="00776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0521A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776A28" w:rsidRDefault="00426B68" w:rsidP="009168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776A28" w:rsidSect="0025127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00F80" w14:textId="77777777" w:rsidR="00233947" w:rsidRDefault="00233947" w:rsidP="00D065EE">
      <w:pPr>
        <w:spacing w:after="0" w:line="240" w:lineRule="auto"/>
      </w:pPr>
      <w:r>
        <w:separator/>
      </w:r>
    </w:p>
  </w:endnote>
  <w:endnote w:type="continuationSeparator" w:id="0">
    <w:p w14:paraId="4B67E169" w14:textId="77777777" w:rsidR="00233947" w:rsidRDefault="00233947" w:rsidP="00D065EE">
      <w:pPr>
        <w:spacing w:after="0" w:line="240" w:lineRule="auto"/>
      </w:pPr>
      <w:r>
        <w:continuationSeparator/>
      </w:r>
    </w:p>
  </w:endnote>
  <w:endnote w:type="continuationNotice" w:id="1">
    <w:p w14:paraId="779E9C5F" w14:textId="77777777" w:rsidR="00233947" w:rsidRDefault="002339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1A6E" w14:textId="77777777" w:rsidR="00233947" w:rsidRDefault="00233947" w:rsidP="00D065EE">
      <w:pPr>
        <w:spacing w:after="0" w:line="240" w:lineRule="auto"/>
      </w:pPr>
      <w:r>
        <w:separator/>
      </w:r>
    </w:p>
  </w:footnote>
  <w:footnote w:type="continuationSeparator" w:id="0">
    <w:p w14:paraId="6415832F" w14:textId="77777777" w:rsidR="00233947" w:rsidRDefault="00233947" w:rsidP="00D065EE">
      <w:pPr>
        <w:spacing w:after="0" w:line="240" w:lineRule="auto"/>
      </w:pPr>
      <w:r>
        <w:continuationSeparator/>
      </w:r>
    </w:p>
  </w:footnote>
  <w:footnote w:type="continuationNotice" w:id="1">
    <w:p w14:paraId="1A35822A" w14:textId="77777777" w:rsidR="00233947" w:rsidRDefault="002339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0E1E3C8B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39054C2E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19FCB0FB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C46"/>
    <w:multiLevelType w:val="multilevel"/>
    <w:tmpl w:val="F8E2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05FD7"/>
    <w:multiLevelType w:val="hybridMultilevel"/>
    <w:tmpl w:val="E736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A602"/>
    <w:multiLevelType w:val="hybridMultilevel"/>
    <w:tmpl w:val="8C0C11E4"/>
    <w:lvl w:ilvl="0" w:tplc="A6FA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6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EB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20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6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06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06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AF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0711"/>
    <w:multiLevelType w:val="hybridMultilevel"/>
    <w:tmpl w:val="B480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42241">
    <w:abstractNumId w:val="1"/>
  </w:num>
  <w:num w:numId="2" w16cid:durableId="1190728527">
    <w:abstractNumId w:val="2"/>
  </w:num>
  <w:num w:numId="3" w16cid:durableId="671689089">
    <w:abstractNumId w:val="0"/>
  </w:num>
  <w:num w:numId="4" w16cid:durableId="1181893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11B19"/>
    <w:rsid w:val="00014353"/>
    <w:rsid w:val="00014971"/>
    <w:rsid w:val="00024466"/>
    <w:rsid w:val="00024F0C"/>
    <w:rsid w:val="00025469"/>
    <w:rsid w:val="00027CDD"/>
    <w:rsid w:val="00034C2B"/>
    <w:rsid w:val="00042660"/>
    <w:rsid w:val="00047FE6"/>
    <w:rsid w:val="000521AC"/>
    <w:rsid w:val="00060326"/>
    <w:rsid w:val="000611D0"/>
    <w:rsid w:val="000647FA"/>
    <w:rsid w:val="000671D5"/>
    <w:rsid w:val="00070E1C"/>
    <w:rsid w:val="000862BA"/>
    <w:rsid w:val="00092BF6"/>
    <w:rsid w:val="000A3654"/>
    <w:rsid w:val="000B0796"/>
    <w:rsid w:val="000B4A38"/>
    <w:rsid w:val="000B50A1"/>
    <w:rsid w:val="000B61D6"/>
    <w:rsid w:val="000C0EB3"/>
    <w:rsid w:val="000C3695"/>
    <w:rsid w:val="000C396B"/>
    <w:rsid w:val="000C6D91"/>
    <w:rsid w:val="000E67FE"/>
    <w:rsid w:val="000F7A99"/>
    <w:rsid w:val="00126E0A"/>
    <w:rsid w:val="00126E76"/>
    <w:rsid w:val="00127142"/>
    <w:rsid w:val="0013713D"/>
    <w:rsid w:val="00153941"/>
    <w:rsid w:val="00153C05"/>
    <w:rsid w:val="001543CD"/>
    <w:rsid w:val="00156A7D"/>
    <w:rsid w:val="001608C5"/>
    <w:rsid w:val="00160BB4"/>
    <w:rsid w:val="001612EA"/>
    <w:rsid w:val="00165162"/>
    <w:rsid w:val="0017656B"/>
    <w:rsid w:val="0018009D"/>
    <w:rsid w:val="00186263"/>
    <w:rsid w:val="001A0F89"/>
    <w:rsid w:val="001A2A96"/>
    <w:rsid w:val="001A6DC7"/>
    <w:rsid w:val="001B4A1D"/>
    <w:rsid w:val="001B757F"/>
    <w:rsid w:val="001C09DE"/>
    <w:rsid w:val="001D619A"/>
    <w:rsid w:val="001E5169"/>
    <w:rsid w:val="001E565B"/>
    <w:rsid w:val="001F085C"/>
    <w:rsid w:val="0020303D"/>
    <w:rsid w:val="00213E8A"/>
    <w:rsid w:val="002151C3"/>
    <w:rsid w:val="00215403"/>
    <w:rsid w:val="00227DD8"/>
    <w:rsid w:val="00233947"/>
    <w:rsid w:val="00235DBE"/>
    <w:rsid w:val="0024169D"/>
    <w:rsid w:val="002459E0"/>
    <w:rsid w:val="002473E6"/>
    <w:rsid w:val="00247AB3"/>
    <w:rsid w:val="0025127B"/>
    <w:rsid w:val="00252B91"/>
    <w:rsid w:val="00253104"/>
    <w:rsid w:val="00254C1B"/>
    <w:rsid w:val="00254D44"/>
    <w:rsid w:val="002554F2"/>
    <w:rsid w:val="00263972"/>
    <w:rsid w:val="00274448"/>
    <w:rsid w:val="00286489"/>
    <w:rsid w:val="002874C3"/>
    <w:rsid w:val="00287F59"/>
    <w:rsid w:val="00293857"/>
    <w:rsid w:val="00294700"/>
    <w:rsid w:val="00295897"/>
    <w:rsid w:val="00297C03"/>
    <w:rsid w:val="002A5EDE"/>
    <w:rsid w:val="002B2D4C"/>
    <w:rsid w:val="002B5DEE"/>
    <w:rsid w:val="002C5A79"/>
    <w:rsid w:val="002D4807"/>
    <w:rsid w:val="002E0F4A"/>
    <w:rsid w:val="002E5B98"/>
    <w:rsid w:val="002F1189"/>
    <w:rsid w:val="002F7B09"/>
    <w:rsid w:val="00302AFF"/>
    <w:rsid w:val="00311875"/>
    <w:rsid w:val="00323934"/>
    <w:rsid w:val="003312C1"/>
    <w:rsid w:val="00337DBB"/>
    <w:rsid w:val="003407F8"/>
    <w:rsid w:val="00340E6D"/>
    <w:rsid w:val="003504FD"/>
    <w:rsid w:val="003545ED"/>
    <w:rsid w:val="00355146"/>
    <w:rsid w:val="00357FB9"/>
    <w:rsid w:val="00360D40"/>
    <w:rsid w:val="003644F6"/>
    <w:rsid w:val="003671F6"/>
    <w:rsid w:val="00373939"/>
    <w:rsid w:val="00384938"/>
    <w:rsid w:val="003859FE"/>
    <w:rsid w:val="00391ED3"/>
    <w:rsid w:val="00392FDC"/>
    <w:rsid w:val="003B0F2F"/>
    <w:rsid w:val="003B2E69"/>
    <w:rsid w:val="003C5B6A"/>
    <w:rsid w:val="003C7F01"/>
    <w:rsid w:val="003D0DA0"/>
    <w:rsid w:val="003D11C7"/>
    <w:rsid w:val="003D562B"/>
    <w:rsid w:val="003D6568"/>
    <w:rsid w:val="003D6F85"/>
    <w:rsid w:val="003E145B"/>
    <w:rsid w:val="003E66D5"/>
    <w:rsid w:val="003F2757"/>
    <w:rsid w:val="003F6930"/>
    <w:rsid w:val="00402972"/>
    <w:rsid w:val="004069E3"/>
    <w:rsid w:val="004070FA"/>
    <w:rsid w:val="0041255A"/>
    <w:rsid w:val="00415D87"/>
    <w:rsid w:val="00416762"/>
    <w:rsid w:val="00417339"/>
    <w:rsid w:val="00417B31"/>
    <w:rsid w:val="0042194D"/>
    <w:rsid w:val="0042310A"/>
    <w:rsid w:val="00426B68"/>
    <w:rsid w:val="00432F48"/>
    <w:rsid w:val="00433068"/>
    <w:rsid w:val="0043650E"/>
    <w:rsid w:val="00444734"/>
    <w:rsid w:val="00446231"/>
    <w:rsid w:val="00446A78"/>
    <w:rsid w:val="0045451F"/>
    <w:rsid w:val="00456034"/>
    <w:rsid w:val="0045648F"/>
    <w:rsid w:val="00461A51"/>
    <w:rsid w:val="00467F1B"/>
    <w:rsid w:val="004725D3"/>
    <w:rsid w:val="0048399F"/>
    <w:rsid w:val="00484500"/>
    <w:rsid w:val="0048545D"/>
    <w:rsid w:val="00490869"/>
    <w:rsid w:val="004A0C22"/>
    <w:rsid w:val="004B3E62"/>
    <w:rsid w:val="004C65AE"/>
    <w:rsid w:val="004D4F53"/>
    <w:rsid w:val="004E1B46"/>
    <w:rsid w:val="004F7284"/>
    <w:rsid w:val="005008C7"/>
    <w:rsid w:val="00501E2A"/>
    <w:rsid w:val="0050278E"/>
    <w:rsid w:val="00502A36"/>
    <w:rsid w:val="005109A9"/>
    <w:rsid w:val="005122A8"/>
    <w:rsid w:val="00514DE6"/>
    <w:rsid w:val="00521CA4"/>
    <w:rsid w:val="00524802"/>
    <w:rsid w:val="0052710D"/>
    <w:rsid w:val="00527C0B"/>
    <w:rsid w:val="00533145"/>
    <w:rsid w:val="00535D02"/>
    <w:rsid w:val="0054778E"/>
    <w:rsid w:val="00560624"/>
    <w:rsid w:val="00562CA7"/>
    <w:rsid w:val="0056439F"/>
    <w:rsid w:val="005739B9"/>
    <w:rsid w:val="005767C5"/>
    <w:rsid w:val="00584276"/>
    <w:rsid w:val="005972BE"/>
    <w:rsid w:val="00597516"/>
    <w:rsid w:val="005A155E"/>
    <w:rsid w:val="005B2782"/>
    <w:rsid w:val="005B62D3"/>
    <w:rsid w:val="005B7CC7"/>
    <w:rsid w:val="005C77DA"/>
    <w:rsid w:val="005D049E"/>
    <w:rsid w:val="005D310E"/>
    <w:rsid w:val="005E2B76"/>
    <w:rsid w:val="005E542F"/>
    <w:rsid w:val="005E77BE"/>
    <w:rsid w:val="005E7CFB"/>
    <w:rsid w:val="006005C5"/>
    <w:rsid w:val="00602422"/>
    <w:rsid w:val="00606068"/>
    <w:rsid w:val="00621268"/>
    <w:rsid w:val="00621E06"/>
    <w:rsid w:val="00625274"/>
    <w:rsid w:val="0062576F"/>
    <w:rsid w:val="00625F41"/>
    <w:rsid w:val="0062609A"/>
    <w:rsid w:val="006310BC"/>
    <w:rsid w:val="00637F3A"/>
    <w:rsid w:val="00641FAB"/>
    <w:rsid w:val="00652694"/>
    <w:rsid w:val="006543F4"/>
    <w:rsid w:val="0065515E"/>
    <w:rsid w:val="00682228"/>
    <w:rsid w:val="00682499"/>
    <w:rsid w:val="00682F57"/>
    <w:rsid w:val="00684874"/>
    <w:rsid w:val="00695EA7"/>
    <w:rsid w:val="006A62ED"/>
    <w:rsid w:val="006A7261"/>
    <w:rsid w:val="006A7E56"/>
    <w:rsid w:val="006B0E34"/>
    <w:rsid w:val="006B0E43"/>
    <w:rsid w:val="006B1CAA"/>
    <w:rsid w:val="006B7E8D"/>
    <w:rsid w:val="006C48F1"/>
    <w:rsid w:val="006C672F"/>
    <w:rsid w:val="006E00EB"/>
    <w:rsid w:val="006E3B18"/>
    <w:rsid w:val="006E63F8"/>
    <w:rsid w:val="006F213D"/>
    <w:rsid w:val="006F2E6F"/>
    <w:rsid w:val="00703466"/>
    <w:rsid w:val="00706392"/>
    <w:rsid w:val="00710367"/>
    <w:rsid w:val="00710522"/>
    <w:rsid w:val="00717F34"/>
    <w:rsid w:val="007245A2"/>
    <w:rsid w:val="00732979"/>
    <w:rsid w:val="007405A0"/>
    <w:rsid w:val="00753410"/>
    <w:rsid w:val="00757BB5"/>
    <w:rsid w:val="00762858"/>
    <w:rsid w:val="007629F4"/>
    <w:rsid w:val="00764D6C"/>
    <w:rsid w:val="00766339"/>
    <w:rsid w:val="0076727F"/>
    <w:rsid w:val="007702D3"/>
    <w:rsid w:val="00776A28"/>
    <w:rsid w:val="0078680D"/>
    <w:rsid w:val="0078739D"/>
    <w:rsid w:val="007B532A"/>
    <w:rsid w:val="007C0C2F"/>
    <w:rsid w:val="007C6232"/>
    <w:rsid w:val="007E528E"/>
    <w:rsid w:val="007E6A9A"/>
    <w:rsid w:val="008035E2"/>
    <w:rsid w:val="008115FF"/>
    <w:rsid w:val="00815B3B"/>
    <w:rsid w:val="00826537"/>
    <w:rsid w:val="00827CCF"/>
    <w:rsid w:val="00830A02"/>
    <w:rsid w:val="00834DC2"/>
    <w:rsid w:val="00866446"/>
    <w:rsid w:val="0088219F"/>
    <w:rsid w:val="00884662"/>
    <w:rsid w:val="008A122D"/>
    <w:rsid w:val="008A774E"/>
    <w:rsid w:val="008B0197"/>
    <w:rsid w:val="008B3ACF"/>
    <w:rsid w:val="008D07F3"/>
    <w:rsid w:val="008D41F6"/>
    <w:rsid w:val="008E6556"/>
    <w:rsid w:val="008F6B9F"/>
    <w:rsid w:val="009008E4"/>
    <w:rsid w:val="00900F93"/>
    <w:rsid w:val="009058F1"/>
    <w:rsid w:val="00905C8C"/>
    <w:rsid w:val="00914692"/>
    <w:rsid w:val="00916895"/>
    <w:rsid w:val="009227EA"/>
    <w:rsid w:val="00927DE9"/>
    <w:rsid w:val="0093097C"/>
    <w:rsid w:val="00932E36"/>
    <w:rsid w:val="00933638"/>
    <w:rsid w:val="00955900"/>
    <w:rsid w:val="00957C38"/>
    <w:rsid w:val="00984107"/>
    <w:rsid w:val="0098486D"/>
    <w:rsid w:val="00986726"/>
    <w:rsid w:val="00987DA9"/>
    <w:rsid w:val="009A0F02"/>
    <w:rsid w:val="009C0E0D"/>
    <w:rsid w:val="009C5E9F"/>
    <w:rsid w:val="009D0046"/>
    <w:rsid w:val="009D2492"/>
    <w:rsid w:val="009D34F8"/>
    <w:rsid w:val="009E010B"/>
    <w:rsid w:val="009E1033"/>
    <w:rsid w:val="009F1561"/>
    <w:rsid w:val="009F5509"/>
    <w:rsid w:val="009F6CD2"/>
    <w:rsid w:val="00A06943"/>
    <w:rsid w:val="00A07154"/>
    <w:rsid w:val="00A1054F"/>
    <w:rsid w:val="00A13A10"/>
    <w:rsid w:val="00A14A79"/>
    <w:rsid w:val="00A14B29"/>
    <w:rsid w:val="00A16304"/>
    <w:rsid w:val="00A17B27"/>
    <w:rsid w:val="00A267BD"/>
    <w:rsid w:val="00A27CCF"/>
    <w:rsid w:val="00A3099B"/>
    <w:rsid w:val="00A31420"/>
    <w:rsid w:val="00A3379A"/>
    <w:rsid w:val="00A42248"/>
    <w:rsid w:val="00A51F89"/>
    <w:rsid w:val="00A604C5"/>
    <w:rsid w:val="00A60D8A"/>
    <w:rsid w:val="00A645D3"/>
    <w:rsid w:val="00A7369C"/>
    <w:rsid w:val="00A93EB7"/>
    <w:rsid w:val="00A94257"/>
    <w:rsid w:val="00AA2449"/>
    <w:rsid w:val="00AA69DD"/>
    <w:rsid w:val="00AC3690"/>
    <w:rsid w:val="00AC4FD3"/>
    <w:rsid w:val="00AE1F49"/>
    <w:rsid w:val="00AE23C0"/>
    <w:rsid w:val="00AE3B23"/>
    <w:rsid w:val="00AE3EFA"/>
    <w:rsid w:val="00AE5BBD"/>
    <w:rsid w:val="00AE64BC"/>
    <w:rsid w:val="00AF7645"/>
    <w:rsid w:val="00B007DB"/>
    <w:rsid w:val="00B00CAF"/>
    <w:rsid w:val="00B12304"/>
    <w:rsid w:val="00B12FA8"/>
    <w:rsid w:val="00B15B4C"/>
    <w:rsid w:val="00B16D33"/>
    <w:rsid w:val="00B270CE"/>
    <w:rsid w:val="00B40191"/>
    <w:rsid w:val="00B45A57"/>
    <w:rsid w:val="00B45E8F"/>
    <w:rsid w:val="00B56C17"/>
    <w:rsid w:val="00B57CC5"/>
    <w:rsid w:val="00B604A4"/>
    <w:rsid w:val="00B7404A"/>
    <w:rsid w:val="00B75340"/>
    <w:rsid w:val="00B86900"/>
    <w:rsid w:val="00B93222"/>
    <w:rsid w:val="00B95CC0"/>
    <w:rsid w:val="00B95DFC"/>
    <w:rsid w:val="00B975E6"/>
    <w:rsid w:val="00BA3BF2"/>
    <w:rsid w:val="00BA6B35"/>
    <w:rsid w:val="00BA6D4A"/>
    <w:rsid w:val="00BB2A7D"/>
    <w:rsid w:val="00BB43CB"/>
    <w:rsid w:val="00BD276D"/>
    <w:rsid w:val="00BE1D85"/>
    <w:rsid w:val="00BE7450"/>
    <w:rsid w:val="00BF26CB"/>
    <w:rsid w:val="00BF4298"/>
    <w:rsid w:val="00C00E5E"/>
    <w:rsid w:val="00C07A5A"/>
    <w:rsid w:val="00C10E87"/>
    <w:rsid w:val="00C13AA9"/>
    <w:rsid w:val="00C178C5"/>
    <w:rsid w:val="00C310DD"/>
    <w:rsid w:val="00C3292C"/>
    <w:rsid w:val="00C355F3"/>
    <w:rsid w:val="00C403CF"/>
    <w:rsid w:val="00C403F4"/>
    <w:rsid w:val="00C42A75"/>
    <w:rsid w:val="00C4309B"/>
    <w:rsid w:val="00C534E8"/>
    <w:rsid w:val="00C6025E"/>
    <w:rsid w:val="00C709AE"/>
    <w:rsid w:val="00C71F63"/>
    <w:rsid w:val="00C771B1"/>
    <w:rsid w:val="00C810F7"/>
    <w:rsid w:val="00C91599"/>
    <w:rsid w:val="00C9454B"/>
    <w:rsid w:val="00C95964"/>
    <w:rsid w:val="00CA19F7"/>
    <w:rsid w:val="00CA7C3E"/>
    <w:rsid w:val="00CB46C0"/>
    <w:rsid w:val="00CE1EC6"/>
    <w:rsid w:val="00CF34D4"/>
    <w:rsid w:val="00CF3814"/>
    <w:rsid w:val="00CF3AC6"/>
    <w:rsid w:val="00D00ED9"/>
    <w:rsid w:val="00D064C1"/>
    <w:rsid w:val="00D065EE"/>
    <w:rsid w:val="00D07B54"/>
    <w:rsid w:val="00D256A7"/>
    <w:rsid w:val="00D33243"/>
    <w:rsid w:val="00D40115"/>
    <w:rsid w:val="00D43FE5"/>
    <w:rsid w:val="00D44CC8"/>
    <w:rsid w:val="00D52CEE"/>
    <w:rsid w:val="00D56705"/>
    <w:rsid w:val="00D6348E"/>
    <w:rsid w:val="00D63B5E"/>
    <w:rsid w:val="00D80A2E"/>
    <w:rsid w:val="00D817E1"/>
    <w:rsid w:val="00D953D6"/>
    <w:rsid w:val="00D953DF"/>
    <w:rsid w:val="00D96F0D"/>
    <w:rsid w:val="00DB18E6"/>
    <w:rsid w:val="00DB7CA7"/>
    <w:rsid w:val="00DC4EF7"/>
    <w:rsid w:val="00DD27D6"/>
    <w:rsid w:val="00DE06E8"/>
    <w:rsid w:val="00DE2CC2"/>
    <w:rsid w:val="00DE3481"/>
    <w:rsid w:val="00DE4136"/>
    <w:rsid w:val="00DE7069"/>
    <w:rsid w:val="00DF14C9"/>
    <w:rsid w:val="00DF2B94"/>
    <w:rsid w:val="00DF2BE8"/>
    <w:rsid w:val="00E03D71"/>
    <w:rsid w:val="00E10C6B"/>
    <w:rsid w:val="00E176FE"/>
    <w:rsid w:val="00E21279"/>
    <w:rsid w:val="00E22B26"/>
    <w:rsid w:val="00E2469A"/>
    <w:rsid w:val="00E30682"/>
    <w:rsid w:val="00E32695"/>
    <w:rsid w:val="00E33BAF"/>
    <w:rsid w:val="00E4138C"/>
    <w:rsid w:val="00E41EB0"/>
    <w:rsid w:val="00E47F61"/>
    <w:rsid w:val="00E52121"/>
    <w:rsid w:val="00E640BA"/>
    <w:rsid w:val="00E7102F"/>
    <w:rsid w:val="00E71650"/>
    <w:rsid w:val="00E7411D"/>
    <w:rsid w:val="00E755CB"/>
    <w:rsid w:val="00E779A3"/>
    <w:rsid w:val="00E80626"/>
    <w:rsid w:val="00E84F06"/>
    <w:rsid w:val="00E87C30"/>
    <w:rsid w:val="00E95819"/>
    <w:rsid w:val="00EA0AE5"/>
    <w:rsid w:val="00EB08CA"/>
    <w:rsid w:val="00EB2520"/>
    <w:rsid w:val="00EB7731"/>
    <w:rsid w:val="00EC3534"/>
    <w:rsid w:val="00EC6A9F"/>
    <w:rsid w:val="00ED25B5"/>
    <w:rsid w:val="00ED5912"/>
    <w:rsid w:val="00ED611D"/>
    <w:rsid w:val="00ED7447"/>
    <w:rsid w:val="00EF1824"/>
    <w:rsid w:val="00EF18F4"/>
    <w:rsid w:val="00EF2CC3"/>
    <w:rsid w:val="00EF4FC4"/>
    <w:rsid w:val="00EF5A72"/>
    <w:rsid w:val="00F001B2"/>
    <w:rsid w:val="00F01FA2"/>
    <w:rsid w:val="00F02BC2"/>
    <w:rsid w:val="00F14D7A"/>
    <w:rsid w:val="00F158F4"/>
    <w:rsid w:val="00F23927"/>
    <w:rsid w:val="00F2462D"/>
    <w:rsid w:val="00F403C4"/>
    <w:rsid w:val="00F47E45"/>
    <w:rsid w:val="00F565A8"/>
    <w:rsid w:val="00F60801"/>
    <w:rsid w:val="00F6485D"/>
    <w:rsid w:val="00F659D1"/>
    <w:rsid w:val="00F674F8"/>
    <w:rsid w:val="00F74FD3"/>
    <w:rsid w:val="00F7535B"/>
    <w:rsid w:val="00F76917"/>
    <w:rsid w:val="00F90F68"/>
    <w:rsid w:val="00F94988"/>
    <w:rsid w:val="00F94B2B"/>
    <w:rsid w:val="00FA1DA0"/>
    <w:rsid w:val="00FA5535"/>
    <w:rsid w:val="00FA7B54"/>
    <w:rsid w:val="00FB0B02"/>
    <w:rsid w:val="00FB359C"/>
    <w:rsid w:val="00FB5EC4"/>
    <w:rsid w:val="00FB61B0"/>
    <w:rsid w:val="00FB63E4"/>
    <w:rsid w:val="00FC7DB9"/>
    <w:rsid w:val="00FD15D9"/>
    <w:rsid w:val="00FE0121"/>
    <w:rsid w:val="00FF1589"/>
    <w:rsid w:val="00F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C095EC5A-07CD-4ABE-8C3A-96E19A8D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3C0"/>
    <w:pPr>
      <w:keepNext/>
      <w:outlineLvl w:val="3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3C0"/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E23C0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E23C0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03D71"/>
    <w:pPr>
      <w:ind w:left="720"/>
      <w:contextualSpacing/>
    </w:pPr>
  </w:style>
  <w:style w:type="character" w:customStyle="1" w:styleId="normaltextrun">
    <w:name w:val="normaltextrun"/>
    <w:basedOn w:val="DefaultParagraphFont"/>
    <w:rsid w:val="009058F1"/>
  </w:style>
  <w:style w:type="paragraph" w:styleId="NormalWeb">
    <w:name w:val="Normal (Web)"/>
    <w:basedOn w:val="Normal"/>
    <w:uiPriority w:val="99"/>
    <w:semiHidden/>
    <w:unhideWhenUsed/>
    <w:rsid w:val="00A07154"/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32E36"/>
  </w:style>
  <w:style w:type="character" w:customStyle="1" w:styleId="ui-provider">
    <w:name w:val="ui-provider"/>
    <w:basedOn w:val="DefaultParagraphFont"/>
    <w:rsid w:val="004C65AE"/>
  </w:style>
  <w:style w:type="paragraph" w:styleId="Subtitle">
    <w:name w:val="Subtitle"/>
    <w:basedOn w:val="Normal"/>
    <w:next w:val="Normal"/>
    <w:link w:val="SubtitleChar"/>
    <w:uiPriority w:val="11"/>
    <w:qFormat/>
    <w:rsid w:val="00DE4136"/>
    <w:pPr>
      <w:jc w:val="center"/>
    </w:pPr>
    <w:rPr>
      <w:rFonts w:ascii="Times New Roman" w:hAnsi="Times New Roman" w:cs="Times New Roman"/>
      <w:sz w:val="44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E4136"/>
    <w:rPr>
      <w:rFonts w:ascii="Times New Roman" w:hAnsi="Times New Roman" w:cs="Times New Roman"/>
      <w:sz w:val="44"/>
      <w:szCs w:val="48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24802"/>
    <w:pPr>
      <w:spacing w:after="0" w:line="240" w:lineRule="auto"/>
    </w:pPr>
    <w:rPr>
      <w:rFonts w:ascii="Times New Roman" w:eastAsia="Calibri" w:hAnsi="Times New Roman" w:cs="Times New Roman"/>
      <w:color w:val="000000" w:themeColor="text1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524802"/>
    <w:rPr>
      <w:rFonts w:ascii="Times New Roman" w:eastAsia="Calibri" w:hAnsi="Times New Roman" w:cs="Times New Roman"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A8026-25E7-4093-9EC2-3BBC2615184A}"/>
</file>

<file path=customXml/itemProps2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 and Monitoring Policy</vt:lpstr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and Monitoring Policy</dc:title>
  <dc:subject/>
  <dc:creator>Group CISO Office</dc:creator>
  <cp:keywords/>
  <dc:description/>
  <cp:lastModifiedBy>Priya Priyadarshini</cp:lastModifiedBy>
  <cp:revision>72</cp:revision>
  <dcterms:created xsi:type="dcterms:W3CDTF">2024-01-15T05:48:00Z</dcterms:created>
  <dcterms:modified xsi:type="dcterms:W3CDTF">2024-07-29T04:45:00Z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e78c0800a44adcd759ccbbae32efbb23772ce0b329629f12937eee09ae51b091</vt:lpwstr>
  </property>
  <property fmtid="{D5CDD505-2E9C-101B-9397-08002B2CF9AE}" pid="11" name="Order">
    <vt:r8>13300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