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08B26" w14:textId="77777777" w:rsidR="009B64C5" w:rsidRPr="009B64C5" w:rsidRDefault="009B64C5" w:rsidP="009B64C5">
      <w:pPr>
        <w:rPr>
          <w:b/>
          <w:bCs/>
        </w:rPr>
      </w:pPr>
      <w:r w:rsidRPr="009B64C5">
        <w:rPr>
          <w:b/>
          <w:bCs/>
        </w:rPr>
        <w:t>Recommendations</w:t>
      </w:r>
    </w:p>
    <w:p w14:paraId="11B6EE19" w14:textId="77777777" w:rsidR="009B64C5" w:rsidRPr="00F31490" w:rsidRDefault="009B64C5" w:rsidP="009B64C5">
      <w:r w:rsidRPr="00F31490">
        <w:t>When planning to redo the database with a focus on naming standards and best practices, here are additional considerations to ensure a consistent, maintainable, and scalable schema:</w:t>
      </w:r>
    </w:p>
    <w:p w14:paraId="31D8FEE3" w14:textId="77777777" w:rsidR="009B64C5" w:rsidRPr="00F31490" w:rsidRDefault="009B64C5" w:rsidP="009B64C5">
      <w:pPr>
        <w:rPr>
          <w:b/>
          <w:bCs/>
        </w:rPr>
      </w:pPr>
      <w:r w:rsidRPr="00F31490">
        <w:rPr>
          <w:b/>
          <w:bCs/>
        </w:rPr>
        <w:t>1. Establish a Clear Naming Convention Document</w:t>
      </w:r>
    </w:p>
    <w:p w14:paraId="6CB72114" w14:textId="77777777" w:rsidR="009B64C5" w:rsidRPr="00F31490" w:rsidRDefault="009B64C5" w:rsidP="009B64C5">
      <w:pPr>
        <w:numPr>
          <w:ilvl w:val="0"/>
          <w:numId w:val="1"/>
        </w:numPr>
      </w:pPr>
      <w:r w:rsidRPr="00F31490">
        <w:rPr>
          <w:b/>
          <w:bCs/>
        </w:rPr>
        <w:t>Why</w:t>
      </w:r>
      <w:r w:rsidRPr="00F31490">
        <w:t>: Documenting the chosen naming conventions ensures consistency across the team and future-proofing as new developers work on the database.</w:t>
      </w:r>
    </w:p>
    <w:p w14:paraId="487CFB92" w14:textId="77777777" w:rsidR="009B64C5" w:rsidRPr="00F31490" w:rsidRDefault="009B64C5" w:rsidP="009B64C5">
      <w:pPr>
        <w:numPr>
          <w:ilvl w:val="0"/>
          <w:numId w:val="1"/>
        </w:numPr>
      </w:pPr>
      <w:r w:rsidRPr="00F31490">
        <w:rPr>
          <w:b/>
          <w:bCs/>
        </w:rPr>
        <w:t>What to Include</w:t>
      </w:r>
      <w:r w:rsidRPr="00F31490">
        <w:t>:</w:t>
      </w:r>
    </w:p>
    <w:p w14:paraId="7DCBDAE4" w14:textId="77777777" w:rsidR="009B64C5" w:rsidRPr="00F31490" w:rsidRDefault="009B64C5" w:rsidP="009B64C5">
      <w:pPr>
        <w:numPr>
          <w:ilvl w:val="1"/>
          <w:numId w:val="1"/>
        </w:numPr>
      </w:pPr>
      <w:r w:rsidRPr="00F31490">
        <w:t>Singular vs. Plural names for tables.</w:t>
      </w:r>
    </w:p>
    <w:p w14:paraId="10994847" w14:textId="77777777" w:rsidR="009B64C5" w:rsidRPr="00F31490" w:rsidRDefault="009B64C5" w:rsidP="009B64C5">
      <w:pPr>
        <w:numPr>
          <w:ilvl w:val="1"/>
          <w:numId w:val="1"/>
        </w:numPr>
      </w:pPr>
      <w:r w:rsidRPr="00F31490">
        <w:t xml:space="preserve">Case conventions (e.g., </w:t>
      </w:r>
      <w:proofErr w:type="spellStart"/>
      <w:r w:rsidRPr="00F31490">
        <w:t>snake_case</w:t>
      </w:r>
      <w:proofErr w:type="spellEnd"/>
      <w:r w:rsidRPr="00F31490">
        <w:t xml:space="preserve"> vs. </w:t>
      </w:r>
      <w:proofErr w:type="spellStart"/>
      <w:r w:rsidRPr="00F31490">
        <w:t>PascalCase</w:t>
      </w:r>
      <w:proofErr w:type="spellEnd"/>
      <w:r w:rsidRPr="00F31490">
        <w:t>).</w:t>
      </w:r>
    </w:p>
    <w:p w14:paraId="6376918D" w14:textId="77777777" w:rsidR="009B64C5" w:rsidRPr="00F31490" w:rsidRDefault="009B64C5" w:rsidP="009B64C5">
      <w:pPr>
        <w:numPr>
          <w:ilvl w:val="1"/>
          <w:numId w:val="1"/>
        </w:numPr>
      </w:pPr>
      <w:r w:rsidRPr="00F31490">
        <w:t>Prefixes or namespaces for modules/domains.</w:t>
      </w:r>
    </w:p>
    <w:p w14:paraId="56BAAC2F" w14:textId="77777777" w:rsidR="009B64C5" w:rsidRPr="00F31490" w:rsidRDefault="009B64C5" w:rsidP="009B64C5">
      <w:pPr>
        <w:numPr>
          <w:ilvl w:val="1"/>
          <w:numId w:val="1"/>
        </w:numPr>
      </w:pPr>
      <w:r w:rsidRPr="00F31490">
        <w:t>Handling of abbreviations and acronyms.</w:t>
      </w:r>
    </w:p>
    <w:p w14:paraId="526C585F" w14:textId="77777777" w:rsidR="009B64C5" w:rsidRPr="00F31490" w:rsidRDefault="009B64C5" w:rsidP="009B64C5">
      <w:pPr>
        <w:numPr>
          <w:ilvl w:val="1"/>
          <w:numId w:val="1"/>
        </w:numPr>
      </w:pPr>
      <w:r w:rsidRPr="00F31490">
        <w:t>Consistency in naming keys, indexes, and constraints.</w:t>
      </w:r>
    </w:p>
    <w:p w14:paraId="2187116D" w14:textId="77777777" w:rsidR="009B64C5" w:rsidRPr="00F31490" w:rsidRDefault="009B64C5" w:rsidP="009B64C5">
      <w:pPr>
        <w:rPr>
          <w:b/>
          <w:bCs/>
        </w:rPr>
      </w:pPr>
      <w:r w:rsidRPr="00F31490">
        <w:rPr>
          <w:b/>
          <w:bCs/>
        </w:rPr>
        <w:t>2. Column Naming Conventions</w:t>
      </w:r>
    </w:p>
    <w:p w14:paraId="55B43F10" w14:textId="77777777" w:rsidR="009B64C5" w:rsidRPr="00F31490" w:rsidRDefault="009B64C5" w:rsidP="009B64C5">
      <w:pPr>
        <w:numPr>
          <w:ilvl w:val="0"/>
          <w:numId w:val="2"/>
        </w:numPr>
      </w:pPr>
      <w:r w:rsidRPr="00F31490">
        <w:rPr>
          <w:b/>
          <w:bCs/>
        </w:rPr>
        <w:t>Ensure Consistency</w:t>
      </w:r>
      <w:r w:rsidRPr="00F31490">
        <w:t>: Column names should be clear, concise, and consistent across tables. For example:</w:t>
      </w:r>
    </w:p>
    <w:p w14:paraId="7EE4390D" w14:textId="77777777" w:rsidR="009B64C5" w:rsidRPr="00F31490" w:rsidRDefault="009B64C5" w:rsidP="009B64C5">
      <w:pPr>
        <w:numPr>
          <w:ilvl w:val="1"/>
          <w:numId w:val="2"/>
        </w:numPr>
      </w:pPr>
      <w:r w:rsidRPr="00F31490">
        <w:t xml:space="preserve">Use id for primary keys (e.g., </w:t>
      </w:r>
      <w:proofErr w:type="spellStart"/>
      <w:r w:rsidRPr="00F31490">
        <w:t>employee_id</w:t>
      </w:r>
      <w:proofErr w:type="spellEnd"/>
      <w:r w:rsidRPr="00F31490">
        <w:t xml:space="preserve">, </w:t>
      </w:r>
      <w:proofErr w:type="spellStart"/>
      <w:r w:rsidRPr="00F31490">
        <w:t>order_id</w:t>
      </w:r>
      <w:proofErr w:type="spellEnd"/>
      <w:r w:rsidRPr="00F31490">
        <w:t>).</w:t>
      </w:r>
    </w:p>
    <w:p w14:paraId="146DABAD" w14:textId="77777777" w:rsidR="009B64C5" w:rsidRPr="00F31490" w:rsidRDefault="009B64C5" w:rsidP="009B64C5">
      <w:pPr>
        <w:numPr>
          <w:ilvl w:val="1"/>
          <w:numId w:val="2"/>
        </w:numPr>
      </w:pPr>
      <w:r w:rsidRPr="00F31490">
        <w:t xml:space="preserve">Standardize naming for foreign keys (e.g., </w:t>
      </w:r>
      <w:proofErr w:type="spellStart"/>
      <w:r w:rsidRPr="00F31490">
        <w:t>customer_id</w:t>
      </w:r>
      <w:proofErr w:type="spellEnd"/>
      <w:r w:rsidRPr="00F31490">
        <w:t xml:space="preserve"> in all tables referencing Customer).</w:t>
      </w:r>
    </w:p>
    <w:p w14:paraId="4E5FBA61" w14:textId="77777777" w:rsidR="009B64C5" w:rsidRPr="00F31490" w:rsidRDefault="009B64C5" w:rsidP="009B64C5">
      <w:pPr>
        <w:numPr>
          <w:ilvl w:val="1"/>
          <w:numId w:val="2"/>
        </w:numPr>
      </w:pPr>
      <w:r w:rsidRPr="00F31490">
        <w:t xml:space="preserve">Avoid generic names like name, status, and instead, use </w:t>
      </w:r>
      <w:proofErr w:type="spellStart"/>
      <w:r w:rsidRPr="00F31490">
        <w:t>employee_name</w:t>
      </w:r>
      <w:proofErr w:type="spellEnd"/>
      <w:r w:rsidRPr="00F31490">
        <w:t xml:space="preserve">, </w:t>
      </w:r>
      <w:proofErr w:type="spellStart"/>
      <w:r w:rsidRPr="00F31490">
        <w:t>order_status</w:t>
      </w:r>
      <w:proofErr w:type="spellEnd"/>
      <w:r w:rsidRPr="00F31490">
        <w:t xml:space="preserve"> to clarify their context.</w:t>
      </w:r>
    </w:p>
    <w:p w14:paraId="497DED5C" w14:textId="77777777" w:rsidR="009B64C5" w:rsidRPr="00F31490" w:rsidRDefault="009B64C5" w:rsidP="009B64C5">
      <w:pPr>
        <w:numPr>
          <w:ilvl w:val="0"/>
          <w:numId w:val="2"/>
        </w:numPr>
      </w:pPr>
      <w:r w:rsidRPr="00F31490">
        <w:rPr>
          <w:b/>
          <w:bCs/>
        </w:rPr>
        <w:t>Avoid Reserved Keywords</w:t>
      </w:r>
      <w:r w:rsidRPr="00F31490">
        <w:t>: Ensure that column names do not conflict with SQL reserved keywords.</w:t>
      </w:r>
    </w:p>
    <w:p w14:paraId="7F07BF41" w14:textId="77777777" w:rsidR="009B64C5" w:rsidRPr="00F31490" w:rsidRDefault="009B64C5" w:rsidP="009B64C5">
      <w:pPr>
        <w:rPr>
          <w:b/>
          <w:bCs/>
        </w:rPr>
      </w:pPr>
      <w:r w:rsidRPr="00F31490">
        <w:rPr>
          <w:b/>
          <w:bCs/>
        </w:rPr>
        <w:t>3. Avoid Ambiguity in Names</w:t>
      </w:r>
    </w:p>
    <w:p w14:paraId="674122D6" w14:textId="77777777" w:rsidR="009B64C5" w:rsidRPr="00F31490" w:rsidRDefault="009B64C5" w:rsidP="009B64C5">
      <w:pPr>
        <w:numPr>
          <w:ilvl w:val="0"/>
          <w:numId w:val="3"/>
        </w:numPr>
      </w:pPr>
      <w:r w:rsidRPr="00F31490">
        <w:rPr>
          <w:b/>
          <w:bCs/>
        </w:rPr>
        <w:t>Descriptive Names</w:t>
      </w:r>
      <w:r w:rsidRPr="00F31490">
        <w:t xml:space="preserve">: Names should describe what the table or column represents, avoiding ambiguity. For example, Transaction could be vague, so </w:t>
      </w:r>
      <w:proofErr w:type="spellStart"/>
      <w:r w:rsidRPr="00F31490">
        <w:t>BankTransaction</w:t>
      </w:r>
      <w:proofErr w:type="spellEnd"/>
      <w:r w:rsidRPr="00F31490">
        <w:t xml:space="preserve"> or </w:t>
      </w:r>
      <w:proofErr w:type="spellStart"/>
      <w:r w:rsidRPr="00F31490">
        <w:t>FinancialTransaction</w:t>
      </w:r>
      <w:proofErr w:type="spellEnd"/>
      <w:r w:rsidRPr="00F31490">
        <w:t xml:space="preserve"> might be better.</w:t>
      </w:r>
    </w:p>
    <w:p w14:paraId="48E26041" w14:textId="77777777" w:rsidR="009B64C5" w:rsidRPr="00F31490" w:rsidRDefault="009B64C5" w:rsidP="009B64C5">
      <w:pPr>
        <w:numPr>
          <w:ilvl w:val="0"/>
          <w:numId w:val="3"/>
        </w:numPr>
      </w:pPr>
      <w:r w:rsidRPr="00F31490">
        <w:rPr>
          <w:b/>
          <w:bCs/>
        </w:rPr>
        <w:t>Avoid Abbreviations</w:t>
      </w:r>
      <w:r w:rsidRPr="00F31490">
        <w:t>: Only use abbreviations that are well-known and agreed upon within the organization. Avoid obscure or overly compressed abbreviations.</w:t>
      </w:r>
    </w:p>
    <w:p w14:paraId="2F9388C3" w14:textId="77777777" w:rsidR="009B64C5" w:rsidRPr="00F31490" w:rsidRDefault="009B64C5" w:rsidP="009B64C5">
      <w:pPr>
        <w:rPr>
          <w:b/>
          <w:bCs/>
        </w:rPr>
      </w:pPr>
      <w:r w:rsidRPr="00F31490">
        <w:rPr>
          <w:b/>
          <w:bCs/>
        </w:rPr>
        <w:t>4. Prefixing and Suffixing</w:t>
      </w:r>
    </w:p>
    <w:p w14:paraId="49F270F0" w14:textId="77777777" w:rsidR="009B64C5" w:rsidRPr="00F31490" w:rsidRDefault="009B64C5" w:rsidP="009B64C5">
      <w:pPr>
        <w:numPr>
          <w:ilvl w:val="0"/>
          <w:numId w:val="4"/>
        </w:numPr>
      </w:pPr>
      <w:r w:rsidRPr="00F31490">
        <w:rPr>
          <w:b/>
          <w:bCs/>
        </w:rPr>
        <w:t>Module or Domain Prefixes</w:t>
      </w:r>
      <w:r w:rsidRPr="00F31490">
        <w:t>: Use prefixes to denote modules or domains (e.g., HR_, FIN_). This helps in identifying tables' purpose at a glance.</w:t>
      </w:r>
    </w:p>
    <w:p w14:paraId="74E387B1" w14:textId="77777777" w:rsidR="009B64C5" w:rsidRPr="00F31490" w:rsidRDefault="009B64C5" w:rsidP="009B64C5">
      <w:pPr>
        <w:numPr>
          <w:ilvl w:val="0"/>
          <w:numId w:val="4"/>
        </w:numPr>
      </w:pPr>
      <w:r w:rsidRPr="00F31490">
        <w:rPr>
          <w:b/>
          <w:bCs/>
        </w:rPr>
        <w:t>Standard Suffixes</w:t>
      </w:r>
      <w:r w:rsidRPr="00F31490">
        <w:t>: Use suffixes like _id, _code, _status for columns with a specific function (e.g., identifiers, status fields).</w:t>
      </w:r>
    </w:p>
    <w:p w14:paraId="57D98FB4" w14:textId="77777777" w:rsidR="009B64C5" w:rsidRPr="00F31490" w:rsidRDefault="009B64C5" w:rsidP="009B64C5">
      <w:pPr>
        <w:rPr>
          <w:b/>
          <w:bCs/>
        </w:rPr>
      </w:pPr>
      <w:r w:rsidRPr="00F31490">
        <w:rPr>
          <w:b/>
          <w:bCs/>
        </w:rPr>
        <w:t>5. Naming Conventions for Keys and Indexes</w:t>
      </w:r>
    </w:p>
    <w:p w14:paraId="506AD6B7" w14:textId="77777777" w:rsidR="009B64C5" w:rsidRPr="00F31490" w:rsidRDefault="009B64C5" w:rsidP="009B64C5">
      <w:pPr>
        <w:numPr>
          <w:ilvl w:val="0"/>
          <w:numId w:val="5"/>
        </w:numPr>
      </w:pPr>
      <w:r w:rsidRPr="00F31490">
        <w:rPr>
          <w:b/>
          <w:bCs/>
        </w:rPr>
        <w:t>Primary Keys</w:t>
      </w:r>
      <w:r w:rsidRPr="00F31490">
        <w:t xml:space="preserve">: Use the table name followed by _pk (e.g., </w:t>
      </w:r>
      <w:proofErr w:type="spellStart"/>
      <w:r w:rsidRPr="00F31490">
        <w:t>employee_pk</w:t>
      </w:r>
      <w:proofErr w:type="spellEnd"/>
      <w:r w:rsidRPr="00F31490">
        <w:t>).</w:t>
      </w:r>
    </w:p>
    <w:p w14:paraId="2DBBFAA8" w14:textId="77777777" w:rsidR="009B64C5" w:rsidRPr="00F31490" w:rsidRDefault="009B64C5" w:rsidP="009B64C5">
      <w:pPr>
        <w:numPr>
          <w:ilvl w:val="0"/>
          <w:numId w:val="5"/>
        </w:numPr>
      </w:pPr>
      <w:r w:rsidRPr="00F31490">
        <w:rPr>
          <w:b/>
          <w:bCs/>
        </w:rPr>
        <w:lastRenderedPageBreak/>
        <w:t>Foreign Keys</w:t>
      </w:r>
      <w:r w:rsidRPr="00F31490">
        <w:t xml:space="preserve">: Include both table names (e.g., </w:t>
      </w:r>
      <w:proofErr w:type="spellStart"/>
      <w:r w:rsidRPr="00F31490">
        <w:t>order_customer_fk</w:t>
      </w:r>
      <w:proofErr w:type="spellEnd"/>
      <w:r w:rsidRPr="00F31490">
        <w:t>).</w:t>
      </w:r>
    </w:p>
    <w:p w14:paraId="1F8BC025" w14:textId="77777777" w:rsidR="009B64C5" w:rsidRPr="00F31490" w:rsidRDefault="009B64C5" w:rsidP="009B64C5">
      <w:pPr>
        <w:numPr>
          <w:ilvl w:val="0"/>
          <w:numId w:val="5"/>
        </w:numPr>
      </w:pPr>
      <w:r w:rsidRPr="00F31490">
        <w:rPr>
          <w:b/>
          <w:bCs/>
        </w:rPr>
        <w:t>Indexes</w:t>
      </w:r>
      <w:r w:rsidRPr="00F31490">
        <w:t xml:space="preserve">: Name indexes by their columns and function (e.g., </w:t>
      </w:r>
      <w:proofErr w:type="spellStart"/>
      <w:r w:rsidRPr="00F31490">
        <w:t>idx_employee_name</w:t>
      </w:r>
      <w:proofErr w:type="spellEnd"/>
      <w:r w:rsidRPr="00F31490">
        <w:t xml:space="preserve">, </w:t>
      </w:r>
      <w:proofErr w:type="spellStart"/>
      <w:r w:rsidRPr="00F31490">
        <w:t>idx_order_date</w:t>
      </w:r>
      <w:proofErr w:type="spellEnd"/>
      <w:r w:rsidRPr="00F31490">
        <w:t>).</w:t>
      </w:r>
    </w:p>
    <w:p w14:paraId="4F571F5C" w14:textId="77777777" w:rsidR="009B64C5" w:rsidRPr="00F31490" w:rsidRDefault="009B64C5" w:rsidP="009B64C5">
      <w:pPr>
        <w:rPr>
          <w:b/>
          <w:bCs/>
        </w:rPr>
      </w:pPr>
      <w:r w:rsidRPr="00F31490">
        <w:rPr>
          <w:b/>
          <w:bCs/>
        </w:rPr>
        <w:t>6. Naming Conventions for Constraints</w:t>
      </w:r>
    </w:p>
    <w:p w14:paraId="5C5AF70B" w14:textId="77777777" w:rsidR="009B64C5" w:rsidRPr="00F31490" w:rsidRDefault="009B64C5" w:rsidP="009B64C5">
      <w:pPr>
        <w:numPr>
          <w:ilvl w:val="0"/>
          <w:numId w:val="6"/>
        </w:numPr>
      </w:pPr>
      <w:r w:rsidRPr="00F31490">
        <w:rPr>
          <w:b/>
          <w:bCs/>
        </w:rPr>
        <w:t>Constraints</w:t>
      </w:r>
      <w:r w:rsidRPr="00F31490">
        <w:t>: Use clear and descriptive names for constraints:</w:t>
      </w:r>
    </w:p>
    <w:p w14:paraId="28C44D0B" w14:textId="77777777" w:rsidR="009B64C5" w:rsidRPr="00F31490" w:rsidRDefault="009B64C5" w:rsidP="009B64C5">
      <w:pPr>
        <w:numPr>
          <w:ilvl w:val="1"/>
          <w:numId w:val="6"/>
        </w:numPr>
      </w:pPr>
      <w:r w:rsidRPr="00F31490">
        <w:rPr>
          <w:b/>
          <w:bCs/>
        </w:rPr>
        <w:t>Primary Key Constraint</w:t>
      </w:r>
      <w:r w:rsidRPr="00F31490">
        <w:t>: pk_&lt;</w:t>
      </w:r>
      <w:proofErr w:type="spellStart"/>
      <w:r w:rsidRPr="00F31490">
        <w:t>table_name</w:t>
      </w:r>
      <w:proofErr w:type="spellEnd"/>
      <w:r w:rsidRPr="00F31490">
        <w:t>&gt;</w:t>
      </w:r>
    </w:p>
    <w:p w14:paraId="0DCC75FE" w14:textId="77777777" w:rsidR="009B64C5" w:rsidRPr="00F31490" w:rsidRDefault="009B64C5" w:rsidP="009B64C5">
      <w:pPr>
        <w:numPr>
          <w:ilvl w:val="1"/>
          <w:numId w:val="6"/>
        </w:numPr>
      </w:pPr>
      <w:r w:rsidRPr="00F31490">
        <w:rPr>
          <w:b/>
          <w:bCs/>
        </w:rPr>
        <w:t>Foreign Key Constraint</w:t>
      </w:r>
      <w:r w:rsidRPr="00F31490">
        <w:t xml:space="preserve">: </w:t>
      </w:r>
      <w:proofErr w:type="spellStart"/>
      <w:r w:rsidRPr="00F31490">
        <w:t>fk</w:t>
      </w:r>
      <w:proofErr w:type="spellEnd"/>
      <w:r w:rsidRPr="00F31490">
        <w:t>_&lt;</w:t>
      </w:r>
      <w:proofErr w:type="spellStart"/>
      <w:r w:rsidRPr="00F31490">
        <w:t>table_name</w:t>
      </w:r>
      <w:proofErr w:type="spellEnd"/>
      <w:r w:rsidRPr="00F31490">
        <w:t>&gt;_&lt;</w:t>
      </w:r>
      <w:proofErr w:type="spellStart"/>
      <w:r w:rsidRPr="00F31490">
        <w:t>referenced_table</w:t>
      </w:r>
      <w:proofErr w:type="spellEnd"/>
      <w:r w:rsidRPr="00F31490">
        <w:t>&gt;</w:t>
      </w:r>
    </w:p>
    <w:p w14:paraId="77D74053" w14:textId="77777777" w:rsidR="009B64C5" w:rsidRPr="00F31490" w:rsidRDefault="009B64C5" w:rsidP="009B64C5">
      <w:pPr>
        <w:numPr>
          <w:ilvl w:val="1"/>
          <w:numId w:val="6"/>
        </w:numPr>
      </w:pPr>
      <w:r w:rsidRPr="00F31490">
        <w:rPr>
          <w:b/>
          <w:bCs/>
        </w:rPr>
        <w:t>Unique Constraint</w:t>
      </w:r>
      <w:r w:rsidRPr="00F31490">
        <w:t xml:space="preserve">: </w:t>
      </w:r>
      <w:proofErr w:type="spellStart"/>
      <w:r w:rsidRPr="00F31490">
        <w:t>uq</w:t>
      </w:r>
      <w:proofErr w:type="spellEnd"/>
      <w:r w:rsidRPr="00F31490">
        <w:t>_&lt;</w:t>
      </w:r>
      <w:proofErr w:type="spellStart"/>
      <w:r w:rsidRPr="00F31490">
        <w:t>table_name</w:t>
      </w:r>
      <w:proofErr w:type="spellEnd"/>
      <w:r w:rsidRPr="00F31490">
        <w:t>&gt;_&lt;</w:t>
      </w:r>
      <w:proofErr w:type="spellStart"/>
      <w:r w:rsidRPr="00F31490">
        <w:t>column_name</w:t>
      </w:r>
      <w:proofErr w:type="spellEnd"/>
      <w:r w:rsidRPr="00F31490">
        <w:t>&gt;</w:t>
      </w:r>
    </w:p>
    <w:p w14:paraId="17CBB30E" w14:textId="77777777" w:rsidR="009B64C5" w:rsidRPr="00F31490" w:rsidRDefault="009B64C5" w:rsidP="009B64C5">
      <w:pPr>
        <w:numPr>
          <w:ilvl w:val="1"/>
          <w:numId w:val="6"/>
        </w:numPr>
      </w:pPr>
      <w:r w:rsidRPr="00F31490">
        <w:rPr>
          <w:b/>
          <w:bCs/>
        </w:rPr>
        <w:t>Check Constraint</w:t>
      </w:r>
      <w:r w:rsidRPr="00F31490">
        <w:t xml:space="preserve">: </w:t>
      </w:r>
      <w:proofErr w:type="spellStart"/>
      <w:r w:rsidRPr="00F31490">
        <w:t>chk</w:t>
      </w:r>
      <w:proofErr w:type="spellEnd"/>
      <w:r w:rsidRPr="00F31490">
        <w:t>_&lt;</w:t>
      </w:r>
      <w:proofErr w:type="spellStart"/>
      <w:r w:rsidRPr="00F31490">
        <w:t>table_name</w:t>
      </w:r>
      <w:proofErr w:type="spellEnd"/>
      <w:r w:rsidRPr="00F31490">
        <w:t>&gt;_&lt;</w:t>
      </w:r>
      <w:proofErr w:type="spellStart"/>
      <w:r w:rsidRPr="00F31490">
        <w:t>column_name</w:t>
      </w:r>
      <w:proofErr w:type="spellEnd"/>
      <w:r w:rsidRPr="00F31490">
        <w:t>&gt;</w:t>
      </w:r>
    </w:p>
    <w:p w14:paraId="7CA0E025" w14:textId="77777777" w:rsidR="009B64C5" w:rsidRPr="00F31490" w:rsidRDefault="009B64C5" w:rsidP="009B64C5">
      <w:pPr>
        <w:rPr>
          <w:b/>
          <w:bCs/>
        </w:rPr>
      </w:pPr>
      <w:r w:rsidRPr="00F31490">
        <w:rPr>
          <w:b/>
          <w:bCs/>
        </w:rPr>
        <w:t>7. Consistency in Entity Relationships</w:t>
      </w:r>
    </w:p>
    <w:p w14:paraId="42C3F742" w14:textId="77777777" w:rsidR="009B64C5" w:rsidRPr="00F31490" w:rsidRDefault="009B64C5" w:rsidP="009B64C5">
      <w:pPr>
        <w:numPr>
          <w:ilvl w:val="0"/>
          <w:numId w:val="7"/>
        </w:numPr>
      </w:pPr>
      <w:r w:rsidRPr="00F31490">
        <w:rPr>
          <w:b/>
          <w:bCs/>
        </w:rPr>
        <w:t>Join Tables</w:t>
      </w:r>
      <w:r w:rsidRPr="00F31490">
        <w:t xml:space="preserve">: For many-to-many relationships, use consistent naming like table1_table2 (e.g., </w:t>
      </w:r>
      <w:proofErr w:type="spellStart"/>
      <w:r w:rsidRPr="00F31490">
        <w:t>student_course</w:t>
      </w:r>
      <w:proofErr w:type="spellEnd"/>
      <w:r w:rsidRPr="00F31490">
        <w:t xml:space="preserve"> for a student-course relationship).</w:t>
      </w:r>
    </w:p>
    <w:p w14:paraId="72F176B7" w14:textId="77777777" w:rsidR="009B64C5" w:rsidRPr="00F31490" w:rsidRDefault="009B64C5" w:rsidP="009B64C5">
      <w:pPr>
        <w:numPr>
          <w:ilvl w:val="0"/>
          <w:numId w:val="7"/>
        </w:numPr>
      </w:pPr>
      <w:r w:rsidRPr="00F31490">
        <w:rPr>
          <w:b/>
          <w:bCs/>
        </w:rPr>
        <w:t>Verb-Noun Pairs</w:t>
      </w:r>
      <w:r w:rsidRPr="00F31490">
        <w:t xml:space="preserve">: For associative tables or when naming actions, use verb-noun pairs (e.g., </w:t>
      </w:r>
      <w:proofErr w:type="spellStart"/>
      <w:r w:rsidRPr="00F31490">
        <w:t>EmployeeAssignment</w:t>
      </w:r>
      <w:proofErr w:type="spellEnd"/>
      <w:r w:rsidRPr="00F31490">
        <w:t xml:space="preserve"> for a table that assigns employees to tasks).</w:t>
      </w:r>
    </w:p>
    <w:p w14:paraId="34643F38" w14:textId="77777777" w:rsidR="009B64C5" w:rsidRPr="00F31490" w:rsidRDefault="009B64C5" w:rsidP="009B64C5">
      <w:pPr>
        <w:rPr>
          <w:b/>
          <w:bCs/>
        </w:rPr>
      </w:pPr>
      <w:r w:rsidRPr="00F31490">
        <w:rPr>
          <w:b/>
          <w:bCs/>
        </w:rPr>
        <w:t>8. Consider Future Scalability</w:t>
      </w:r>
    </w:p>
    <w:p w14:paraId="04DA2130" w14:textId="77777777" w:rsidR="009B64C5" w:rsidRPr="00F31490" w:rsidRDefault="009B64C5" w:rsidP="009B64C5">
      <w:pPr>
        <w:numPr>
          <w:ilvl w:val="0"/>
          <w:numId w:val="8"/>
        </w:numPr>
      </w:pPr>
      <w:r w:rsidRPr="00F31490">
        <w:rPr>
          <w:b/>
          <w:bCs/>
        </w:rPr>
        <w:t>Modularity</w:t>
      </w:r>
      <w:r w:rsidRPr="00F31490">
        <w:t>: Keep table and column names modular and scalable, so new entities can be added without breaking conventions.</w:t>
      </w:r>
    </w:p>
    <w:p w14:paraId="3F37D9BF" w14:textId="77777777" w:rsidR="009B64C5" w:rsidRPr="00F31490" w:rsidRDefault="009B64C5" w:rsidP="009B64C5">
      <w:pPr>
        <w:numPr>
          <w:ilvl w:val="0"/>
          <w:numId w:val="8"/>
        </w:numPr>
      </w:pPr>
      <w:r w:rsidRPr="00F31490">
        <w:rPr>
          <w:b/>
          <w:bCs/>
        </w:rPr>
        <w:t>Avoid Hardcoding</w:t>
      </w:r>
      <w:r w:rsidRPr="00F31490">
        <w:t>: Don’t hardcode specific details into names that might change over time (e.g., 2024_Transactions instead of Transactions).</w:t>
      </w:r>
    </w:p>
    <w:p w14:paraId="5CA94DC6" w14:textId="77777777" w:rsidR="009B64C5" w:rsidRPr="00F31490" w:rsidRDefault="009B64C5" w:rsidP="009B64C5">
      <w:pPr>
        <w:rPr>
          <w:b/>
          <w:bCs/>
        </w:rPr>
      </w:pPr>
      <w:r w:rsidRPr="00F31490">
        <w:rPr>
          <w:b/>
          <w:bCs/>
        </w:rPr>
        <w:t>9. Use of Schema Names</w:t>
      </w:r>
    </w:p>
    <w:p w14:paraId="66199984" w14:textId="77777777" w:rsidR="009B64C5" w:rsidRPr="00F31490" w:rsidRDefault="009B64C5" w:rsidP="009B64C5">
      <w:pPr>
        <w:numPr>
          <w:ilvl w:val="0"/>
          <w:numId w:val="9"/>
        </w:numPr>
      </w:pPr>
      <w:r w:rsidRPr="00F31490">
        <w:rPr>
          <w:b/>
          <w:bCs/>
        </w:rPr>
        <w:t>Schema Separation</w:t>
      </w:r>
      <w:r w:rsidRPr="00F31490">
        <w:t>: Organize tables into schemas based on functionality or business domain (e.g., hr., finance.). This avoids naming collisions and improves clarity.</w:t>
      </w:r>
    </w:p>
    <w:p w14:paraId="7F234F11" w14:textId="77777777" w:rsidR="009B64C5" w:rsidRPr="00F31490" w:rsidRDefault="009B64C5" w:rsidP="009B64C5">
      <w:pPr>
        <w:numPr>
          <w:ilvl w:val="0"/>
          <w:numId w:val="9"/>
        </w:numPr>
      </w:pPr>
      <w:r w:rsidRPr="00F31490">
        <w:rPr>
          <w:b/>
          <w:bCs/>
        </w:rPr>
        <w:t>Naming Conventions within Schemas</w:t>
      </w:r>
      <w:r w:rsidRPr="00F31490">
        <w:t>: Ensure the naming conventions within a schema are consistent with the overall database but allow flexibility for schema-specific needs.</w:t>
      </w:r>
    </w:p>
    <w:p w14:paraId="089D3185" w14:textId="77777777" w:rsidR="009B64C5" w:rsidRPr="00F31490" w:rsidRDefault="009B64C5" w:rsidP="009B64C5">
      <w:pPr>
        <w:rPr>
          <w:b/>
          <w:bCs/>
        </w:rPr>
      </w:pPr>
      <w:r w:rsidRPr="00F31490">
        <w:rPr>
          <w:b/>
          <w:bCs/>
        </w:rPr>
        <w:t>10. Reviewing and Testing Names</w:t>
      </w:r>
    </w:p>
    <w:p w14:paraId="118175FD" w14:textId="77777777" w:rsidR="009B64C5" w:rsidRPr="00F31490" w:rsidRDefault="009B64C5" w:rsidP="009B64C5">
      <w:pPr>
        <w:numPr>
          <w:ilvl w:val="0"/>
          <w:numId w:val="10"/>
        </w:numPr>
      </w:pPr>
      <w:r w:rsidRPr="00F31490">
        <w:rPr>
          <w:b/>
          <w:bCs/>
        </w:rPr>
        <w:t>Consistency Check</w:t>
      </w:r>
      <w:r w:rsidRPr="00F31490">
        <w:t>: Regularly review table and column names during the development process to ensure they align with the established conventions.</w:t>
      </w:r>
    </w:p>
    <w:p w14:paraId="2E982701" w14:textId="77777777" w:rsidR="009B64C5" w:rsidRPr="00F31490" w:rsidRDefault="009B64C5" w:rsidP="009B64C5">
      <w:pPr>
        <w:numPr>
          <w:ilvl w:val="0"/>
          <w:numId w:val="10"/>
        </w:numPr>
      </w:pPr>
      <w:r w:rsidRPr="00F31490">
        <w:rPr>
          <w:b/>
          <w:bCs/>
        </w:rPr>
        <w:t>User Testing</w:t>
      </w:r>
      <w:r w:rsidRPr="00F31490">
        <w:t>: Ensure that the names make sense to end users, especially those who will be interacting with the database directly (e.g., through SQL queries).</w:t>
      </w:r>
    </w:p>
    <w:p w14:paraId="1E1D1EC4" w14:textId="77777777" w:rsidR="009B64C5" w:rsidRPr="00F31490" w:rsidRDefault="009B64C5" w:rsidP="009B64C5">
      <w:pPr>
        <w:rPr>
          <w:b/>
          <w:bCs/>
        </w:rPr>
      </w:pPr>
      <w:r w:rsidRPr="00F31490">
        <w:rPr>
          <w:b/>
          <w:bCs/>
        </w:rPr>
        <w:t>11. Cross-Database Consistency</w:t>
      </w:r>
    </w:p>
    <w:p w14:paraId="5E321107" w14:textId="77777777" w:rsidR="009B64C5" w:rsidRPr="00F31490" w:rsidRDefault="009B64C5" w:rsidP="009B64C5">
      <w:pPr>
        <w:numPr>
          <w:ilvl w:val="0"/>
          <w:numId w:val="11"/>
        </w:numPr>
      </w:pPr>
      <w:r w:rsidRPr="00F31490">
        <w:rPr>
          <w:b/>
          <w:bCs/>
        </w:rPr>
        <w:t>Multi-Database Environments</w:t>
      </w:r>
      <w:r w:rsidRPr="00F31490">
        <w:t>: If your system involves multiple databases, ensure naming conventions are consistent across them, particularly for shared entities or references.</w:t>
      </w:r>
    </w:p>
    <w:p w14:paraId="41C432DA" w14:textId="77777777" w:rsidR="009B64C5" w:rsidRPr="00F31490" w:rsidRDefault="009B64C5" w:rsidP="009B64C5">
      <w:pPr>
        <w:rPr>
          <w:b/>
          <w:bCs/>
        </w:rPr>
      </w:pPr>
      <w:r w:rsidRPr="00F31490">
        <w:rPr>
          <w:b/>
          <w:bCs/>
        </w:rPr>
        <w:t>12. Version Control and Naming History</w:t>
      </w:r>
    </w:p>
    <w:p w14:paraId="1EDFB1F5" w14:textId="77777777" w:rsidR="009B64C5" w:rsidRPr="00F31490" w:rsidRDefault="009B64C5" w:rsidP="009B64C5">
      <w:pPr>
        <w:numPr>
          <w:ilvl w:val="0"/>
          <w:numId w:val="12"/>
        </w:numPr>
      </w:pPr>
      <w:r w:rsidRPr="00F31490">
        <w:rPr>
          <w:b/>
          <w:bCs/>
        </w:rPr>
        <w:t>Tracking Changes</w:t>
      </w:r>
      <w:r w:rsidRPr="00F31490">
        <w:t>: Keep a version history of naming conventions and changes to the schema. This can be invaluable for debugging and understanding historical data.</w:t>
      </w:r>
    </w:p>
    <w:p w14:paraId="06BAD8E7" w14:textId="77777777" w:rsidR="009B64C5" w:rsidRPr="00F31490" w:rsidRDefault="009B64C5" w:rsidP="009B64C5">
      <w:r w:rsidRPr="00F31490">
        <w:lastRenderedPageBreak/>
        <w:t>By considering these additional best practices and aligning them with your specific needs, you can create a robust and scalable database structure that is easy to understand, maintain, and expand.</w:t>
      </w:r>
    </w:p>
    <w:p w14:paraId="491FC1AD" w14:textId="77777777" w:rsidR="001C5E3C" w:rsidRDefault="001C5E3C"/>
    <w:sectPr w:rsidR="001C5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72C6C"/>
    <w:multiLevelType w:val="multilevel"/>
    <w:tmpl w:val="AEE6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65F2"/>
    <w:multiLevelType w:val="multilevel"/>
    <w:tmpl w:val="7B54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40550"/>
    <w:multiLevelType w:val="multilevel"/>
    <w:tmpl w:val="0C4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86D99"/>
    <w:multiLevelType w:val="multilevel"/>
    <w:tmpl w:val="869E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F3DA2"/>
    <w:multiLevelType w:val="multilevel"/>
    <w:tmpl w:val="536C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B475D"/>
    <w:multiLevelType w:val="multilevel"/>
    <w:tmpl w:val="F7D4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A7693"/>
    <w:multiLevelType w:val="multilevel"/>
    <w:tmpl w:val="60A0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71DB2"/>
    <w:multiLevelType w:val="multilevel"/>
    <w:tmpl w:val="F284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21766"/>
    <w:multiLevelType w:val="multilevel"/>
    <w:tmpl w:val="C58C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73904"/>
    <w:multiLevelType w:val="multilevel"/>
    <w:tmpl w:val="087C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E6636"/>
    <w:multiLevelType w:val="multilevel"/>
    <w:tmpl w:val="C3D0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27A46"/>
    <w:multiLevelType w:val="multilevel"/>
    <w:tmpl w:val="401E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643407">
    <w:abstractNumId w:val="4"/>
  </w:num>
  <w:num w:numId="2" w16cid:durableId="723018819">
    <w:abstractNumId w:val="5"/>
  </w:num>
  <w:num w:numId="3" w16cid:durableId="1056322320">
    <w:abstractNumId w:val="7"/>
  </w:num>
  <w:num w:numId="4" w16cid:durableId="81875004">
    <w:abstractNumId w:val="6"/>
  </w:num>
  <w:num w:numId="5" w16cid:durableId="690453095">
    <w:abstractNumId w:val="9"/>
  </w:num>
  <w:num w:numId="6" w16cid:durableId="1014264512">
    <w:abstractNumId w:val="1"/>
  </w:num>
  <w:num w:numId="7" w16cid:durableId="2076514687">
    <w:abstractNumId w:val="2"/>
  </w:num>
  <w:num w:numId="8" w16cid:durableId="1856336989">
    <w:abstractNumId w:val="8"/>
  </w:num>
  <w:num w:numId="9" w16cid:durableId="961571997">
    <w:abstractNumId w:val="10"/>
  </w:num>
  <w:num w:numId="10" w16cid:durableId="913515838">
    <w:abstractNumId w:val="3"/>
  </w:num>
  <w:num w:numId="11" w16cid:durableId="2047674201">
    <w:abstractNumId w:val="11"/>
  </w:num>
  <w:num w:numId="12" w16cid:durableId="45379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C5"/>
    <w:rsid w:val="000705F6"/>
    <w:rsid w:val="001C5E3C"/>
    <w:rsid w:val="006B403D"/>
    <w:rsid w:val="009B64C5"/>
    <w:rsid w:val="00FC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3D0D2"/>
  <w15:chartTrackingRefBased/>
  <w15:docId w15:val="{BB29C429-6E36-430C-9BDF-E3C3392CD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4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Harikumar Gokulam</dc:creator>
  <cp:keywords/>
  <dc:description/>
  <cp:lastModifiedBy>Harikumar Gokulam</cp:lastModifiedBy>
  <cp:revision>2</cp:revision>
  <dcterms:created xsi:type="dcterms:W3CDTF">2024-09-24T13:02:00Z</dcterms:created>
  <dcterms:modified xsi:type="dcterms:W3CDTF">2024-09-24T13:02:00Z</dcterms:modified>
</cp:coreProperties>
</file>