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Credit Policy Manual</w:t>
      </w:r>
    </w:p>
    <w:p>
      <w:pPr>
        <w:jc w:val="center"/>
      </w:pPr>
      <w:r>
        <w:t>Retail Home Loans &amp; Loan Against Property — Version 4.2 (Illustrative Sample for RAG Testing)</w:t>
      </w:r>
    </w:p>
    <w:p>
      <w:r>
        <w:t>This manual sets out the bank's internal underwriting policy for retail home loans (HL) and loans against property (LAP). It is a sample document generated for testing the knowledge_retrieval RAG pipeline and does not represent an actual bank's policy.</w:t>
      </w:r>
    </w:p>
    <w:p>
      <w:pPr>
        <w:pStyle w:val="Heading1"/>
      </w:pPr>
      <w:r>
        <w:t>1. Loan-to-Value (LTV) Ratio Norms</w:t>
      </w:r>
    </w:p>
    <w:p>
      <w:r>
        <w:t>The maximum permissible Loan-to-Value ratio for home loans is tiered by loan amount, in line with regulatory guidance on risk-weighted exposure:</w:t>
      </w:r>
    </w:p>
    <w:tbl>
      <w:tblPr>
        <w:tblStyle w:val="LightGrid-Accent1"/>
        <w:tblW w:type="auto" w:w="0"/>
        <w:tblLook w:firstColumn="1" w:firstRow="1" w:lastColumn="0" w:lastRow="0" w:noHBand="0" w:noVBand="1" w:val="04A0"/>
      </w:tblPr>
      <w:tblGrid>
        <w:gridCol w:w="4320"/>
        <w:gridCol w:w="4320"/>
      </w:tblGrid>
      <w:tr>
        <w:tc>
          <w:tcPr>
            <w:tcW w:type="dxa" w:w="4320"/>
          </w:tcPr>
          <w:p>
            <w:r>
              <w:t>Loan Amount Slab</w:t>
            </w:r>
          </w:p>
        </w:tc>
        <w:tc>
          <w:tcPr>
            <w:tcW w:type="dxa" w:w="4320"/>
          </w:tcPr>
          <w:p>
            <w:r>
              <w:t>Maximum LTV</w:t>
            </w:r>
          </w:p>
        </w:tc>
      </w:tr>
      <w:tr>
        <w:tc>
          <w:tcPr>
            <w:tcW w:type="dxa" w:w="4320"/>
          </w:tcPr>
          <w:p>
            <w:r>
              <w:t>Up to ₹30 Lakh</w:t>
            </w:r>
          </w:p>
        </w:tc>
        <w:tc>
          <w:tcPr>
            <w:tcW w:type="dxa" w:w="4320"/>
          </w:tcPr>
          <w:p>
            <w:r>
              <w:t>90%</w:t>
            </w:r>
          </w:p>
        </w:tc>
      </w:tr>
      <w:tr>
        <w:tc>
          <w:tcPr>
            <w:tcW w:type="dxa" w:w="4320"/>
          </w:tcPr>
          <w:p>
            <w:r>
              <w:t>Above ₹30 Lakh and up to ₹75 Lakh</w:t>
            </w:r>
          </w:p>
        </w:tc>
        <w:tc>
          <w:tcPr>
            <w:tcW w:type="dxa" w:w="4320"/>
          </w:tcPr>
          <w:p>
            <w:r>
              <w:t>80%</w:t>
            </w:r>
          </w:p>
        </w:tc>
      </w:tr>
      <w:tr>
        <w:tc>
          <w:tcPr>
            <w:tcW w:type="dxa" w:w="4320"/>
          </w:tcPr>
          <w:p>
            <w:r>
              <w:t>Above ₹75 Lakh</w:t>
            </w:r>
          </w:p>
        </w:tc>
        <w:tc>
          <w:tcPr>
            <w:tcW w:type="dxa" w:w="4320"/>
          </w:tcPr>
          <w:p>
            <w:r>
              <w:t>75%</w:t>
            </w:r>
          </w:p>
        </w:tc>
      </w:tr>
    </w:tbl>
    <w:p>
      <w:r>
        <w:t>For home loans above ₹75 Lakh, the maximum LTV ratio is capped at 75% of the property's assessed market value, as determined by an empanelled valuer. Any exception to this cap requires Credit Committee approval per the escalation matrix in Section 4.</w:t>
      </w:r>
    </w:p>
    <w:p>
      <w:pPr>
        <w:pStyle w:val="Heading1"/>
      </w:pPr>
      <w:r>
        <w:t>2. Debt-to-Income (DTI) Norms</w:t>
      </w:r>
    </w:p>
    <w:p>
      <w:r>
        <w:t>The maximum permissible DTI (total monthly EMI obligations, including the proposed loan, divided by monthly net income) is 50% for salaried applicants and 45% for self-employed applicants. Applications with DTI between 45% and 50% for salaried applicants require additional income documentation (last 6 months' bank statements) and Branch Credit Manager sign-off.</w:t>
      </w:r>
    </w:p>
    <w:p>
      <w:pPr>
        <w:pStyle w:val="Heading1"/>
      </w:pPr>
      <w:r>
        <w:t>3. Prepayment and Foreclosure Charges</w:t>
      </w:r>
    </w:p>
    <w:p>
      <w:r>
        <w:t>Home Loans (floating rate of interest): No prepayment or foreclosure penalty is levied on individual borrowers, in line with regulatory guidelines on floating-rate retail loans.</w:t>
      </w:r>
    </w:p>
    <w:p>
      <w:r>
        <w:t>Loan Against Property (LAP): A prepayment penalty of 2% on the outstanding principal applies if the loan is foreclosed within 3 years of disbursement. No penalty applies to foreclosures after 3 years, or to part-prepayments up to 25% of the outstanding principal in any financial year.</w:t>
      </w:r>
    </w:p>
    <w:p>
      <w:pPr>
        <w:pStyle w:val="Heading1"/>
      </w:pPr>
      <w:r>
        <w:t>4. Escalation Matrix for Underwriting Exceptions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Exception / Exposure Value</w:t>
            </w:r>
          </w:p>
        </w:tc>
        <w:tc>
          <w:tcPr>
            <w:tcW w:type="dxa" w:w="2880"/>
          </w:tcPr>
          <w:p>
            <w:r>
              <w:t>Approving Authority</w:t>
            </w:r>
          </w:p>
        </w:tc>
        <w:tc>
          <w:tcPr>
            <w:tcW w:type="dxa" w:w="2880"/>
          </w:tcPr>
          <w:p>
            <w:r>
              <w:t>Turnaround Time</w:t>
            </w:r>
          </w:p>
        </w:tc>
      </w:tr>
      <w:tr>
        <w:tc>
          <w:tcPr>
            <w:tcW w:type="dxa" w:w="2880"/>
          </w:tcPr>
          <w:p>
            <w:r>
              <w:t>Up to ₹50 Lakh</w:t>
            </w:r>
          </w:p>
        </w:tc>
        <w:tc>
          <w:tcPr>
            <w:tcW w:type="dxa" w:w="2880"/>
          </w:tcPr>
          <w:p>
            <w:r>
              <w:t>Branch Credit Manager</w:t>
            </w:r>
          </w:p>
        </w:tc>
        <w:tc>
          <w:tcPr>
            <w:tcW w:type="dxa" w:w="2880"/>
          </w:tcPr>
          <w:p>
            <w:r>
              <w:t>1 working day</w:t>
            </w:r>
          </w:p>
        </w:tc>
      </w:tr>
      <w:tr>
        <w:tc>
          <w:tcPr>
            <w:tcW w:type="dxa" w:w="2880"/>
          </w:tcPr>
          <w:p>
            <w:r>
              <w:t>Above ₹50 Lakh and up to ₹2 Crore</w:t>
            </w:r>
          </w:p>
        </w:tc>
        <w:tc>
          <w:tcPr>
            <w:tcW w:type="dxa" w:w="2880"/>
          </w:tcPr>
          <w:p>
            <w:r>
              <w:t>Regional Credit Head</w:t>
            </w:r>
          </w:p>
        </w:tc>
        <w:tc>
          <w:tcPr>
            <w:tcW w:type="dxa" w:w="2880"/>
          </w:tcPr>
          <w:p>
            <w:r>
              <w:t>3 working days</w:t>
            </w:r>
          </w:p>
        </w:tc>
      </w:tr>
      <w:tr>
        <w:tc>
          <w:tcPr>
            <w:tcW w:type="dxa" w:w="2880"/>
          </w:tcPr>
          <w:p>
            <w:r>
              <w:t>Above ₹2 Crore</w:t>
            </w:r>
          </w:p>
        </w:tc>
        <w:tc>
          <w:tcPr>
            <w:tcW w:type="dxa" w:w="2880"/>
          </w:tcPr>
          <w:p>
            <w:r>
              <w:t>Credit Committee (Zonal + Central approval)</w:t>
            </w:r>
          </w:p>
        </w:tc>
        <w:tc>
          <w:tcPr>
            <w:tcW w:type="dxa" w:w="2880"/>
          </w:tcPr>
          <w:p>
            <w:r>
              <w:t>5 working days</w:t>
            </w:r>
          </w:p>
        </w:tc>
      </w:tr>
    </w:tbl>
    <w:p>
      <w:r>
        <w:t>For any underwriting exception above ₹2 Crore, the file must be escalated to the Credit Committee, requiring both Zonal and Central Office approval before disbursement. Branch or Regional authorities do not have discretion to approve exceptions at this exposure level.</w:t>
      </w:r>
    </w:p>
    <w:p>
      <w:pPr>
        <w:pStyle w:val="Heading1"/>
      </w:pPr>
      <w:r>
        <w:t>5. Minimum Income Eligibility</w:t>
      </w:r>
    </w:p>
    <w:p>
      <w:r>
        <w:t>The minimum monthly net salary for a home loan applicant in metro locations (Mumbai, Delhi NCR, Bengaluru, Chennai, Kolkata, Hyderabad, Pune) is ₹40,000. For non-metro locations, the minimum monthly net salary requirement is ₹25,000. Co-applicant income may be combined to meet this threshold, subject to the co-applicant being an immediate family member (spouse, parent, or sibling co-owning the property).</w:t>
      </w:r>
    </w:p>
    <w:p>
      <w:pPr>
        <w:pStyle w:val="Heading1"/>
      </w:pPr>
      <w:r>
        <w:t>6. Loan Modification for Income Shock / Financial Hardship</w:t>
      </w:r>
    </w:p>
    <w:p>
      <w:r>
        <w:t>Applicants experiencing a documented, temporary income shock (job loss, involuntary pay cut, medical emergency) may apply for one of the following modifications, subject to Credit Committee approval:</w:t>
      </w:r>
    </w:p>
    <w:p>
      <w:pPr>
        <w:pStyle w:val="ListBullet"/>
      </w:pPr>
      <w:r>
        <w:t>• EMI moratorium of up to 3 months.</w:t>
      </w:r>
    </w:p>
    <w:p>
      <w:pPr>
        <w:pStyle w:val="ListBullet"/>
      </w:pPr>
      <w:r>
        <w:t>• Tenure extension of up to 24 months to reduce EMI burden.</w:t>
      </w:r>
    </w:p>
    <w:p>
      <w:pPr>
        <w:pStyle w:val="ListBullet"/>
      </w:pPr>
      <w:r>
        <w:t>• A combination of a shorter moratorium and partial tenure extension, as recommended by the branch credit manager.</w:t>
      </w:r>
    </w:p>
    <w:p>
      <w:r>
        <w:t>All such modifications must be processed in accordance with the asset classification and restructuring treatment prescribed under the RBI Master Circular on Loans and Advances — internal approval under this policy does not by itself determine the regulatory asset classification outcome, which is governed separately by the RBI circular.</w:t>
      </w:r>
    </w:p>
    <w:p>
      <w:pPr>
        <w:pStyle w:val="Heading1"/>
      </w:pPr>
      <w:r>
        <w:t>7. Acceptable Collateral Types</w:t>
      </w:r>
    </w:p>
    <w:p>
      <w:r>
        <w:t>The following collateral types are acceptable for secured lending under this policy:</w:t>
      </w:r>
    </w:p>
    <w:p>
      <w:pPr>
        <w:pStyle w:val="ListBullet"/>
      </w:pPr>
      <w:r>
        <w:t>• Residential and commercial immovable property.</w:t>
      </w:r>
    </w:p>
    <w:p>
      <w:pPr>
        <w:pStyle w:val="ListBullet"/>
      </w:pPr>
      <w:r>
        <w:t>• Fixed deposits held with the bank.</w:t>
      </w:r>
    </w:p>
    <w:p>
      <w:pPr>
        <w:pStyle w:val="ListBullet"/>
      </w:pPr>
      <w:r>
        <w:t>• Listed equity securities, accepted at up to 50% of market value.</w:t>
      </w:r>
    </w:p>
    <w:p>
      <w:pPr>
        <w:pStyle w:val="ListBullet"/>
      </w:pPr>
      <w:r>
        <w:t>• National Savings Certificates (NSC) and Kisan Vikas Patra (KVP).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