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F0F7" w14:textId="77777777" w:rsidR="006F77BD" w:rsidRPr="001238BC" w:rsidRDefault="00000000">
      <w:pPr>
        <w:spacing w:before="1800"/>
        <w:jc w:val="center"/>
      </w:pPr>
      <w:r w:rsidRPr="001238BC">
        <w:rPr>
          <w:rFonts w:eastAsia="Aptos"/>
          <w:b/>
          <w:color w:val="275DDB"/>
        </w:rPr>
        <w:t>KOMPATYBILNOŚĆ ELEKTROMAGNETYCZNA</w:t>
      </w:r>
    </w:p>
    <w:p w14:paraId="5CACF059" w14:textId="77777777" w:rsidR="006F77BD" w:rsidRPr="001238BC" w:rsidRDefault="00000000">
      <w:pPr>
        <w:pStyle w:val="Title"/>
        <w:jc w:val="center"/>
      </w:pPr>
      <w:r w:rsidRPr="001238BC">
        <w:t>Instrukcja użytkowania</w:t>
      </w:r>
    </w:p>
    <w:p w14:paraId="718D5E25" w14:textId="77777777" w:rsidR="006F77BD" w:rsidRPr="001238BC" w:rsidRDefault="00000000">
      <w:pPr>
        <w:pStyle w:val="Subtitle"/>
        <w:jc w:val="center"/>
      </w:pPr>
      <w:r w:rsidRPr="001238BC">
        <w:t>Obsługa programu EMC Lab Assistant krok po kroku</w:t>
      </w:r>
    </w:p>
    <w:p w14:paraId="5761AD26" w14:textId="77777777" w:rsidR="006F77BD" w:rsidRPr="001238BC" w:rsidRDefault="00000000">
      <w:pPr>
        <w:spacing w:before="200"/>
        <w:jc w:val="center"/>
      </w:pPr>
      <w:r w:rsidRPr="001238BC">
        <w:rPr>
          <w:rFonts w:eastAsia="Aptos"/>
          <w:b/>
          <w:color w:val="C2410C"/>
        </w:rPr>
        <w:t>PODRĘCZNIK UŻYTKOWNIKA</w:t>
      </w:r>
    </w:p>
    <w:p w14:paraId="593C6072" w14:textId="77777777" w:rsidR="006F77BD" w:rsidRPr="001238BC" w:rsidRDefault="006F77BD">
      <w:pPr>
        <w:spacing w:after="640"/>
      </w:pPr>
    </w:p>
    <w:p w14:paraId="7C4CE6DA" w14:textId="77777777" w:rsidR="006F77BD" w:rsidRPr="001238BC" w:rsidRDefault="00000000">
      <w:pPr>
        <w:spacing w:after="60"/>
        <w:ind w:left="1512" w:right="1080"/>
      </w:pPr>
      <w:r w:rsidRPr="001238BC">
        <w:rPr>
          <w:rFonts w:eastAsia="Aptos"/>
          <w:b/>
          <w:color w:val="172B4D"/>
          <w:sz w:val="19"/>
        </w:rPr>
        <w:t xml:space="preserve">Program: </w:t>
      </w:r>
      <w:r w:rsidRPr="001238BC">
        <w:rPr>
          <w:rFonts w:eastAsia="Aptos"/>
          <w:sz w:val="19"/>
        </w:rPr>
        <w:t>EMC Lab Assistant</w:t>
      </w:r>
    </w:p>
    <w:p w14:paraId="2D41398D" w14:textId="77777777" w:rsidR="006F77BD" w:rsidRPr="001238BC" w:rsidRDefault="00000000">
      <w:pPr>
        <w:spacing w:after="60"/>
        <w:ind w:left="1512" w:right="1080"/>
      </w:pPr>
      <w:r w:rsidRPr="001238BC">
        <w:rPr>
          <w:rFonts w:eastAsia="Aptos"/>
          <w:b/>
          <w:color w:val="172B4D"/>
          <w:sz w:val="19"/>
        </w:rPr>
        <w:t xml:space="preserve">Wersja: </w:t>
      </w:r>
      <w:r w:rsidRPr="001238BC">
        <w:rPr>
          <w:rFonts w:eastAsia="Aptos"/>
          <w:sz w:val="19"/>
        </w:rPr>
        <w:t>1.0</w:t>
      </w:r>
    </w:p>
    <w:p w14:paraId="3A498F8B" w14:textId="77777777" w:rsidR="006F77BD" w:rsidRPr="001238BC" w:rsidRDefault="00000000">
      <w:pPr>
        <w:spacing w:after="60"/>
        <w:ind w:left="1512" w:right="1080"/>
      </w:pPr>
      <w:r w:rsidRPr="001238BC">
        <w:rPr>
          <w:rFonts w:eastAsia="Aptos"/>
          <w:b/>
          <w:color w:val="172B4D"/>
          <w:sz w:val="19"/>
        </w:rPr>
        <w:t xml:space="preserve">Odbiorca: </w:t>
      </w:r>
      <w:r w:rsidRPr="001238BC">
        <w:rPr>
          <w:rFonts w:eastAsia="Aptos"/>
          <w:sz w:val="19"/>
        </w:rPr>
        <w:t>Student wykonujący ćwiczenie laboratoryjne</w:t>
      </w:r>
    </w:p>
    <w:p w14:paraId="33149F9D" w14:textId="77777777" w:rsidR="006F77BD" w:rsidRPr="001238BC" w:rsidRDefault="00000000">
      <w:pPr>
        <w:spacing w:after="60"/>
        <w:ind w:left="1512" w:right="1080"/>
      </w:pPr>
      <w:r w:rsidRPr="001238BC">
        <w:rPr>
          <w:rFonts w:eastAsia="Aptos"/>
          <w:b/>
          <w:color w:val="172B4D"/>
          <w:sz w:val="19"/>
        </w:rPr>
        <w:t xml:space="preserve">Scenariusze: </w:t>
      </w:r>
      <w:r w:rsidRPr="001238BC">
        <w:rPr>
          <w:rFonts w:eastAsia="Aptos"/>
          <w:sz w:val="19"/>
        </w:rPr>
        <w:t>Przeniki mikropaskowe; sondy pola bliskiego</w:t>
      </w:r>
    </w:p>
    <w:p w14:paraId="393C14E4" w14:textId="77777777" w:rsidR="006F77BD" w:rsidRPr="001238BC" w:rsidRDefault="00000000">
      <w:pPr>
        <w:spacing w:after="60"/>
        <w:ind w:left="1512" w:right="1080"/>
      </w:pPr>
      <w:r w:rsidRPr="001238BC">
        <w:rPr>
          <w:rFonts w:eastAsia="Aptos"/>
          <w:b/>
          <w:color w:val="172B4D"/>
          <w:sz w:val="19"/>
        </w:rPr>
        <w:t xml:space="preserve">System: </w:t>
      </w:r>
      <w:r w:rsidRPr="001238BC">
        <w:rPr>
          <w:rFonts w:eastAsia="Aptos"/>
          <w:sz w:val="19"/>
        </w:rPr>
        <w:t>Windows 10/11 lub Linux x64</w:t>
      </w:r>
    </w:p>
    <w:p w14:paraId="50FA33E9" w14:textId="77777777" w:rsidR="006F77BD" w:rsidRPr="001238BC" w:rsidRDefault="00000000">
      <w:pPr>
        <w:spacing w:after="60"/>
        <w:ind w:left="1512" w:right="1080"/>
      </w:pPr>
      <w:r w:rsidRPr="001238BC">
        <w:rPr>
          <w:rFonts w:eastAsia="Aptos"/>
          <w:b/>
          <w:color w:val="172B4D"/>
          <w:sz w:val="19"/>
        </w:rPr>
        <w:t xml:space="preserve">Autor: </w:t>
      </w:r>
      <w:r w:rsidRPr="001238BC">
        <w:rPr>
          <w:rFonts w:eastAsia="Aptos"/>
          <w:sz w:val="19"/>
        </w:rPr>
        <w:t>Adam Kubiś</w:t>
      </w:r>
    </w:p>
    <w:p w14:paraId="29A65D9E" w14:textId="468A9265" w:rsidR="006F77BD" w:rsidRPr="001238BC" w:rsidRDefault="00000000">
      <w:pPr>
        <w:spacing w:before="1200"/>
        <w:jc w:val="center"/>
      </w:pPr>
      <w:r w:rsidRPr="001238BC">
        <w:rPr>
          <w:rFonts w:eastAsia="Aptos"/>
          <w:color w:val="59677C"/>
          <w:sz w:val="19"/>
        </w:rPr>
        <w:t xml:space="preserve">Politechnika Poznańska  •  </w:t>
      </w:r>
      <w:r w:rsidR="00382739" w:rsidRPr="001238BC">
        <w:rPr>
          <w:rFonts w:eastAsia="Aptos"/>
          <w:color w:val="59677C"/>
          <w:sz w:val="19"/>
        </w:rPr>
        <w:t xml:space="preserve">21 </w:t>
      </w:r>
      <w:r w:rsidRPr="001238BC">
        <w:rPr>
          <w:rFonts w:eastAsia="Aptos"/>
          <w:color w:val="59677C"/>
          <w:sz w:val="19"/>
        </w:rPr>
        <w:t>czerwiec 2026</w:t>
      </w:r>
    </w:p>
    <w:p w14:paraId="6E62466B" w14:textId="77777777" w:rsidR="006F77BD" w:rsidRPr="001238BC" w:rsidRDefault="00000000">
      <w:r w:rsidRPr="001238BC">
        <w:br w:type="page"/>
      </w:r>
    </w:p>
    <w:p w14:paraId="4B3476C6" w14:textId="77777777" w:rsidR="006F77BD" w:rsidRPr="001238BC" w:rsidRDefault="00000000">
      <w:pPr>
        <w:pStyle w:val="Heading1"/>
      </w:pPr>
      <w:r w:rsidRPr="001238BC">
        <w:lastRenderedPageBreak/>
        <w:t>1. Szybki start</w:t>
      </w:r>
    </w:p>
    <w:p w14:paraId="36BD662B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Uruchom plik programu odpowiedni dla swojego systemu.</w:t>
      </w:r>
    </w:p>
    <w:p w14:paraId="1B054A1A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Na ekranie startowym wybierz ćwiczenie.</w:t>
      </w:r>
    </w:p>
    <w:p w14:paraId="34F8900D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Wykonuj polecenia widoczne w kolejnych krokach.</w:t>
      </w:r>
    </w:p>
    <w:p w14:paraId="3EBB1CF0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Po uzupełnieniu tabeli wybierz Dalej.</w:t>
      </w:r>
    </w:p>
    <w:p w14:paraId="2B51F157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Na ostatnim ekranie sprawdź wykres i użyj Eksportuj CSV.</w:t>
      </w:r>
    </w:p>
    <w:p w14:paraId="01A45B65" w14:textId="77777777" w:rsidR="006F77BD" w:rsidRPr="001238BC" w:rsidRDefault="00000000">
      <w:pPr>
        <w:pBdr>
          <w:top w:val="single" w:sz="6" w:space="4" w:color="275DDB"/>
          <w:left w:val="single" w:sz="6" w:space="4" w:color="275DDB"/>
          <w:bottom w:val="single" w:sz="6" w:space="4" w:color="275DDB"/>
          <w:right w:val="single" w:sz="6" w:space="4" w:color="275DDB"/>
        </w:pBdr>
        <w:shd w:val="clear" w:color="auto" w:fill="EAF1FF"/>
        <w:spacing w:before="80" w:after="160"/>
        <w:ind w:left="115" w:right="115"/>
      </w:pPr>
      <w:r w:rsidRPr="001238BC">
        <w:rPr>
          <w:rFonts w:eastAsia="Aptos"/>
          <w:b/>
          <w:color w:val="275DDB"/>
          <w:sz w:val="21"/>
        </w:rPr>
        <w:t xml:space="preserve">Ważne: </w:t>
      </w:r>
      <w:r w:rsidRPr="001238BC">
        <w:rPr>
          <w:rFonts w:eastAsia="Aptos"/>
          <w:sz w:val="21"/>
        </w:rPr>
        <w:t>Przycisk Dalej jest nieaktywny, dopóki wszystkie wymagane pola nie są poprawnie uzupełnione.</w:t>
      </w:r>
    </w:p>
    <w:p w14:paraId="72045DAB" w14:textId="77777777" w:rsidR="001238BC" w:rsidRPr="001238BC" w:rsidRDefault="001238BC">
      <w:pPr>
        <w:pStyle w:val="Heading1"/>
        <w:rPr>
          <w:sz w:val="2"/>
          <w:szCs w:val="2"/>
        </w:rPr>
      </w:pPr>
    </w:p>
    <w:p w14:paraId="1952DB6E" w14:textId="67563A38" w:rsidR="006F77BD" w:rsidRPr="001238BC" w:rsidRDefault="00000000">
      <w:pPr>
        <w:pStyle w:val="Heading1"/>
      </w:pPr>
      <w:r w:rsidRPr="001238BC">
        <w:t>2. Wymagania i uruchomienie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F77BD" w:rsidRPr="001238BC" w14:paraId="533ECF3A" w14:textId="77777777">
        <w:trPr>
          <w:tblHeader/>
        </w:trPr>
        <w:tc>
          <w:tcPr>
            <w:tcW w:w="270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C51C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Wariant</w:t>
            </w:r>
          </w:p>
        </w:tc>
        <w:tc>
          <w:tcPr>
            <w:tcW w:w="666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805A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Sposób uruchomienia</w:t>
            </w:r>
          </w:p>
        </w:tc>
      </w:tr>
      <w:tr w:rsidR="006F77BD" w:rsidRPr="001238BC" w14:paraId="1439B39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D404" w14:textId="77777777" w:rsidR="006F77BD" w:rsidRPr="001238BC" w:rsidRDefault="00000000">
            <w:r w:rsidRPr="001238BC">
              <w:rPr>
                <w:rFonts w:eastAsia="Aptos"/>
                <w:sz w:val="17"/>
              </w:rPr>
              <w:t>Paczka samowystarczalna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5F2A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Uruchom CrosstalkAnalyzer.exe w Windows albo plik CrosstalkAnalyzer w Linux.</w:t>
            </w:r>
          </w:p>
        </w:tc>
      </w:tr>
      <w:tr w:rsidR="006F77BD" w:rsidRPr="001238BC" w14:paraId="77D7FB1C" w14:textId="77777777">
        <w:tc>
          <w:tcPr>
            <w:tcW w:w="2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64F9" w14:textId="77777777" w:rsidR="006F77BD" w:rsidRPr="001238BC" w:rsidRDefault="00000000">
            <w:r w:rsidRPr="001238BC">
              <w:rPr>
                <w:rFonts w:eastAsia="Aptos"/>
                <w:sz w:val="17"/>
              </w:rPr>
              <w:t>Kod źródłowy</w:t>
            </w:r>
          </w:p>
        </w:tc>
        <w:tc>
          <w:tcPr>
            <w:tcW w:w="66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46C7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W katalogu projektu wykonaj polecenie: dotnet run.</w:t>
            </w:r>
          </w:p>
        </w:tc>
      </w:tr>
    </w:tbl>
    <w:p w14:paraId="33C95191" w14:textId="77777777" w:rsidR="006F77BD" w:rsidRPr="001238BC" w:rsidRDefault="006F77BD">
      <w:pPr>
        <w:spacing w:after="20"/>
      </w:pPr>
    </w:p>
    <w:p w14:paraId="4D4AECD6" w14:textId="77777777" w:rsidR="006F77BD" w:rsidRDefault="00000000" w:rsidP="001238BC">
      <w:pPr>
        <w:jc w:val="both"/>
        <w:rPr>
          <w:rFonts w:eastAsia="Aptos"/>
          <w:sz w:val="21"/>
        </w:rPr>
      </w:pPr>
      <w:r w:rsidRPr="001238BC">
        <w:rPr>
          <w:rFonts w:eastAsia="Aptos"/>
          <w:sz w:val="21"/>
        </w:rPr>
        <w:t>Program zapisuje wyłącznie pliki wybrane przez użytkownika. Nie wymaga połączenia z Internetem i nie wysyła danych pomiarowych.</w:t>
      </w:r>
    </w:p>
    <w:p w14:paraId="51FDA93F" w14:textId="77777777" w:rsidR="001238BC" w:rsidRPr="001238BC" w:rsidRDefault="001238BC">
      <w:pPr>
        <w:rPr>
          <w:rFonts w:eastAsia="Aptos"/>
          <w:sz w:val="2"/>
          <w:szCs w:val="2"/>
        </w:rPr>
      </w:pPr>
    </w:p>
    <w:p w14:paraId="4E6C9A51" w14:textId="77777777" w:rsidR="006F77BD" w:rsidRPr="001238BC" w:rsidRDefault="00000000">
      <w:pPr>
        <w:pStyle w:val="Heading1"/>
      </w:pPr>
      <w:r w:rsidRPr="001238BC">
        <w:t>3. Układ okna</w:t>
      </w:r>
    </w:p>
    <w:p w14:paraId="376907B1" w14:textId="77777777" w:rsidR="006F77BD" w:rsidRPr="001238BC" w:rsidRDefault="00000000">
      <w:pPr>
        <w:keepNext/>
        <w:jc w:val="center"/>
      </w:pPr>
      <w:r w:rsidRPr="001238BC">
        <w:rPr>
          <w:noProof/>
        </w:rPr>
        <w:drawing>
          <wp:inline distT="0" distB="0" distL="0" distR="0" wp14:anchorId="1DA73455" wp14:editId="328F5076">
            <wp:extent cx="5623560" cy="3268694"/>
            <wp:effectExtent l="0" t="0" r="0" b="0"/>
            <wp:docPr id="1" name="Picture 1" descr="Rysunek 1. Rozmieszczenie najważniejszych elementów." title="mapa interfej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interfejs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EB37" w14:textId="77777777" w:rsidR="006F77BD" w:rsidRPr="001238BC" w:rsidRDefault="00000000">
      <w:pPr>
        <w:spacing w:after="160"/>
        <w:jc w:val="center"/>
      </w:pPr>
      <w:r w:rsidRPr="001238BC">
        <w:rPr>
          <w:rFonts w:eastAsia="Aptos"/>
          <w:i/>
          <w:color w:val="59677C"/>
          <w:sz w:val="17"/>
        </w:rPr>
        <w:t>Rysunek 1. Rozmieszczenie najważniejszych elementów.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6F77BD" w:rsidRPr="001238BC" w14:paraId="70964381" w14:textId="77777777">
        <w:trPr>
          <w:tblHeader/>
        </w:trPr>
        <w:tc>
          <w:tcPr>
            <w:tcW w:w="230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75A0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lastRenderedPageBreak/>
              <w:t>Element</w:t>
            </w:r>
          </w:p>
        </w:tc>
        <w:tc>
          <w:tcPr>
            <w:tcW w:w="706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2A07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Znaczenie</w:t>
            </w:r>
          </w:p>
        </w:tc>
      </w:tr>
      <w:tr w:rsidR="006F77BD" w:rsidRPr="001238BC" w14:paraId="51A148A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9A88" w14:textId="77777777" w:rsidR="006F77BD" w:rsidRPr="001238BC" w:rsidRDefault="00000000">
            <w:r w:rsidRPr="001238BC">
              <w:rPr>
                <w:rFonts w:eastAsia="Aptos"/>
                <w:sz w:val="17"/>
              </w:rPr>
              <w:t>Nagłówek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3830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Nazwa kroku, scenariusza oraz krótka instrukcja.</w:t>
            </w:r>
          </w:p>
        </w:tc>
      </w:tr>
      <w:tr w:rsidR="006F77BD" w:rsidRPr="001238BC" w14:paraId="18956C02" w14:textId="77777777">
        <w:tc>
          <w:tcPr>
            <w:tcW w:w="2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FA60" w14:textId="77777777" w:rsidR="006F77BD" w:rsidRPr="001238BC" w:rsidRDefault="00000000">
            <w:r w:rsidRPr="001238BC">
              <w:rPr>
                <w:rFonts w:eastAsia="Aptos"/>
                <w:sz w:val="17"/>
              </w:rPr>
              <w:t>Pasek postępu</w:t>
            </w:r>
          </w:p>
        </w:tc>
        <w:tc>
          <w:tcPr>
            <w:tcW w:w="70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1370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Pozycja od 1 do 4 w bieżącym scenariuszu.</w:t>
            </w:r>
          </w:p>
        </w:tc>
      </w:tr>
      <w:tr w:rsidR="006F77BD" w:rsidRPr="001238BC" w14:paraId="3F5BF35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44AC" w14:textId="77777777" w:rsidR="006F77BD" w:rsidRPr="001238BC" w:rsidRDefault="00000000">
            <w:r w:rsidRPr="001238BC">
              <w:rPr>
                <w:rFonts w:eastAsia="Aptos"/>
                <w:sz w:val="17"/>
              </w:rPr>
              <w:t>Obszar roboczy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39F4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Lista kontrolna, tabela danych, wzór, wyniki lub wykres.</w:t>
            </w:r>
          </w:p>
        </w:tc>
      </w:tr>
      <w:tr w:rsidR="006F77BD" w:rsidRPr="001238BC" w14:paraId="2B5E6993" w14:textId="77777777">
        <w:tc>
          <w:tcPr>
            <w:tcW w:w="2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6F87" w14:textId="77777777" w:rsidR="006F77BD" w:rsidRPr="001238BC" w:rsidRDefault="00000000">
            <w:r w:rsidRPr="001238BC">
              <w:rPr>
                <w:rFonts w:eastAsia="Aptos"/>
                <w:sz w:val="17"/>
              </w:rPr>
              <w:t>Wstecz</w:t>
            </w:r>
          </w:p>
        </w:tc>
        <w:tc>
          <w:tcPr>
            <w:tcW w:w="70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71D9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Powrót do poprzedniego kroku bez usuwania danych.</w:t>
            </w:r>
          </w:p>
        </w:tc>
      </w:tr>
      <w:tr w:rsidR="006F77BD" w:rsidRPr="001238BC" w14:paraId="658EF04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FAC7" w14:textId="77777777" w:rsidR="006F77BD" w:rsidRPr="001238BC" w:rsidRDefault="00000000">
            <w:r w:rsidRPr="001238BC">
              <w:rPr>
                <w:rFonts w:eastAsia="Aptos"/>
                <w:sz w:val="17"/>
              </w:rPr>
              <w:t>Zmień scenariusz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7DFC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Powrót do listy ćwiczeń.</w:t>
            </w:r>
          </w:p>
        </w:tc>
      </w:tr>
      <w:tr w:rsidR="006F77BD" w:rsidRPr="001238BC" w14:paraId="299E47B8" w14:textId="77777777">
        <w:tc>
          <w:tcPr>
            <w:tcW w:w="2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DBCA" w14:textId="77777777" w:rsidR="006F77BD" w:rsidRPr="001238BC" w:rsidRDefault="00000000">
            <w:r w:rsidRPr="001238BC">
              <w:rPr>
                <w:rFonts w:eastAsia="Aptos"/>
                <w:sz w:val="17"/>
              </w:rPr>
              <w:t>Dalej</w:t>
            </w:r>
          </w:p>
        </w:tc>
        <w:tc>
          <w:tcPr>
            <w:tcW w:w="70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A1DC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Przeliczenie danych i przejście do kolejnego kroku.</w:t>
            </w:r>
          </w:p>
        </w:tc>
      </w:tr>
      <w:tr w:rsidR="006F77BD" w:rsidRPr="001238BC" w14:paraId="2C80AA5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2CAB" w14:textId="77777777" w:rsidR="006F77BD" w:rsidRPr="001238BC" w:rsidRDefault="00000000">
            <w:r w:rsidRPr="001238BC">
              <w:rPr>
                <w:rFonts w:eastAsia="Aptos"/>
                <w:sz w:val="17"/>
              </w:rPr>
              <w:t>Eksportuj CSV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7941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Zapis kompletnego podsumowania na ostatnim ekranie.</w:t>
            </w:r>
          </w:p>
        </w:tc>
      </w:tr>
    </w:tbl>
    <w:p w14:paraId="5F13FC5C" w14:textId="77777777" w:rsidR="006F77BD" w:rsidRPr="001238BC" w:rsidRDefault="006F77BD">
      <w:pPr>
        <w:spacing w:after="20"/>
      </w:pPr>
    </w:p>
    <w:p w14:paraId="31933BD6" w14:textId="77777777" w:rsidR="001238BC" w:rsidRDefault="001238BC">
      <w:pPr>
        <w:pStyle w:val="Heading1"/>
      </w:pPr>
    </w:p>
    <w:p w14:paraId="1CC54212" w14:textId="310BED16" w:rsidR="006F77BD" w:rsidRDefault="00000000">
      <w:pPr>
        <w:pStyle w:val="Heading1"/>
      </w:pPr>
      <w:r w:rsidRPr="001238BC">
        <w:t>4. Wybór scenariusza</w:t>
      </w:r>
    </w:p>
    <w:p w14:paraId="03A8D761" w14:textId="77777777" w:rsidR="001238BC" w:rsidRPr="001238BC" w:rsidRDefault="001238BC" w:rsidP="001238BC"/>
    <w:p w14:paraId="56846E8D" w14:textId="77777777" w:rsidR="006F77BD" w:rsidRDefault="00000000" w:rsidP="001238BC">
      <w:pPr>
        <w:jc w:val="both"/>
        <w:rPr>
          <w:rFonts w:eastAsia="Aptos"/>
          <w:sz w:val="21"/>
        </w:rPr>
      </w:pPr>
      <w:r w:rsidRPr="001238BC">
        <w:rPr>
          <w:rFonts w:eastAsia="Aptos"/>
          <w:sz w:val="21"/>
        </w:rPr>
        <w:t>Ekran startowy zawiera dwie karty. Wybierz scenariusz odpowiadający wykonywanemu ćwiczeniu. Zmiana scenariusza jest możliwa w każdej chwili przyciskiem Zmień scenariusz.</w:t>
      </w:r>
    </w:p>
    <w:p w14:paraId="6F3DCDC5" w14:textId="77777777" w:rsidR="001238BC" w:rsidRPr="001238BC" w:rsidRDefault="001238BC" w:rsidP="001238BC">
      <w:pPr>
        <w:jc w:val="both"/>
      </w:pPr>
    </w:p>
    <w:p w14:paraId="3191F209" w14:textId="77777777" w:rsidR="006F77BD" w:rsidRPr="001238BC" w:rsidRDefault="00000000">
      <w:pPr>
        <w:keepNext/>
        <w:jc w:val="center"/>
      </w:pPr>
      <w:r w:rsidRPr="001238BC">
        <w:rPr>
          <w:noProof/>
        </w:rPr>
        <w:drawing>
          <wp:inline distT="0" distB="0" distL="0" distR="0" wp14:anchorId="3F0E7F75" wp14:editId="2A3C7503">
            <wp:extent cx="5623560" cy="3338989"/>
            <wp:effectExtent l="0" t="0" r="0" b="0"/>
            <wp:docPr id="2" name="Picture 2" descr="Rysunek 2. Kolejność kroków w obu scenariuszach." title="przeplyw scenarius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zeplyw_scenariusz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22CE" w14:textId="77777777" w:rsidR="006F77BD" w:rsidRPr="001238BC" w:rsidRDefault="00000000">
      <w:pPr>
        <w:spacing w:after="160"/>
        <w:jc w:val="center"/>
      </w:pPr>
      <w:r w:rsidRPr="001238BC">
        <w:rPr>
          <w:rFonts w:eastAsia="Aptos"/>
          <w:i/>
          <w:color w:val="59677C"/>
          <w:sz w:val="17"/>
        </w:rPr>
        <w:t>Rysunek 2. Kolejność kroków w obu scenariuszach.</w:t>
      </w:r>
    </w:p>
    <w:p w14:paraId="7D20F044" w14:textId="77777777" w:rsidR="001238BC" w:rsidRDefault="001238BC">
      <w:pPr>
        <w:pStyle w:val="Heading1"/>
      </w:pPr>
    </w:p>
    <w:p w14:paraId="44E70304" w14:textId="0B52A8C3" w:rsidR="006F77BD" w:rsidRPr="001238BC" w:rsidRDefault="00000000">
      <w:pPr>
        <w:pStyle w:val="Heading1"/>
      </w:pPr>
      <w:r w:rsidRPr="001238BC">
        <w:t>5. Scenariusz: pomiar przeników</w:t>
      </w:r>
    </w:p>
    <w:p w14:paraId="6D6B838C" w14:textId="77777777" w:rsidR="006F77BD" w:rsidRPr="001238BC" w:rsidRDefault="00000000">
      <w:pPr>
        <w:pStyle w:val="Heading2"/>
      </w:pPr>
      <w:r w:rsidRPr="001238BC">
        <w:t>Krok 1. Dane wejściowe</w:t>
      </w:r>
    </w:p>
    <w:p w14:paraId="50A27C8E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Wybierz pasmo 1–2 GHz, 2–3 GHz albo 7–8 GHz.</w:t>
      </w:r>
    </w:p>
    <w:p w14:paraId="0491469B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Program utworzy 11 punktów częstotliwości.</w:t>
      </w:r>
    </w:p>
    <w:p w14:paraId="544E54D1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Wpisz przenik bliski NEXT i przenik daleki FEXT w dB.</w:t>
      </w:r>
    </w:p>
    <w:p w14:paraId="5C18ABB8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Używaj wartości od -200 dB do 0 dB.</w:t>
      </w:r>
    </w:p>
    <w:p w14:paraId="39808ADC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Opcjonalnie wybierz Wstaw dane przykładowe, aby zaprezentować działanie programu.</w:t>
      </w:r>
    </w:p>
    <w:p w14:paraId="135BEBAC" w14:textId="77777777" w:rsidR="006F77BD" w:rsidRPr="001238BC" w:rsidRDefault="00000000">
      <w:pPr>
        <w:pBdr>
          <w:top w:val="single" w:sz="6" w:space="4" w:color="275DDB"/>
          <w:left w:val="single" w:sz="6" w:space="4" w:color="275DDB"/>
          <w:bottom w:val="single" w:sz="6" w:space="4" w:color="275DDB"/>
          <w:right w:val="single" w:sz="6" w:space="4" w:color="275DDB"/>
        </w:pBdr>
        <w:shd w:val="clear" w:color="auto" w:fill="EAF1FF"/>
        <w:spacing w:before="80" w:after="160"/>
        <w:ind w:left="115" w:right="115"/>
      </w:pPr>
      <w:r w:rsidRPr="001238BC">
        <w:rPr>
          <w:rFonts w:eastAsia="Aptos"/>
          <w:b/>
          <w:color w:val="275DDB"/>
          <w:sz w:val="21"/>
        </w:rPr>
        <w:t xml:space="preserve">Format liczb: </w:t>
      </w:r>
      <w:r w:rsidRPr="001238BC">
        <w:rPr>
          <w:rFonts w:eastAsia="Aptos"/>
          <w:sz w:val="21"/>
        </w:rPr>
        <w:t>Można wpisywać liczby dziesiętne zgodnie z ustawieniami regionalnymi systemu. Wartości przeników są zwykle ujemne.</w:t>
      </w:r>
    </w:p>
    <w:p w14:paraId="486CDF7B" w14:textId="77777777" w:rsidR="006F77BD" w:rsidRPr="001238BC" w:rsidRDefault="00000000">
      <w:pPr>
        <w:pStyle w:val="Heading2"/>
      </w:pPr>
      <w:r w:rsidRPr="001238BC">
        <w:t>Krok 2. Konwersja</w:t>
      </w:r>
    </w:p>
    <w:p w14:paraId="13C63BCA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t>Program pokazuje dane wejściowe i ich odpowiedniki w skali liniowej. Ekran jest tylko do odczytu.</w:t>
      </w:r>
    </w:p>
    <w:p w14:paraId="36F08083" w14:textId="77777777" w:rsidR="006F77BD" w:rsidRPr="001238BC" w:rsidRDefault="00000000">
      <w:pPr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  <w:shd w:val="clear" w:color="auto" w:fill="F4F6FA"/>
        <w:spacing w:before="100" w:after="100"/>
        <w:jc w:val="center"/>
      </w:pPr>
      <w:r w:rsidRPr="001238BC">
        <w:rPr>
          <w:rFonts w:ascii="Cambria Math" w:eastAsia="Cambria Math" w:hAnsi="Cambria Math"/>
          <w:b/>
          <w:color w:val="172B4D"/>
          <w:sz w:val="23"/>
        </w:rPr>
        <w:t>|Z|lin = 10^(|Z|dB/20)</w:t>
      </w:r>
    </w:p>
    <w:p w14:paraId="437EEA0C" w14:textId="77777777" w:rsidR="006F77BD" w:rsidRPr="001238BC" w:rsidRDefault="00000000">
      <w:pPr>
        <w:pStyle w:val="Heading2"/>
      </w:pPr>
      <w:r w:rsidRPr="001238BC">
        <w:t>Krok 3. Błąd analizatora</w:t>
      </w:r>
    </w:p>
    <w:p w14:paraId="76E59AA2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t>Sprawdź przyjętą wartość UD i przedziały każdego punktu. Wersja 1.0 przyjmuje 0,2 dB dla pasm do 3 GHz i 0,3 dB dla pasma 7–8 GHz.</w:t>
      </w:r>
    </w:p>
    <w:p w14:paraId="616A359B" w14:textId="77777777" w:rsidR="006F77BD" w:rsidRPr="001238BC" w:rsidRDefault="00000000">
      <w:pPr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  <w:shd w:val="clear" w:color="auto" w:fill="F4F6FA"/>
        <w:spacing w:before="100" w:after="100"/>
        <w:jc w:val="center"/>
      </w:pPr>
      <w:r w:rsidRPr="001238BC">
        <w:rPr>
          <w:rFonts w:ascii="Cambria Math" w:eastAsia="Cambria Math" w:hAnsi="Cambria Math"/>
          <w:b/>
          <w:color w:val="172B4D"/>
          <w:sz w:val="23"/>
        </w:rPr>
        <w:t>Delta Z = |Z|lin · (10^(UD/20) - 1)</w:t>
      </w:r>
    </w:p>
    <w:p w14:paraId="429765C8" w14:textId="77777777" w:rsidR="006F77BD" w:rsidRPr="001238BC" w:rsidRDefault="00000000">
      <w:pPr>
        <w:pStyle w:val="Heading2"/>
      </w:pPr>
      <w:r w:rsidRPr="001238BC">
        <w:t>Krok 4. Podsumowanie</w:t>
      </w:r>
    </w:p>
    <w:p w14:paraId="452887C4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t>Ekran zawiera statystyki NEXT/FEXT oraz wykres przebiegów. Przedział ufności dotyczy średniej z punktów w wybranym paśmie.</w:t>
      </w:r>
    </w:p>
    <w:p w14:paraId="3EED4970" w14:textId="77777777" w:rsidR="006F77BD" w:rsidRPr="001238BC" w:rsidRDefault="00000000">
      <w:pPr>
        <w:pStyle w:val="ListBullet"/>
        <w:spacing w:line="269" w:lineRule="auto"/>
        <w:ind w:left="518" w:hanging="259"/>
      </w:pPr>
      <w:r w:rsidRPr="001238BC">
        <w:rPr>
          <w:rFonts w:eastAsia="Aptos"/>
          <w:sz w:val="21"/>
        </w:rPr>
        <w:t>Nowe badanie - czyści dane i wraca do pierwszego kroku.</w:t>
      </w:r>
    </w:p>
    <w:p w14:paraId="3027225C" w14:textId="77777777" w:rsidR="006F77BD" w:rsidRPr="001238BC" w:rsidRDefault="00000000">
      <w:pPr>
        <w:pStyle w:val="ListBullet"/>
        <w:spacing w:line="269" w:lineRule="auto"/>
        <w:ind w:left="518" w:hanging="259"/>
      </w:pPr>
      <w:r w:rsidRPr="001238BC">
        <w:rPr>
          <w:rFonts w:eastAsia="Aptos"/>
          <w:sz w:val="21"/>
        </w:rPr>
        <w:t>Eksportuj CSV - zapisuje punkty, błędy, granice oraz statystyki.</w:t>
      </w:r>
    </w:p>
    <w:p w14:paraId="685DE0A3" w14:textId="77777777" w:rsidR="006F77BD" w:rsidRPr="001238BC" w:rsidRDefault="00000000">
      <w:pPr>
        <w:pStyle w:val="Heading1"/>
      </w:pPr>
      <w:r w:rsidRPr="001238BC">
        <w:t>6. Scenariusz: sondy pola bliskiego</w:t>
      </w:r>
    </w:p>
    <w:p w14:paraId="747FB669" w14:textId="77777777" w:rsidR="006F77BD" w:rsidRPr="001238BC" w:rsidRDefault="00000000">
      <w:pPr>
        <w:pStyle w:val="Heading2"/>
      </w:pPr>
      <w:r w:rsidRPr="001238BC">
        <w:t>Krok 1. Przygotowanie stanowiska</w:t>
      </w:r>
    </w:p>
    <w:p w14:paraId="6285DB3F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Połącz sondę R&amp;S H 400-1 przez wzmacniacz z miernikiem mocy.</w:t>
      </w:r>
    </w:p>
    <w:p w14:paraId="4438D887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Ustaw generator na sygnał niemodulowany i moc 10 dBm.</w:t>
      </w:r>
    </w:p>
    <w:p w14:paraId="53D7884F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Ustaw w mierniku częstotliwość zgodną z generatorem.</w:t>
      </w:r>
    </w:p>
    <w:p w14:paraId="0E9533AA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Zapisz temperaturę, wilgotność i ciśnienie.</w:t>
      </w:r>
    </w:p>
    <w:p w14:paraId="0CEBC8FE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Zaznacz wszystkie pozycje listy kontrolnej.</w:t>
      </w:r>
    </w:p>
    <w:p w14:paraId="4C8A6FA5" w14:textId="77777777" w:rsidR="006F77BD" w:rsidRPr="001238BC" w:rsidRDefault="00000000">
      <w:pPr>
        <w:pBdr>
          <w:top w:val="single" w:sz="6" w:space="4" w:color="C2410C"/>
          <w:left w:val="single" w:sz="6" w:space="4" w:color="C2410C"/>
          <w:bottom w:val="single" w:sz="6" w:space="4" w:color="C2410C"/>
          <w:right w:val="single" w:sz="6" w:space="4" w:color="C2410C"/>
        </w:pBdr>
        <w:shd w:val="clear" w:color="auto" w:fill="FFF3E8"/>
        <w:spacing w:before="80" w:after="160"/>
        <w:ind w:left="115" w:right="115"/>
      </w:pPr>
      <w:r w:rsidRPr="001238BC">
        <w:rPr>
          <w:rFonts w:eastAsia="Aptos"/>
          <w:b/>
          <w:color w:val="C2410C"/>
          <w:sz w:val="21"/>
        </w:rPr>
        <w:lastRenderedPageBreak/>
        <w:t xml:space="preserve">Technika pomiaru: </w:t>
      </w:r>
      <w:r w:rsidRPr="001238BC">
        <w:rPr>
          <w:rFonts w:eastAsia="Aptos"/>
          <w:sz w:val="21"/>
        </w:rPr>
        <w:t>Pętlę sondy przystaw ściśle do kabla. Przesuwaj ją wzdłuż całego kabla i obracaj tak, aby znaleźć maksimum globalne.</w:t>
      </w:r>
    </w:p>
    <w:p w14:paraId="75E9EFB2" w14:textId="77777777" w:rsidR="006F77BD" w:rsidRPr="001238BC" w:rsidRDefault="00000000">
      <w:pPr>
        <w:pStyle w:val="Heading2"/>
      </w:pPr>
      <w:r w:rsidRPr="001238BC">
        <w:t>Krok 2. Pomiary</w:t>
      </w:r>
    </w:p>
    <w:p w14:paraId="2A9D68F1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t>Dla częstotliwości 100–1000 MHz wpisz moc P w dBm dla linii 30 Ω, 50 Ω i 100 Ω. Kolumny K i Sp są wypełnione wartościami odczytanymi z materiałów ćwiczenia, ale pozostają edytowalne.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6F77BD" w:rsidRPr="001238BC" w14:paraId="002EB6C9" w14:textId="77777777">
        <w:trPr>
          <w:tblHeader/>
        </w:trPr>
        <w:tc>
          <w:tcPr>
            <w:tcW w:w="260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A0F7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Kolumna</w:t>
            </w:r>
          </w:p>
        </w:tc>
        <w:tc>
          <w:tcPr>
            <w:tcW w:w="676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2581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Co wpisać</w:t>
            </w:r>
          </w:p>
        </w:tc>
      </w:tr>
      <w:tr w:rsidR="006F77BD" w:rsidRPr="001238BC" w14:paraId="3B4DF0D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E64F" w14:textId="77777777" w:rsidR="006F77BD" w:rsidRPr="001238BC" w:rsidRDefault="00000000">
            <w:r w:rsidRPr="001238BC">
              <w:rPr>
                <w:rFonts w:eastAsia="Aptos"/>
                <w:sz w:val="17"/>
              </w:rPr>
              <w:t>P — 30 Ω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1B66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Maksimum wskazania dla płytki 30 Ω.</w:t>
            </w:r>
          </w:p>
        </w:tc>
      </w:tr>
      <w:tr w:rsidR="006F77BD" w:rsidRPr="001238BC" w14:paraId="51407A3C" w14:textId="77777777">
        <w:tc>
          <w:tcPr>
            <w:tcW w:w="2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71AD" w14:textId="77777777" w:rsidR="006F77BD" w:rsidRPr="001238BC" w:rsidRDefault="00000000">
            <w:r w:rsidRPr="001238BC">
              <w:rPr>
                <w:rFonts w:eastAsia="Aptos"/>
                <w:sz w:val="17"/>
              </w:rPr>
              <w:t>P — 50 Ω</w:t>
            </w:r>
          </w:p>
        </w:tc>
        <w:tc>
          <w:tcPr>
            <w:tcW w:w="67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C034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Maksimum wskazania dla płytki 50 Ω.</w:t>
            </w:r>
          </w:p>
        </w:tc>
      </w:tr>
      <w:tr w:rsidR="006F77BD" w:rsidRPr="001238BC" w14:paraId="37D0357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267D" w14:textId="77777777" w:rsidR="006F77BD" w:rsidRPr="001238BC" w:rsidRDefault="00000000">
            <w:r w:rsidRPr="001238BC">
              <w:rPr>
                <w:rFonts w:eastAsia="Aptos"/>
                <w:sz w:val="17"/>
              </w:rPr>
              <w:t>P — 100 Ω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6952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Maksimum wskazania dla płytki 100 Ω.</w:t>
            </w:r>
          </w:p>
        </w:tc>
      </w:tr>
      <w:tr w:rsidR="006F77BD" w:rsidRPr="001238BC" w14:paraId="425F3AD6" w14:textId="77777777">
        <w:tc>
          <w:tcPr>
            <w:tcW w:w="2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3B44" w14:textId="77777777" w:rsidR="006F77BD" w:rsidRPr="001238BC" w:rsidRDefault="00000000">
            <w:r w:rsidRPr="001238BC">
              <w:rPr>
                <w:rFonts w:eastAsia="Aptos"/>
                <w:sz w:val="17"/>
              </w:rPr>
              <w:t>K</w:t>
            </w:r>
          </w:p>
        </w:tc>
        <w:tc>
          <w:tcPr>
            <w:tcW w:w="67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8C45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Wzmocnienie toru pomiarowego w dB.</w:t>
            </w:r>
          </w:p>
        </w:tc>
      </w:tr>
      <w:tr w:rsidR="006F77BD" w:rsidRPr="001238BC" w14:paraId="4D11C86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02AD" w14:textId="77777777" w:rsidR="006F77BD" w:rsidRPr="001238BC" w:rsidRDefault="00000000">
            <w:r w:rsidRPr="001238BC">
              <w:rPr>
                <w:rFonts w:eastAsia="Aptos"/>
                <w:sz w:val="17"/>
              </w:rPr>
              <w:t>Sp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8601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Poprawka sondy pola bliskiego w dB.</w:t>
            </w:r>
          </w:p>
        </w:tc>
      </w:tr>
    </w:tbl>
    <w:p w14:paraId="3E42E54D" w14:textId="77777777" w:rsidR="006F77BD" w:rsidRPr="001238BC" w:rsidRDefault="006F77BD">
      <w:pPr>
        <w:spacing w:after="20"/>
      </w:pPr>
    </w:p>
    <w:p w14:paraId="27637D70" w14:textId="77777777" w:rsidR="006F77BD" w:rsidRPr="001238BC" w:rsidRDefault="00000000">
      <w:pPr>
        <w:pBdr>
          <w:top w:val="single" w:sz="6" w:space="4" w:color="C2410C"/>
          <w:left w:val="single" w:sz="6" w:space="4" w:color="C2410C"/>
          <w:bottom w:val="single" w:sz="6" w:space="4" w:color="C2410C"/>
          <w:right w:val="single" w:sz="6" w:space="4" w:color="C2410C"/>
        </w:pBdr>
        <w:shd w:val="clear" w:color="auto" w:fill="FFF3E8"/>
        <w:spacing w:before="80" w:after="160"/>
        <w:ind w:left="115" w:right="115"/>
      </w:pPr>
      <w:r w:rsidRPr="001238BC">
        <w:rPr>
          <w:rFonts w:eastAsia="Aptos"/>
          <w:b/>
          <w:color w:val="C2410C"/>
          <w:sz w:val="21"/>
        </w:rPr>
        <w:t xml:space="preserve">Dane przykładowe: </w:t>
      </w:r>
      <w:r w:rsidRPr="001238BC">
        <w:rPr>
          <w:rFonts w:eastAsia="Aptos"/>
          <w:sz w:val="21"/>
        </w:rPr>
        <w:t>Przycisk służy do demonstracji i testowania programu. Przed przygotowaniem sprawozdania zastąp te wartości własnymi pomiarami.</w:t>
      </w:r>
    </w:p>
    <w:p w14:paraId="2ECFE996" w14:textId="77777777" w:rsidR="006F77BD" w:rsidRPr="001238BC" w:rsidRDefault="00000000">
      <w:pPr>
        <w:pStyle w:val="Heading2"/>
      </w:pPr>
      <w:r w:rsidRPr="001238BC">
        <w:t>Krok 3. Pole H i niepewność</w:t>
      </w:r>
    </w:p>
    <w:p w14:paraId="7940E64C" w14:textId="77777777" w:rsidR="006F77BD" w:rsidRPr="001238BC" w:rsidRDefault="00000000">
      <w:pPr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  <w:shd w:val="clear" w:color="auto" w:fill="F4F6FA"/>
        <w:spacing w:before="100" w:after="100"/>
        <w:jc w:val="center"/>
      </w:pPr>
      <w:r w:rsidRPr="001238BC">
        <w:rPr>
          <w:rFonts w:ascii="Cambria Math" w:eastAsia="Cambria Math" w:hAnsi="Cambria Math"/>
          <w:b/>
          <w:color w:val="172B4D"/>
          <w:sz w:val="23"/>
        </w:rPr>
        <w:t>H[dBA/m] = P[dBm] - 30 + 10·log10(50) - K + Sp</w:t>
      </w:r>
    </w:p>
    <w:p w14:paraId="49CFE466" w14:textId="77777777" w:rsidR="006F77BD" w:rsidRPr="001238BC" w:rsidRDefault="00000000">
      <w:pPr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  <w:shd w:val="clear" w:color="auto" w:fill="F4F6FA"/>
        <w:spacing w:before="100" w:after="100"/>
        <w:jc w:val="center"/>
      </w:pPr>
      <w:r w:rsidRPr="001238BC">
        <w:rPr>
          <w:rFonts w:ascii="Cambria Math" w:eastAsia="Cambria Math" w:hAnsi="Cambria Math"/>
          <w:b/>
          <w:color w:val="172B4D"/>
          <w:sz w:val="23"/>
        </w:rPr>
        <w:t>H[A/m] = 10^(H[dBA/m]/20)</w:t>
      </w:r>
    </w:p>
    <w:p w14:paraId="477A0162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t>Program pokazuje wyniki dla każdej impedancji oraz 95% przedziały. Domyślna niepewność rozszerzona wynosi około 0,733 dB.</w:t>
      </w:r>
    </w:p>
    <w:p w14:paraId="2E93EEC2" w14:textId="77777777" w:rsidR="006F77BD" w:rsidRPr="001238BC" w:rsidRDefault="00000000">
      <w:pPr>
        <w:pStyle w:val="Heading2"/>
      </w:pPr>
      <w:r w:rsidRPr="001238BC">
        <w:t>Krok 4. Porównanie</w:t>
      </w:r>
    </w:p>
    <w:p w14:paraId="7C3B605D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t>Tabela podsumowuje największą wartość H, odpowiadającą częstotliwość oraz oszacowaną szybkość zmian. Wykres umożliwia porównanie linii 30 Ω, 50 Ω i 100 Ω.</w:t>
      </w:r>
    </w:p>
    <w:p w14:paraId="0CECD277" w14:textId="77777777" w:rsidR="006F77BD" w:rsidRPr="001238BC" w:rsidRDefault="00000000">
      <w:pPr>
        <w:pBdr>
          <w:top w:val="single" w:sz="6" w:space="4" w:color="275DDB"/>
          <w:left w:val="single" w:sz="6" w:space="4" w:color="275DDB"/>
          <w:bottom w:val="single" w:sz="6" w:space="4" w:color="275DDB"/>
          <w:right w:val="single" w:sz="6" w:space="4" w:color="275DDB"/>
        </w:pBdr>
        <w:shd w:val="clear" w:color="auto" w:fill="EAF1FF"/>
        <w:spacing w:before="80" w:after="160"/>
        <w:ind w:left="115" w:right="115"/>
      </w:pPr>
      <w:r w:rsidRPr="001238BC">
        <w:rPr>
          <w:rFonts w:eastAsia="Aptos"/>
          <w:b/>
          <w:color w:val="275DDB"/>
          <w:sz w:val="21"/>
        </w:rPr>
        <w:t xml:space="preserve">Interpretacja trendu: </w:t>
      </w:r>
      <w:r w:rsidRPr="001238BC">
        <w:rPr>
          <w:rFonts w:eastAsia="Aptos"/>
          <w:sz w:val="21"/>
        </w:rPr>
        <w:t>Wartość dodatnia w kolumnie dB/100 MHz oznacza, że w całym badanym zakresie poziom H ma tendencję rosnącą. Lokalne maksima i spadki nadal mogą występować.</w:t>
      </w:r>
    </w:p>
    <w:p w14:paraId="7452CA50" w14:textId="77777777" w:rsidR="006F77BD" w:rsidRPr="001238BC" w:rsidRDefault="00000000">
      <w:pPr>
        <w:pStyle w:val="Heading1"/>
      </w:pPr>
      <w:r w:rsidRPr="001238BC">
        <w:t>7. Eksport CSV</w:t>
      </w:r>
    </w:p>
    <w:p w14:paraId="272849E9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Przejdź do czwartego kroku.</w:t>
      </w:r>
    </w:p>
    <w:p w14:paraId="4FA84A62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Wybierz Eksportuj CSV.</w:t>
      </w:r>
    </w:p>
    <w:p w14:paraId="063A6A2C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Wskaż katalog i nazwę pliku.</w:t>
      </w:r>
    </w:p>
    <w:p w14:paraId="0A07C1ED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Otwórz plik w Excelu, LibreOffice Calc lub innym arkuszu.</w:t>
      </w:r>
    </w:p>
    <w:p w14:paraId="66A74D74" w14:textId="77777777" w:rsidR="006F77BD" w:rsidRPr="001238BC" w:rsidRDefault="00000000">
      <w:pPr>
        <w:pStyle w:val="ListNumber"/>
        <w:spacing w:after="100"/>
        <w:ind w:left="605" w:hanging="317"/>
      </w:pPr>
      <w:r w:rsidRPr="001238BC">
        <w:rPr>
          <w:rFonts w:eastAsia="Aptos"/>
          <w:sz w:val="21"/>
        </w:rPr>
        <w:t>W razie potrzeby wybierz separator średnik i kodowanie UTF-8.</w:t>
      </w:r>
    </w:p>
    <w:p w14:paraId="3B53495C" w14:textId="77777777" w:rsidR="006F77BD" w:rsidRPr="001238BC" w:rsidRDefault="00000000" w:rsidP="001238BC">
      <w:pPr>
        <w:jc w:val="both"/>
      </w:pPr>
      <w:r w:rsidRPr="001238BC">
        <w:rPr>
          <w:rFonts w:eastAsia="Aptos"/>
          <w:sz w:val="21"/>
        </w:rPr>
        <w:lastRenderedPageBreak/>
        <w:t>Eksport sond obejmuje również warunki środowiskowe, wartości K i Sp, pole w dwóch skalach, U95, granice przedziałów, maksima oraz trendy.</w:t>
      </w:r>
    </w:p>
    <w:p w14:paraId="05322FAF" w14:textId="77777777" w:rsidR="006F77BD" w:rsidRPr="001238BC" w:rsidRDefault="00000000">
      <w:pPr>
        <w:pStyle w:val="Heading1"/>
      </w:pPr>
      <w:r w:rsidRPr="001238BC">
        <w:t>8. Najczęstsze problemy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6F77BD" w:rsidRPr="001238BC" w14:paraId="0E8D6C02" w14:textId="77777777">
        <w:trPr>
          <w:tblHeader/>
        </w:trPr>
        <w:tc>
          <w:tcPr>
            <w:tcW w:w="210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F735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Objaw</w:t>
            </w:r>
          </w:p>
        </w:tc>
        <w:tc>
          <w:tcPr>
            <w:tcW w:w="340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93A7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Przyczyna</w:t>
            </w:r>
          </w:p>
        </w:tc>
        <w:tc>
          <w:tcPr>
            <w:tcW w:w="3860" w:type="dxa"/>
            <w:shd w:val="clear" w:color="auto" w:fill="172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60FC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b/>
                <w:color w:val="FFFFFF"/>
                <w:sz w:val="18"/>
              </w:rPr>
              <w:t>Rozwiązanie</w:t>
            </w:r>
          </w:p>
        </w:tc>
      </w:tr>
      <w:tr w:rsidR="006F77BD" w:rsidRPr="001238BC" w14:paraId="136753E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2EA3" w14:textId="77777777" w:rsidR="006F77BD" w:rsidRPr="001238BC" w:rsidRDefault="00000000">
            <w:r w:rsidRPr="001238BC">
              <w:rPr>
                <w:rFonts w:eastAsia="Aptos"/>
                <w:sz w:val="17"/>
              </w:rPr>
              <w:t>Dalej jest nieaktywne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1FF8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Brakuje danych lub pozycja listy kontrolnej nie jest zaznaczona.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577E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Sprawdź komunikat pod tabelą i wszystkie pola.</w:t>
            </w:r>
          </w:p>
        </w:tc>
      </w:tr>
      <w:tr w:rsidR="006F77BD" w:rsidRPr="001238BC" w14:paraId="770FC675" w14:textId="77777777"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1B5C" w14:textId="77777777" w:rsidR="006F77BD" w:rsidRPr="001238BC" w:rsidRDefault="00000000">
            <w:r w:rsidRPr="001238BC">
              <w:rPr>
                <w:rFonts w:eastAsia="Aptos"/>
                <w:sz w:val="17"/>
              </w:rPr>
              <w:t>Wartość nie zostaje przyjęta</w:t>
            </w:r>
          </w:p>
        </w:tc>
        <w:tc>
          <w:tcPr>
            <w:tcW w:w="34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9315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Nieprawidłowy format lub zakres liczby.</w:t>
            </w:r>
          </w:p>
        </w:tc>
        <w:tc>
          <w:tcPr>
            <w:tcW w:w="3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4D71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Usuń jednostkę z pola; wpisz wyłącznie liczbę.</w:t>
            </w:r>
          </w:p>
        </w:tc>
      </w:tr>
      <w:tr w:rsidR="006F77BD" w:rsidRPr="001238BC" w14:paraId="3C4E113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719D" w14:textId="77777777" w:rsidR="006F77BD" w:rsidRPr="001238BC" w:rsidRDefault="00000000">
            <w:r w:rsidRPr="001238BC">
              <w:rPr>
                <w:rFonts w:eastAsia="Aptos"/>
                <w:sz w:val="17"/>
              </w:rPr>
              <w:t>Wynik wygląda nietypowo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584B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Nieprawidłowy znak K/Sp albo jednostka wejścia.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214B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Sprawdź, czy P jest w dBm, a Sp może być ujemne.</w:t>
            </w:r>
          </w:p>
        </w:tc>
      </w:tr>
      <w:tr w:rsidR="006F77BD" w:rsidRPr="001238BC" w14:paraId="680796A3" w14:textId="77777777"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2695" w14:textId="77777777" w:rsidR="006F77BD" w:rsidRPr="001238BC" w:rsidRDefault="00000000">
            <w:r w:rsidRPr="001238BC">
              <w:rPr>
                <w:rFonts w:eastAsia="Aptos"/>
                <w:sz w:val="17"/>
              </w:rPr>
              <w:t>CSV jest w jednej kolumnie</w:t>
            </w:r>
          </w:p>
        </w:tc>
        <w:tc>
          <w:tcPr>
            <w:tcW w:w="34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D84D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Arkusz nie rozpoznał separatora.</w:t>
            </w:r>
          </w:p>
        </w:tc>
        <w:tc>
          <w:tcPr>
            <w:tcW w:w="3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E854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Zaimportuj plik z separatorem średnikowym.</w:t>
            </w:r>
          </w:p>
        </w:tc>
      </w:tr>
      <w:tr w:rsidR="006F77BD" w:rsidRPr="001238BC" w14:paraId="43F3D9F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C6EE" w14:textId="77777777" w:rsidR="006F77BD" w:rsidRPr="001238BC" w:rsidRDefault="00000000">
            <w:r w:rsidRPr="001238BC">
              <w:rPr>
                <w:rFonts w:eastAsia="Aptos"/>
                <w:sz w:val="17"/>
              </w:rPr>
              <w:t>Nie można zapisać pliku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5887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Brak uprawnień lub plik jest otwarty.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F222" w14:textId="77777777" w:rsidR="006F77BD" w:rsidRPr="001238BC" w:rsidRDefault="00000000">
            <w:pPr>
              <w:jc w:val="center"/>
            </w:pPr>
            <w:r w:rsidRPr="001238BC">
              <w:rPr>
                <w:rFonts w:eastAsia="Aptos"/>
                <w:sz w:val="17"/>
              </w:rPr>
              <w:t>Wybierz inny katalog/nazwę i zamknij plik w arkuszu.</w:t>
            </w:r>
          </w:p>
        </w:tc>
      </w:tr>
    </w:tbl>
    <w:p w14:paraId="7CFCD959" w14:textId="77777777" w:rsidR="006F77BD" w:rsidRPr="001238BC" w:rsidRDefault="006F77BD">
      <w:pPr>
        <w:spacing w:after="20"/>
      </w:pPr>
    </w:p>
    <w:p w14:paraId="4EF88512" w14:textId="77777777" w:rsidR="001238BC" w:rsidRDefault="001238BC">
      <w:pPr>
        <w:pStyle w:val="Heading1"/>
      </w:pPr>
    </w:p>
    <w:p w14:paraId="0B2B33A1" w14:textId="4CE381D4" w:rsidR="006F77BD" w:rsidRDefault="00000000">
      <w:pPr>
        <w:pStyle w:val="Heading1"/>
      </w:pPr>
      <w:r w:rsidRPr="001238BC">
        <w:t>9. Dobre praktyki</w:t>
      </w:r>
    </w:p>
    <w:p w14:paraId="46BE977C" w14:textId="77777777" w:rsidR="001238BC" w:rsidRPr="001238BC" w:rsidRDefault="001238BC" w:rsidP="001238BC"/>
    <w:p w14:paraId="13686A8D" w14:textId="2F15E253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Zapisuj CSV natychmiast po zakończeniu serii pomiarowej.</w:t>
      </w:r>
    </w:p>
    <w:p w14:paraId="27CC6C81" w14:textId="75985B5F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Nie traktuj danych przykładowych jako wyników laboratoryjnych.</w:t>
      </w:r>
    </w:p>
    <w:p w14:paraId="686B5D10" w14:textId="70F647D1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Przed eksportem sprawdź znaki i jednostki wszystkich współczynników.</w:t>
      </w:r>
    </w:p>
    <w:p w14:paraId="79DE2499" w14:textId="332E03F4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Zachowuj stałą orientację sondy podczas porównywania serii.</w:t>
      </w:r>
    </w:p>
    <w:p w14:paraId="5A2EF01A" w14:textId="33428ADC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W sprawozdaniu podaj zastosowane wzory i źródła niepewności.</w:t>
      </w:r>
    </w:p>
    <w:p w14:paraId="55BDEC49" w14:textId="1AD5EA66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Porównuj wyniki z instrukcją oraz kartą katalogową użytej aparatury.</w:t>
      </w:r>
    </w:p>
    <w:p w14:paraId="721E9A5D" w14:textId="77777777" w:rsidR="006F77BD" w:rsidRDefault="00000000">
      <w:pPr>
        <w:pStyle w:val="Heading1"/>
      </w:pPr>
      <w:r w:rsidRPr="001238BC">
        <w:t>10. Skrócona lista kontrolna przed oddaniem sprawozdania</w:t>
      </w:r>
    </w:p>
    <w:p w14:paraId="0BD386B5" w14:textId="77777777" w:rsidR="001238BC" w:rsidRPr="001238BC" w:rsidRDefault="001238BC" w:rsidP="001238BC"/>
    <w:p w14:paraId="1B14C691" w14:textId="1B8E01AE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Użyto własnych danych pomiarowych.</w:t>
      </w:r>
    </w:p>
    <w:p w14:paraId="071267FE" w14:textId="31E333A6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Wartości K, Sp i UD zostały zweryfikowane.</w:t>
      </w:r>
    </w:p>
    <w:p w14:paraId="682C4167" w14:textId="74412D0F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Tabela zawiera jednostki.</w:t>
      </w:r>
    </w:p>
    <w:p w14:paraId="04D60D39" w14:textId="036A9CC7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Wykres ma podpisane osie i legendę.</w:t>
      </w:r>
    </w:p>
    <w:p w14:paraId="22C60067" w14:textId="2C0D2961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Podano niepewność i sposób jej obliczenia.</w:t>
      </w:r>
    </w:p>
    <w:p w14:paraId="210A27D7" w14:textId="0FF932BA" w:rsidR="006F77BD" w:rsidRPr="001238BC" w:rsidRDefault="001238BC">
      <w:pPr>
        <w:pStyle w:val="ListBullet"/>
        <w:spacing w:line="269" w:lineRule="auto"/>
        <w:ind w:left="518" w:hanging="259"/>
      </w:pPr>
      <w:r>
        <w:rPr>
          <w:rFonts w:eastAsia="Aptos"/>
          <w:sz w:val="21"/>
        </w:rPr>
        <w:t xml:space="preserve"> </w:t>
      </w:r>
      <w:r w:rsidR="00000000" w:rsidRPr="001238BC">
        <w:rPr>
          <w:rFonts w:eastAsia="Aptos"/>
          <w:sz w:val="21"/>
        </w:rPr>
        <w:t>Plik CSV został zachowany wraz ze sprawozdaniem.</w:t>
      </w:r>
    </w:p>
    <w:sectPr w:rsidR="006F77BD" w:rsidRPr="001238BC" w:rsidSect="00034616">
      <w:headerReference w:type="default" r:id="rId10"/>
      <w:footerReference w:type="default" r:id="rId11"/>
      <w:pgSz w:w="12240" w:h="15840"/>
      <w:pgMar w:top="1181" w:right="1296" w:bottom="1123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FD0E" w14:textId="77777777" w:rsidR="002A7447" w:rsidRPr="001238BC" w:rsidRDefault="002A7447">
      <w:pPr>
        <w:spacing w:after="0" w:line="240" w:lineRule="auto"/>
      </w:pPr>
      <w:r w:rsidRPr="001238BC">
        <w:separator/>
      </w:r>
    </w:p>
  </w:endnote>
  <w:endnote w:type="continuationSeparator" w:id="0">
    <w:p w14:paraId="3F2ED437" w14:textId="77777777" w:rsidR="002A7447" w:rsidRPr="001238BC" w:rsidRDefault="002A7447">
      <w:pPr>
        <w:spacing w:after="0" w:line="240" w:lineRule="auto"/>
      </w:pPr>
      <w:r w:rsidRPr="001238B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6F60" w14:textId="5F86D8AE" w:rsidR="006F77BD" w:rsidRPr="001238BC" w:rsidRDefault="00382739" w:rsidP="00382739">
    <w:pPr>
      <w:pStyle w:val="Footer"/>
      <w:tabs>
        <w:tab w:val="left" w:pos="672"/>
        <w:tab w:val="right" w:pos="9648"/>
      </w:tabs>
    </w:pPr>
    <w:r w:rsidRPr="001238BC">
      <w:rPr>
        <w:rFonts w:eastAsia="Aptos"/>
        <w:color w:val="59677C"/>
        <w:sz w:val="17"/>
      </w:rPr>
      <w:tab/>
    </w:r>
    <w:r w:rsidRPr="001238BC">
      <w:rPr>
        <w:rFonts w:eastAsia="Aptos"/>
        <w:color w:val="59677C"/>
        <w:sz w:val="17"/>
      </w:rPr>
      <w:t xml:space="preserve">Adam </w:t>
    </w:r>
    <w:r w:rsidRPr="001238BC">
      <w:rPr>
        <w:rFonts w:eastAsia="Aptos"/>
        <w:color w:val="59677C"/>
        <w:sz w:val="17"/>
      </w:rPr>
      <w:t>Kubiś 161897</w:t>
    </w:r>
    <w:r w:rsidRPr="001238BC">
      <w:rPr>
        <w:rFonts w:eastAsia="Aptos"/>
        <w:color w:val="59677C"/>
        <w:sz w:val="17"/>
      </w:rPr>
      <w:tab/>
    </w:r>
    <w:r w:rsidRPr="001238BC">
      <w:rPr>
        <w:rFonts w:eastAsia="Aptos"/>
        <w:color w:val="59677C"/>
        <w:sz w:val="17"/>
      </w:rPr>
      <w:tab/>
    </w:r>
    <w:r w:rsidR="00000000" w:rsidRPr="001238BC">
      <w:rPr>
        <w:rFonts w:eastAsia="Aptos"/>
        <w:color w:val="59677C"/>
        <w:sz w:val="17"/>
      </w:rPr>
      <w:t xml:space="preserve">Strona </w:t>
    </w:r>
    <w:r w:rsidR="00000000" w:rsidRPr="001238BC">
      <w:rPr>
        <w:rFonts w:eastAsia="Aptos"/>
        <w:color w:val="59677C"/>
        <w:sz w:val="17"/>
      </w:rPr>
      <w:fldChar w:fldCharType="begin"/>
    </w:r>
    <w:r w:rsidR="00000000" w:rsidRPr="001238BC">
      <w:rPr>
        <w:rFonts w:eastAsia="Aptos"/>
        <w:color w:val="59677C"/>
        <w:sz w:val="17"/>
      </w:rPr>
      <w:instrText xml:space="preserve"> PAGE </w:instrText>
    </w:r>
    <w:r w:rsidRPr="001238BC">
      <w:rPr>
        <w:rFonts w:eastAsia="Aptos"/>
        <w:color w:val="59677C"/>
        <w:sz w:val="17"/>
      </w:rPr>
      <w:fldChar w:fldCharType="separate"/>
    </w:r>
    <w:r w:rsidRPr="001238BC">
      <w:rPr>
        <w:rFonts w:eastAsia="Aptos"/>
        <w:noProof/>
        <w:color w:val="59677C"/>
        <w:sz w:val="17"/>
      </w:rPr>
      <w:t>1</w:t>
    </w:r>
    <w:r w:rsidR="00000000" w:rsidRPr="001238BC">
      <w:rPr>
        <w:rFonts w:eastAsia="Aptos"/>
        <w:color w:val="59677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B18E" w14:textId="77777777" w:rsidR="002A7447" w:rsidRPr="001238BC" w:rsidRDefault="002A7447">
      <w:pPr>
        <w:spacing w:after="0" w:line="240" w:lineRule="auto"/>
      </w:pPr>
      <w:r w:rsidRPr="001238BC">
        <w:separator/>
      </w:r>
    </w:p>
  </w:footnote>
  <w:footnote w:type="continuationSeparator" w:id="0">
    <w:p w14:paraId="3EB9CF73" w14:textId="77777777" w:rsidR="002A7447" w:rsidRPr="001238BC" w:rsidRDefault="002A7447">
      <w:pPr>
        <w:spacing w:after="0" w:line="240" w:lineRule="auto"/>
      </w:pPr>
      <w:r w:rsidRPr="001238B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F1E2" w14:textId="77777777" w:rsidR="006F77BD" w:rsidRPr="001238BC" w:rsidRDefault="00000000">
    <w:pPr>
      <w:pStyle w:val="Header"/>
    </w:pPr>
    <w:r w:rsidRPr="001238BC">
      <w:rPr>
        <w:rFonts w:eastAsia="Aptos"/>
        <w:b/>
        <w:color w:val="59677C"/>
        <w:sz w:val="17"/>
      </w:rPr>
      <w:t>EMC Lab Assistant  |  Instrukcja użytkownika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107652">
    <w:abstractNumId w:val="8"/>
  </w:num>
  <w:num w:numId="2" w16cid:durableId="230849820">
    <w:abstractNumId w:val="6"/>
  </w:num>
  <w:num w:numId="3" w16cid:durableId="1781875952">
    <w:abstractNumId w:val="5"/>
  </w:num>
  <w:num w:numId="4" w16cid:durableId="1763259317">
    <w:abstractNumId w:val="4"/>
  </w:num>
  <w:num w:numId="5" w16cid:durableId="1279221171">
    <w:abstractNumId w:val="7"/>
  </w:num>
  <w:num w:numId="6" w16cid:durableId="1712806188">
    <w:abstractNumId w:val="3"/>
  </w:num>
  <w:num w:numId="7" w16cid:durableId="596598438">
    <w:abstractNumId w:val="2"/>
  </w:num>
  <w:num w:numId="8" w16cid:durableId="1137408613">
    <w:abstractNumId w:val="1"/>
  </w:num>
  <w:num w:numId="9" w16cid:durableId="189472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BC"/>
    <w:rsid w:val="0015074B"/>
    <w:rsid w:val="0029639D"/>
    <w:rsid w:val="002A7447"/>
    <w:rsid w:val="00326F90"/>
    <w:rsid w:val="00382739"/>
    <w:rsid w:val="003B0446"/>
    <w:rsid w:val="006F77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7A9CCE"/>
  <w14:defaultImageDpi w14:val="300"/>
  <w15:docId w15:val="{D91B0F20-4B27-4447-A734-9F2F08E0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Aptos" w:hAnsi="Aptos"/>
      <w:color w:val="172033"/>
      <w:sz w:val="20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75D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967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Instrukcja użytkownika</vt:lpstr>
    </vt:vector>
  </TitlesOfParts>
  <Manager/>
  <Company/>
  <LinksUpToDate>false</LinksUpToDate>
  <CharactersWithSpaces>6184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użytkownika</dc:title>
  <dc:subject>EMC Lab Assistant</dc:subject>
  <dc:creator>Adam Kubiś</dc:creator>
  <cp:keywords>C#, Avalonia UI, EMC, kompatybilność elektromagnetyczna</cp:keywords>
  <dc:description>generated by python-docx</dc:description>
  <cp:lastModifiedBy>Adam Kubiś</cp:lastModifiedBy>
  <cp:revision>2</cp:revision>
  <dcterms:created xsi:type="dcterms:W3CDTF">2013-12-23T23:15:00Z</dcterms:created>
  <dcterms:modified xsi:type="dcterms:W3CDTF">2026-06-21T16:19:00Z</dcterms:modified>
  <cp:category/>
</cp:coreProperties>
</file>