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" w:hAnsi="Aptos" w:eastAsia="Aptos"/>
          <w:b/>
          <w:i w:val="0"/>
          <w:color w:val="275DDB"/>
          <w:sz w:val="20"/>
        </w:rPr>
        <w:t>KOMPATYBILNOŚĆ ELEKTROMAGNETYCZNA</w:t>
      </w:r>
    </w:p>
    <w:p>
      <w:pPr>
        <w:pStyle w:val="Title"/>
        <w:jc w:val="center"/>
      </w:pPr>
      <w:r>
        <w:t>Dokumentacja techniczna</w:t>
      </w:r>
    </w:p>
    <w:p>
      <w:pPr>
        <w:pStyle w:val="Subtitle"/>
        <w:jc w:val="center"/>
      </w:pPr>
      <w:r>
        <w:t>Architektura, algorytmy, budowanie i utrzymanie programu</w:t>
      </w:r>
    </w:p>
    <w:p>
      <w:pPr>
        <w:spacing w:before="200"/>
        <w:jc w:val="center"/>
      </w:pPr>
      <w:r>
        <w:rPr>
          <w:rFonts w:ascii="Aptos" w:hAnsi="Aptos" w:eastAsia="Aptos"/>
          <w:b/>
          <w:i w:val="0"/>
          <w:color w:val="C2410C"/>
          <w:sz w:val="20"/>
        </w:rPr>
        <w:t>DOKUMENTACJA OPROGRAMOWANIA</w:t>
      </w:r>
    </w:p>
    <w:p>
      <w:pPr>
        <w:spacing w:after="640"/>
      </w:pP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Projekt: </w:t>
      </w:r>
      <w:r>
        <w:rPr>
          <w:rFonts w:ascii="Aptos" w:hAnsi="Aptos" w:eastAsia="Aptos"/>
          <w:b w:val="0"/>
          <w:i w:val="0"/>
          <w:color w:val="172033"/>
          <w:sz w:val="19"/>
        </w:rPr>
        <w:t>EMC Lab Assistant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Autor: </w:t>
      </w:r>
      <w:r>
        <w:rPr>
          <w:rFonts w:ascii="Aptos" w:hAnsi="Aptos" w:eastAsia="Aptos"/>
          <w:b w:val="0"/>
          <w:i w:val="0"/>
          <w:color w:val="172033"/>
          <w:sz w:val="19"/>
        </w:rPr>
        <w:t>Adam Kubiś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Wersja: </w:t>
      </w:r>
      <w:r>
        <w:rPr>
          <w:rFonts w:ascii="Aptos" w:hAnsi="Aptos" w:eastAsia="Aptos"/>
          <w:b w:val="0"/>
          <w:i w:val="0"/>
          <w:color w:val="172033"/>
          <w:sz w:val="19"/>
        </w:rPr>
        <w:t>2.0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Technologia: </w:t>
      </w:r>
      <w:r>
        <w:rPr>
          <w:rFonts w:ascii="Aptos" w:hAnsi="Aptos" w:eastAsia="Aptos"/>
          <w:b w:val="0"/>
          <w:i w:val="0"/>
          <w:color w:val="172033"/>
          <w:sz w:val="19"/>
        </w:rPr>
        <w:t>C# 12, .NET 8, Avalonia UI 12, MVVM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Platformy: </w:t>
      </w:r>
      <w:r>
        <w:rPr>
          <w:rFonts w:ascii="Aptos" w:hAnsi="Aptos" w:eastAsia="Aptos"/>
          <w:b w:val="0"/>
          <w:i w:val="0"/>
          <w:color w:val="172033"/>
          <w:sz w:val="19"/>
        </w:rPr>
        <w:t>Windows 10/11 oraz Linux x64</w:t>
      </w:r>
    </w:p>
    <w:p>
      <w:pPr>
        <w:spacing w:after="60"/>
        <w:ind w:left="1512" w:right="1080"/>
      </w:pPr>
      <w:r>
        <w:rPr>
          <w:rFonts w:ascii="Aptos" w:hAnsi="Aptos" w:eastAsia="Aptos"/>
          <w:b/>
          <w:i w:val="0"/>
          <w:color w:val="172B4D"/>
          <w:sz w:val="19"/>
        </w:rPr>
        <w:t xml:space="preserve">Stan: </w:t>
      </w:r>
      <w:r>
        <w:rPr>
          <w:rFonts w:ascii="Aptos" w:hAnsi="Aptos" w:eastAsia="Aptos"/>
          <w:b w:val="0"/>
          <w:i w:val="0"/>
          <w:color w:val="172033"/>
          <w:sz w:val="19"/>
        </w:rPr>
        <w:t>Wersja działająca, zweryfikowana kompilacją i testami</w:t>
      </w:r>
    </w:p>
    <w:p>
      <w:pPr>
        <w:spacing w:before="1200"/>
        <w:jc w:val="center"/>
      </w:pPr>
      <w:r>
        <w:rPr>
          <w:rFonts w:ascii="Aptos" w:hAnsi="Aptos" w:eastAsia="Aptos"/>
          <w:b w:val="0"/>
          <w:i w:val="0"/>
          <w:color w:val="59677C"/>
          <w:sz w:val="19"/>
        </w:rPr>
        <w:t>Politechnika Poznańska  •  czerwiec 2026</w:t>
      </w:r>
    </w:p>
    <w:p>
      <w:r>
        <w:br w:type="page"/>
      </w:r>
    </w:p>
    <w:p>
      <w:pPr>
        <w:pStyle w:val="Heading1"/>
      </w:pPr>
      <w:r>
        <w:t>1. Cel i zakres dokumentu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Dokument opisuje budowę programu EMC Lab Assistant, jego odpowiedzialności funkcjonalne, architekturę, modele danych, algorytmy obliczeniowe, sposób budowania, testowania i publikowania. Jest przeznaczony dla osoby rozwijającej lub oceniającej kod źródłowy.</w:t>
      </w:r>
    </w:p>
    <w:p>
      <w:pPr>
        <w:spacing w:before="80" w:after="160"/>
        <w:ind w:left="115" w:right="115"/>
        <w:shd w:fill="EAF1FF"/>
        <w:pBdr>
          <w:top w:val="single" w:sz="6" w:space="4" w:color="275DDB"/>
          <w:left w:val="single" w:sz="6" w:space="4" w:color="275DDB"/>
          <w:bottom w:val="single" w:sz="6" w:space="4" w:color="275DDB"/>
          <w:right w:val="single" w:sz="6" w:space="4" w:color="275DDB"/>
        </w:pBdr>
      </w:pPr>
      <w:r>
        <w:rPr>
          <w:rFonts w:ascii="Aptos" w:hAnsi="Aptos" w:eastAsia="Aptos"/>
          <w:b/>
          <w:i w:val="0"/>
          <w:color w:val="275DDB"/>
          <w:sz w:val="21"/>
        </w:rPr>
        <w:t xml:space="preserve">Zakres wersji 2.0: </w:t>
      </w:r>
      <w:r>
        <w:rPr>
          <w:rFonts w:ascii="Aptos" w:hAnsi="Aptos" w:eastAsia="Aptos"/>
          <w:b w:val="0"/>
          <w:i w:val="0"/>
          <w:color w:val="172033"/>
          <w:sz w:val="21"/>
        </w:rPr>
        <w:t>Program obsługuje cztery operacyjne scenariusze laboratoryjne, moduł nauki oraz ekran pokrycia materiału. Dwa ćwiczenia wymienione w sylabusie oczekują na instrukcje źródłowe i nie są prezentowane jako gotowe.</w:t>
      </w:r>
    </w:p>
    <w:p>
      <w:pPr>
        <w:pStyle w:val="Heading1"/>
      </w:pPr>
      <w:r>
        <w:t>2. Wymagania systemowe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300"/>
        <w:gridCol w:w="4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Obszar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Wymaganie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Realizacja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Język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C# i środowisko .NET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Projekt SDK-style, TargetFramework net8.0</w:t>
            </w:r>
          </w:p>
        </w:tc>
      </w:tr>
      <w:tr>
        <w:tc>
          <w:tcPr>
            <w:tcW w:type="dxa" w:w="16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Interfejs</w:t>
            </w:r>
          </w:p>
        </w:tc>
        <w:tc>
          <w:tcPr>
            <w:tcW w:type="dxa" w:w="33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Graficzny kreator krok po kroku</w:t>
            </w:r>
          </w:p>
        </w:tc>
        <w:tc>
          <w:tcPr>
            <w:tcW w:type="dxa" w:w="44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Avalonia XAML, cztery kroki w każdym scenariuszu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Wieloplatformowość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Windows i Linux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Avalonia Desktop oraz publikacja self-contained</w:t>
            </w:r>
          </w:p>
        </w:tc>
      </w:tr>
      <w:tr>
        <w:tc>
          <w:tcPr>
            <w:tcW w:type="dxa" w:w="16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Walidacja</w:t>
            </w:r>
          </w:p>
        </w:tc>
        <w:tc>
          <w:tcPr>
            <w:tcW w:type="dxa" w:w="33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Blokada przejścia przy niepełnych danych</w:t>
            </w:r>
          </w:p>
        </w:tc>
        <w:tc>
          <w:tcPr>
            <w:tcW w:type="dxa" w:w="44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Warunki CanGoNext i komendy MVVM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Obliczenia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Wzory laboratoryjne i niepewność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Oddzielne usługi obliczeniowe dla czterech scenariuszy</w:t>
            </w:r>
          </w:p>
        </w:tc>
      </w:tr>
      <w:tr>
        <w:tc>
          <w:tcPr>
            <w:tcW w:type="dxa" w:w="16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Prezentacja</w:t>
            </w:r>
          </w:p>
        </w:tc>
        <w:tc>
          <w:tcPr>
            <w:tcW w:type="dxa" w:w="33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Tabele, wzory i wykresy</w:t>
            </w:r>
          </w:p>
        </w:tc>
        <w:tc>
          <w:tcPr>
            <w:tcW w:type="dxa" w:w="44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DataGrid, CSharpMath oraz własne kontrolki wykresów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Eksport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Dane do sprawozdania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CSV UTF-8 oraz sformatowany raport DOCX</w:t>
            </w:r>
          </w:p>
        </w:tc>
      </w:tr>
    </w:tbl>
    <w:p>
      <w:pPr>
        <w:spacing w:after="20"/>
      </w:pPr>
    </w:p>
    <w:p>
      <w:pPr>
        <w:pStyle w:val="Heading1"/>
      </w:pPr>
      <w:r>
        <w:t>3. Stos technologiczny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1200"/>
        <w:gridCol w:w="57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Składnik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Wersja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Zastosowanie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Microsoft .NET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8.0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Runtime, biblioteka standardowa i narzędzia publikowania</w:t>
            </w:r>
          </w:p>
        </w:tc>
      </w:tr>
      <w:tr>
        <w:tc>
          <w:tcPr>
            <w:tcW w:type="dxa" w:w="24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Avalonia</w:t>
            </w:r>
          </w:p>
        </w:tc>
        <w:tc>
          <w:tcPr>
            <w:tcW w:type="dxa" w:w="12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12.0.5</w:t>
            </w:r>
          </w:p>
        </w:tc>
        <w:tc>
          <w:tcPr>
            <w:tcW w:type="dxa" w:w="57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Wieloplatformowy interfejs użytkownika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Avalonia.Controls.DataGrid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12.0.1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Edycja i prezentacja tabel pomiarowych</w:t>
            </w:r>
          </w:p>
        </w:tc>
      </w:tr>
      <w:tr>
        <w:tc>
          <w:tcPr>
            <w:tcW w:type="dxa" w:w="24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CommunityToolkit.Mvvm</w:t>
            </w:r>
          </w:p>
        </w:tc>
        <w:tc>
          <w:tcPr>
            <w:tcW w:type="dxa" w:w="12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8.4.1</w:t>
            </w:r>
          </w:p>
        </w:tc>
        <w:tc>
          <w:tcPr>
            <w:tcW w:type="dxa" w:w="57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ObservableObject, komendy i generatory właściwości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CSharpMath.Avalonia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12.0.0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Skład równań matematycznych w interfejsie</w:t>
            </w:r>
          </w:p>
        </w:tc>
      </w:tr>
      <w:tr>
        <w:tc>
          <w:tcPr>
            <w:tcW w:type="dxa" w:w="24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DocumentFormat.OpenXml</w:t>
            </w:r>
          </w:p>
        </w:tc>
        <w:tc>
          <w:tcPr>
            <w:tcW w:type="dxa" w:w="12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3.5.1</w:t>
            </w:r>
          </w:p>
        </w:tc>
        <w:tc>
          <w:tcPr>
            <w:tcW w:type="dxa" w:w="57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Generowanie raportów DOCX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MatFileHandler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1.3.0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Import wyników MATLAB ćwiczenia nr 3</w:t>
            </w:r>
          </w:p>
        </w:tc>
      </w:tr>
      <w:tr>
        <w:tc>
          <w:tcPr>
            <w:tcW w:type="dxa" w:w="24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Inter</w:t>
            </w:r>
          </w:p>
        </w:tc>
        <w:tc>
          <w:tcPr>
            <w:tcW w:type="dxa" w:w="12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pakiet Avalonia</w:t>
            </w:r>
          </w:p>
        </w:tc>
        <w:tc>
          <w:tcPr>
            <w:tcW w:type="dxa" w:w="57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Spójna typografia interfejsu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b w:val="0"/>
          <w:i w:val="0"/>
          <w:color w:val="172033"/>
          <w:sz w:val="21"/>
        </w:rPr>
        <w:t>Avalonia została wybrana zamiast WPF i Windows Forms, ponieważ nie wiąże warstwy prezentacji wyłącznie z systemem Windows. Projekt celuje w .NET 8, dlatego oficjalnym zakresem zgodności są Windows 10/11 oraz wspierane dystrybucje Linuksa.</w:t>
      </w:r>
    </w:p>
    <w:p>
      <w:pPr>
        <w:pStyle w:val="Heading1"/>
      </w:pPr>
      <w:r>
        <w:t>4. Architektura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987516"/>
            <wp:docPr id="1" name="Picture 1" descr="Rysunek 1. Warstwy logiczne programu." title="architektur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87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9677C"/>
          <w:sz w:val="17"/>
        </w:rPr>
        <w:t>Rysunek 1. Warstwy logiczne programu.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Aplikacja stosuje wzorzec MVVM. Widoki XAML odpowiadają za prezentację, ViewModele przechowują stan i nawigację, modele opisują rekordy pomiarowe, a usługi wykonują obliczenia oraz eksport. ViewLocator dobiera widok na podstawie typu ViewModelu.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50"/>
        <w:gridCol w:w="6610"/>
      </w:tblGrid>
      <w:tr>
        <w:trPr>
          <w:tblHeader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Warstwa / moduł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Odpowiedzialność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MainWindowViewModel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Wybór scenariusza, bieżący krok, komendy Wstecz/Dalej, restart i zmiana scenariusza.</w:t>
            </w:r>
          </w:p>
        </w:tc>
      </w:tr>
      <w:tr>
        <w:tc>
          <w:tcPr>
            <w:tcW w:type="dxa" w:w="275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ScenarioSelectionViewModel</w:t>
            </w:r>
          </w:p>
        </w:tc>
        <w:tc>
          <w:tcPr>
            <w:tcW w:type="dxa" w:w="661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Udostępnienie czterech kreatorów, modułu nauki i rejestru pokrycia.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Step1–Step4ViewModel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Stan i obliczenia kreatora pomiaru przeników.</w:t>
            </w:r>
          </w:p>
        </w:tc>
      </w:tr>
      <w:tr>
        <w:tc>
          <w:tcPr>
            <w:tcW w:type="dxa" w:w="275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NearFieldStep1–Step4ViewModel</w:t>
            </w:r>
          </w:p>
        </w:tc>
        <w:tc>
          <w:tcPr>
            <w:tcW w:type="dxa" w:w="661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Stanowisko, dane pomiarowe, pole H, niepewność i podsumowanie sond.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RadiatedEmissionStep1–Step4ViewModel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Założenia EN55032, surowe MR/IL, poprawka antenowa, limit i margines.</w:t>
            </w:r>
          </w:p>
        </w:tc>
      </w:tr>
      <w:tr>
        <w:tc>
          <w:tcPr>
            <w:tcW w:type="dxa" w:w="275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PropagationStep1–Step4ViewModel</w:t>
            </w:r>
          </w:p>
        </w:tc>
        <w:tc>
          <w:tcPr>
            <w:tcW w:type="dxa" w:w="661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Stanowisko DVB-T, siatka 16 punktów, pole E, średnia przestrzenna i tolerancja.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CrosstalkLogic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Konwersja dB, błąd analizatora, statystyka i przedział ufności.</w:t>
            </w:r>
          </w:p>
        </w:tc>
      </w:tr>
      <w:tr>
        <w:tc>
          <w:tcPr>
            <w:tcW w:type="dxa" w:w="275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NearFieldLogic</w:t>
            </w:r>
          </w:p>
        </w:tc>
        <w:tc>
          <w:tcPr>
            <w:tcW w:type="dxa" w:w="661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Przeliczenie mocy na H, niepewność złożona, maksimum i regresja trendu.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RadiatedEmissionLogic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Antenna Factor dipola, korekta pionowa, pole E, U95 i margines EN55032.</w:t>
            </w:r>
          </w:p>
        </w:tc>
      </w:tr>
      <w:tr>
        <w:tc>
          <w:tcPr>
            <w:tcW w:type="dxa" w:w="275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PropagationLogic</w:t>
            </w:r>
          </w:p>
        </w:tc>
        <w:tc>
          <w:tcPr>
            <w:tcW w:type="dxa" w:w="661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Konwersja odczytów na µV, pole E, średnia przestrzenna i tolerancja Eav ± T.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LearningViewModel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Siedem bloków wykładowych, pytania kontrolne i trzy kalkulatory EMC.</w:t>
            </w:r>
          </w:p>
        </w:tc>
      </w:tr>
      <w:tr>
        <w:tc>
          <w:tcPr>
            <w:tcW w:type="dxa" w:w="275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SourceRequirementsViewModel</w:t>
            </w:r>
          </w:p>
        </w:tc>
        <w:tc>
          <w:tcPr>
            <w:tcW w:type="dxa" w:w="661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Jawne wskazanie materiałów, których nie wolno odtwarzać bez instrukcji.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MeasurementImportService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Walidowany import CSV/TXT dla czterech scenariuszy.</w:t>
            </w:r>
          </w:p>
        </w:tc>
      </w:tr>
      <w:tr>
        <w:tc>
          <w:tcPr>
            <w:tcW w:type="dxa" w:w="275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MatRadiatedEmissionImporter</w:t>
            </w:r>
          </w:p>
        </w:tc>
        <w:tc>
          <w:tcPr>
            <w:tcW w:type="dxa" w:w="661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Import struktury Data z plików MATLAB ćwiczenia nr 3.</w:t>
            </w:r>
          </w:p>
        </w:tc>
      </w:tr>
      <w:t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ReportGenerator / DocxReportGenerator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Eksport wyników do CSV oraz raportu DOCX.</w:t>
            </w:r>
          </w:p>
        </w:tc>
      </w:tr>
      <w:tr>
        <w:tc>
          <w:tcPr>
            <w:tcW w:type="dxa" w:w="275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Kontrolki wykresów i wzorów</w:t>
            </w:r>
          </w:p>
        </w:tc>
        <w:tc>
          <w:tcPr>
            <w:tcW w:type="dxa" w:w="661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Wykresy, mapy cieplne oraz skład LaTeX przez CSharpMath.</w:t>
            </w:r>
          </w:p>
        </w:tc>
      </w:tr>
    </w:tbl>
    <w:p>
      <w:pPr>
        <w:spacing w:after="20"/>
      </w:pPr>
    </w:p>
    <w:p>
      <w:pPr>
        <w:pStyle w:val="Heading1"/>
      </w:pPr>
      <w:r>
        <w:t>5. Nawigacja i cykl danych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795903"/>
            <wp:docPr id="2" name="Picture 2" descr="Rysunek 2. Nawigacja od wyboru scenariusza do eksportu." title="przeplyw scenariusz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zeplyw_scenariusz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95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Aptos"/>
          <w:b w:val="0"/>
          <w:i/>
          <w:color w:val="59677C"/>
          <w:sz w:val="17"/>
        </w:rPr>
        <w:t>Rysunek 2. Nawigacja od wyboru scenariusza do eksportu.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Użytkownik wybiera scenariusz na ekranie startowym.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MainWindowViewModel ustawia właściwy ViewModel pierwszego kroku.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Dane wejściowe są walidowane na bieżąco; komenda Dalej jest aktywna dopiero po spełnieniu wymagań.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Przy przejściu do następnego kroku tworzona jest kolekcja wyników obliczeniowych.</w:t>
      </w:r>
    </w:p>
    <w:p>
      <w:pPr>
        <w:pStyle w:val="ListNumber"/>
        <w:spacing w:after="100"/>
        <w:ind w:left="605" w:hanging="317"/>
      </w:pPr>
      <w:r>
        <w:rPr>
          <w:rFonts w:ascii="Aptos" w:hAnsi="Aptos" w:eastAsia="Aptos"/>
          <w:b w:val="0"/>
          <w:i w:val="0"/>
          <w:color w:val="172033"/>
          <w:sz w:val="21"/>
        </w:rPr>
        <w:t>Krok końcowy agreguje statystyki, maksima i trendy oraz udostępnia eksport CSV i DOCX.</w:t>
      </w:r>
    </w:p>
    <w:p>
      <w:pPr>
        <w:pStyle w:val="Heading1"/>
      </w:pPr>
      <w:r>
        <w:t>6. Modele danych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Typ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Najważniejsze dane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BandDefinition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Nazwa pasma, częstotliwość początkowa i końcowa, niepewność analizatora.</w:t>
            </w:r>
          </w:p>
        </w:tc>
      </w:tr>
      <w:tr>
        <w:tc>
          <w:tcPr>
            <w:tcW w:type="dxa" w:w="2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MeasurementPointViewModel</w:t>
            </w:r>
          </w:p>
        </w:tc>
        <w:tc>
          <w:tcPr>
            <w:tcW w:type="dxa" w:w="66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Częstotliwość oraz surowe wartości NEXT/FEXT.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MeasurementResult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Wartości dB, liniowe, Delta Z i granice wyniku.</w:t>
            </w:r>
          </w:p>
        </w:tc>
      </w:tr>
      <w:tr>
        <w:tc>
          <w:tcPr>
            <w:tcW w:type="dxa" w:w="2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StatisticsResult</w:t>
            </w:r>
          </w:p>
        </w:tc>
        <w:tc>
          <w:tcPr>
            <w:tcW w:type="dxa" w:w="66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Średnia, s, błąd standardowy i 95% przedział ufności.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NearFieldMeasurementPoint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f, moce dla 30/50/100 Ω, K oraz Sp.</w:t>
            </w:r>
          </w:p>
        </w:tc>
      </w:tr>
      <w:tr>
        <w:tc>
          <w:tcPr>
            <w:tcW w:type="dxa" w:w="2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NearFieldResult</w:t>
            </w:r>
          </w:p>
        </w:tc>
        <w:tc>
          <w:tcPr>
            <w:tcW w:type="dxa" w:w="66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Pole H w dBA/m i A/m oraz U95 dla trzech impedancji.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NearFieldSummary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Maksimum, częstotliwość maksimum i nachylenie charakterystyki.</w:t>
            </w:r>
          </w:p>
        </w:tc>
      </w:tr>
      <w:tr>
        <w:tc>
          <w:tcPr>
            <w:tcW w:type="dxa" w:w="2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RadiatedEmissionMeasurementPoint</w:t>
            </w:r>
          </w:p>
        </w:tc>
        <w:tc>
          <w:tcPr>
            <w:tcW w:type="dxa" w:w="66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f, IL, MR i wysokości anteny dla polaryzacji H/V.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RadiatedEmissionResult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AF, korekta pionowa, pola E, limit EN55032, przedział i margines.</w:t>
            </w:r>
          </w:p>
        </w:tc>
      </w:tr>
      <w:tr>
        <w:tc>
          <w:tcPr>
            <w:tcW w:type="dxa" w:w="2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RadiatedEmissionSummary</w:t>
            </w:r>
          </w:p>
        </w:tc>
        <w:tc>
          <w:tcPr>
            <w:tcW w:type="dxa" w:w="66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Liczba punktów, liczba przekroczeń i punkt krytyczny.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PropagationMeasurementPoint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Numer punktu i poziomy dla polaryzacji poziomej oraz pionowej.</w:t>
            </w:r>
          </w:p>
        </w:tc>
      </w:tr>
      <w:tr>
        <w:tc>
          <w:tcPr>
            <w:tcW w:type="dxa" w:w="2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PropagationResult</w:t>
            </w:r>
          </w:p>
        </w:tc>
        <w:tc>
          <w:tcPr>
            <w:tcW w:type="dxa" w:w="66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U[µV], E[µV/m], E[dBµV/m] i silniejsza polaryzacja.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PropagationSummary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Eav, uE, tolerancja, przedział i punkt maksimum.</w:t>
            </w:r>
          </w:p>
        </w:tc>
      </w:tr>
    </w:tbl>
    <w:p>
      <w:pPr>
        <w:spacing w:after="20"/>
      </w:pPr>
    </w:p>
    <w:p>
      <w:pPr>
        <w:pStyle w:val="Heading1"/>
      </w:pPr>
      <w:r>
        <w:t>7. Algorytmy scenariusza przeników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|Z|lin = 10^(|Z|dB / 20)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Konwersja modułu transmitancji do skali liniowej.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Delta Z = |Z|lin · (10^(UD / 20) - 1)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Błąd bezwzględny wynikający z niepewności amplitudy analizatora.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Dla każdego punktu wyznaczane są granice max(0, |Z|lin - Delta Z) oraz |Z|lin + Delta Z. Dla serii NEXT i FEXT program oblicza średnią, odchylenie standardowe z próby, błąd standardowy oraz przedział ufności średniej z rozkładu t-Studenta.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CI95 = x̄ ± t(0,975; n-1) · s / √n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Dla 11 punktów wartość krytyczna wynosi 2,228.</w:t>
      </w:r>
    </w:p>
    <w:p>
      <w:pPr>
        <w:spacing w:before="80" w:after="160"/>
        <w:ind w:left="115" w:right="115"/>
        <w:shd w:fill="FFF3E8"/>
        <w:pBdr>
          <w:top w:val="single" w:sz="6" w:space="4" w:color="C2410C"/>
          <w:left w:val="single" w:sz="6" w:space="4" w:color="C2410C"/>
          <w:bottom w:val="single" w:sz="6" w:space="4" w:color="C2410C"/>
          <w:right w:val="single" w:sz="6" w:space="4" w:color="C2410C"/>
        </w:pBdr>
      </w:pPr>
      <w:r>
        <w:rPr>
          <w:rFonts w:ascii="Aptos" w:hAnsi="Aptos" w:eastAsia="Aptos"/>
          <w:b/>
          <w:i w:val="0"/>
          <w:color w:val="C2410C"/>
          <w:sz w:val="21"/>
        </w:rPr>
        <w:t xml:space="preserve">Założenie: </w:t>
      </w:r>
      <w:r>
        <w:rPr>
          <w:rFonts w:ascii="Aptos" w:hAnsi="Aptos" w:eastAsia="Aptos"/>
          <w:b w:val="0"/>
          <w:i w:val="0"/>
          <w:color w:val="172033"/>
          <w:sz w:val="21"/>
        </w:rPr>
        <w:t>Wartości początkowe UD wynoszą 0,2 dB dla 1-3 GHz i 0,3 dB dla 7-8 GHz, ale użytkownik może ustawić osobne U NEXT i U FEXT. W zastosowaniu metrologicznym należy je skonfrontować z poziomem sygnału i tabelą dokładności konkretnego analizatora.</w:t>
      </w:r>
    </w:p>
    <w:p>
      <w:pPr>
        <w:pStyle w:val="Heading1"/>
      </w:pPr>
      <w:r>
        <w:t>8. Algorytmy scenariusza sond pola bliskiego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H[dBA/m] = P[dBm] - 30 + 10·log10(50) - K + Sp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P - odczyt miernika mocy, K - wzmocnienie toru, Sp - poprawka sondy.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H[A/m] = 10^(H[dBA/m] / 20)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uH = √(uP² + uK² + uSp² + uRep²)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Składnik powtarzalności uRep jest edytowany w pierwszym kroku i uwzględniany w budżecie.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U95 = k · uH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Domyślnie uP=0,066 dB, uK=0,2 dB, uSp=0,3 dB, k=2; U95≈0,733 dB.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Program wyznacza maksimum pola osobno dla linii 30 Ω, 50 Ω i 100 Ω. Szybkość zmian jest szacowana regresją liniową jako dB/100 MHz oraz dB/dekadę częstotliwości.</w:t>
      </w:r>
    </w:p>
    <w:p>
      <w:pPr>
        <w:pStyle w:val="Heading1"/>
      </w:pPr>
      <w:r>
        <w:t>9. Algorytmy scenariusza emisji promieniowanej EN55032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AF = 20·log10(9,73 / (λ·√G)),    G = 1,64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Poprawka antenowa dipola półfalowego dla polaryzacji poziomej.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α = atan(hV / d)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Kąt elewacji dla polaryzacji pionowej; domyślna odległość d = 3 m.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E[dBµV/m] = MR[dBµV] + AF[dB/m] + IL[dB]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Równanie przetwarzania zgodne z instrukcją ćwiczenia nr 3.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UE = √(UMR² + UAF² + UIL²)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Domyślnie UMR=0,2 dB, UAF=0,8 dB i UIL=0,2 dB.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Dla każdej częstotliwości program liczy pole dla obu polaryzacji, wybiera większą wartość, dodaje niepewność 95% i porównuje wynik z limitem EN55032 klasy B dla odległości 3 m. Limit wynosi 40 dBµV/m dla 30-230 MHz oraz 47 dBµV/m powyżej 230 MHz.</w:t>
      </w:r>
    </w:p>
    <w:p>
      <w:pPr>
        <w:pStyle w:val="Heading1"/>
      </w:pPr>
      <w:r>
        <w:t>10. Algorytmy scenariusza pomiarów propagacyjnych DVB-T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U[µV] = 10^(-L[dB] / 20)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Konwencja historyczna dla ujemnych odczytów zapisanych w sprawozdaniach z ćwiczenia nr 4.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AF[1/m] = 10^(AF[dB/m] / 20)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E[µV/m] = U[µV] · AF[1/m] · 10^(ac/20)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ac oznacza tłumienie toru antenowego/kabla w dB.</w:t>
      </w:r>
    </w:p>
    <w:p>
      <w:pPr>
        <w:spacing w:before="100" w:after="100"/>
        <w:jc w:val="center"/>
        <w:shd w:fill="F4F6FA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ambria Math" w:hAnsi="Cambria Math" w:eastAsia="Cambria Math"/>
          <w:b/>
          <w:i w:val="0"/>
          <w:color w:val="172B4D"/>
          <w:sz w:val="23"/>
        </w:rPr>
        <w:t>Eav ± T</w:t>
      </w:r>
    </w:p>
    <w:p>
      <w:pPr>
        <w:spacing w:after="140"/>
        <w:jc w:val="center"/>
      </w:pPr>
      <w:r>
        <w:rPr>
          <w:rFonts w:ascii="Aptos" w:hAnsi="Aptos" w:eastAsia="Aptos"/>
          <w:b w:val="0"/>
          <w:i/>
          <w:color w:val="59677C"/>
          <w:sz w:val="18"/>
        </w:rPr>
        <w:t>Wynik końcowy dla polaryzacji jest średnią przestrzenną z tolerancją wynikającą z rozrzutu punktów, niepewności odbiornika i AF.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Program obsługuje siatkę 16 punktów pomiarowych dla sygnału DVB-T około 522 MHz. Użytkownik wybiera konwencję danych wejściowych: zapis historyczny, dBµV albo dBm dla 50 Ω. AF jest interpolowany z tabeli UHALP 9108 A1 dla wybranego profilu lub może być podany ręcznie. Wyniki są liczone osobno dla obu polaryzacji i prezentowane również jako mapy cieplne 4 × 4.</w:t>
      </w:r>
    </w:p>
    <w:p>
      <w:pPr>
        <w:pStyle w:val="Heading1"/>
      </w:pPr>
      <w:r>
        <w:t>11. Walidacja i obsługa błędów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NEXT i FEXT muszą mieścić się w zakresie od -200 dB do 0 dB.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Moce w scenariuszu sond muszą mieścić się w zakresie od -150 dBm do 30 dBm.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Wszystkie punkty wymagają kompletu wartości K i Sp.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Krok przygotowania stanowiska wymaga zaznaczenia czterech pozycji listy kontrolnej.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Scenariusz EN55032 wymaga kompletu MR, IL i wysokości anteny dla obu polaryzacji.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Scenariusz propagacyjny wymaga 16 par odczytów dla polaryzacji poziomej i pionowej.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Anulowanie okna zapisu nie zmienia stanu analizy.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Import wymaga właściwej liczby punktów i poprawnych kolumn; błąd jest opisany przy tabeli.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Błąd zapisu CSV lub DOCX jest prezentowany użytkownikowi w dolnym pasku okna.</w:t>
      </w:r>
    </w:p>
    <w:p>
      <w:pPr>
        <w:pStyle w:val="Heading1"/>
      </w:pPr>
      <w:r>
        <w:t>12. Import i eksport danych</w:t>
      </w:r>
    </w:p>
    <w:p>
      <w:r>
        <w:rPr>
          <w:rFonts w:ascii="Aptos" w:hAnsi="Aptos" w:eastAsia="Aptos"/>
          <w:b w:val="0"/>
          <w:i w:val="0"/>
          <w:color w:val="172033"/>
          <w:sz w:val="21"/>
        </w:rPr>
        <w:t>MeasurementImportService odczytuje CSV/TXT z separatorem średnikowym, tabulatorem lub przecinkiem i obsługuje polski oraz niezmienny format liczb. Scenariusz nr 3 dodatkowo odczytuje pliki MATLAB z polami Pomiar_H, Pomiar_V, H2_H, H2_VH i IL. ReportGenerator zapisuje CSV UTF-8 z BOM. DocxReportGenerator tworzy raport Word z metadanymi, równaniami, tabelami wyników, podsumowaniem i miejscem na wnioski.</w:t>
      </w:r>
    </w:p>
    <w:p>
      <w:pPr>
        <w:pStyle w:val="Heading1"/>
      </w:pPr>
      <w:r>
        <w:t>13. Budowanie i publikowanie</w:t>
      </w:r>
    </w:p>
    <w:p>
      <w:pPr>
        <w:spacing w:after="160"/>
        <w:ind w:left="202" w:right="202"/>
        <w:shd w:fill="F2F4F7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onsolas" w:hAnsi="Consolas" w:eastAsia="Consolas"/>
          <w:b w:val="0"/>
          <w:i w:val="0"/>
          <w:color w:val="172033"/>
          <w:sz w:val="17"/>
        </w:rPr>
        <w:t>dotnet restore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dotnet build CrosstalkAnalyzer.sln -c Release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dotnet run --project CrosstalkAnalyzer.csproj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dotnet publish -c Release -r win-x64 --self-contained true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dotnet publish -c Release -r linux-x64 --self-contained true</w:t>
      </w:r>
    </w:p>
    <w:p>
      <w:pPr>
        <w:spacing w:before="80" w:after="160"/>
        <w:ind w:left="115" w:right="115"/>
        <w:shd w:fill="EAF1FF"/>
        <w:pBdr>
          <w:top w:val="single" w:sz="6" w:space="4" w:color="275DDB"/>
          <w:left w:val="single" w:sz="6" w:space="4" w:color="275DDB"/>
          <w:bottom w:val="single" w:sz="6" w:space="4" w:color="275DDB"/>
          <w:right w:val="single" w:sz="6" w:space="4" w:color="275DDB"/>
        </w:pBdr>
      </w:pPr>
      <w:r>
        <w:rPr>
          <w:rFonts w:ascii="Aptos" w:hAnsi="Aptos" w:eastAsia="Aptos"/>
          <w:b/>
          <w:i w:val="0"/>
          <w:color w:val="275DDB"/>
          <w:sz w:val="21"/>
        </w:rPr>
        <w:t xml:space="preserve">Zgodność: </w:t>
      </w:r>
      <w:r>
        <w:rPr>
          <w:rFonts w:ascii="Aptos" w:hAnsi="Aptos" w:eastAsia="Aptos"/>
          <w:b w:val="0"/>
          <w:i w:val="0"/>
          <w:color w:val="172033"/>
          <w:sz w:val="21"/>
        </w:rPr>
        <w:t>Samowystarczalna publikacja nie wymaga instalacji .NET na komputerze docelowym, ale nadal podlega wymaganiom systemowym .NET 8 i Avalonia.</w:t>
      </w:r>
    </w:p>
    <w:p>
      <w:pPr>
        <w:pStyle w:val="Heading1"/>
      </w:pPr>
      <w:r>
        <w:t>14. Testy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700"/>
        <w:gridCol w:w="1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Obszar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Sprawdzenie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2B4D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Wynik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Konwersja dB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-20 dB = 0,1; -40 dB = 0,01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Delta Z</w:t>
            </w:r>
          </w:p>
        </w:tc>
        <w:tc>
          <w:tcPr>
            <w:tcW w:type="dxa" w:w="5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Wartość referencyjna dla 0,1 i UD=0,2 dB</w:t>
            </w:r>
          </w:p>
        </w:tc>
        <w:tc>
          <w:tcPr>
            <w:tcW w:type="dxa" w:w="18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Statystyka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Średnia i s dla serii 1,2,3,4,5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Pole H</w:t>
            </w:r>
          </w:p>
        </w:tc>
        <w:tc>
          <w:tcPr>
            <w:tcW w:type="dxa" w:w="5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Przykład 200 MHz, P=-34 dBm, K=21,25 dB, Sp=-31 dB</w:t>
            </w:r>
          </w:p>
        </w:tc>
        <w:tc>
          <w:tcPr>
            <w:tcW w:type="dxa" w:w="18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Niepewność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uH≈0,366546 dB i U95≈0,733092 dB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EN55032</w:t>
            </w:r>
          </w:p>
        </w:tc>
        <w:tc>
          <w:tcPr>
            <w:tcW w:type="dxa" w:w="5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AF 30 MHz, korekta pionowa i limit dla 200 MHz</w:t>
            </w:r>
          </w:p>
        </w:tc>
        <w:tc>
          <w:tcPr>
            <w:tcW w:type="dxa" w:w="18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Propagacja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Konwersja -60,96 dB na 1116,863 µV i AF=23,04 dB/m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Import</w:t>
            </w:r>
          </w:p>
        </w:tc>
        <w:tc>
          <w:tcPr>
            <w:tcW w:type="dxa" w:w="5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CSV czterech scenariuszy i struktura MATLAB</w:t>
            </w:r>
          </w:p>
        </w:tc>
        <w:tc>
          <w:tcPr>
            <w:tcW w:type="dxa" w:w="18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Eksport CSV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Obecność wymaganych sekcji w czterech plikach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Eksport DOCX</w:t>
            </w:r>
          </w:p>
        </w:tc>
        <w:tc>
          <w:tcPr>
            <w:tcW w:type="dxa" w:w="5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Dokument otwiera się i zawiera równania oraz tabele</w:t>
            </w:r>
          </w:p>
        </w:tc>
        <w:tc>
          <w:tcPr>
            <w:tcW w:type="dxa" w:w="18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Nawigacja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Pełne przejście czterech kreatorów do kroku 4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UI headless</w:t>
            </w:r>
          </w:p>
        </w:tc>
        <w:tc>
          <w:tcPr>
            <w:tcW w:type="dxa" w:w="570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820 × 600, brak kolizji przycisków i tekstu, widoczny skład wzorów</w:t>
            </w:r>
          </w:p>
        </w:tc>
        <w:tc>
          <w:tcPr>
            <w:tcW w:type="dxa" w:w="1860"/>
            <w:shd w:fill="F8FAF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Kompilacja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Release, 0 błędów i 0 ostrzeżeń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 w:val="0"/>
                <w:i w:val="0"/>
                <w:color w:val="172033"/>
                <w:sz w:val="17"/>
              </w:rPr>
              <w:t>zaliczony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b w:val="0"/>
          <w:i w:val="0"/>
          <w:color w:val="172033"/>
          <w:sz w:val="21"/>
        </w:rPr>
        <w:t>Obliczenia i eksport są sprawdzane przez program kontrolny, a układ interfejsu przez Avalonia.Headless.XUnit i xUnit v3. Uruchomienie:</w:t>
      </w:r>
    </w:p>
    <w:p>
      <w:pPr>
        <w:spacing w:after="160"/>
        <w:ind w:left="202" w:right="202"/>
        <w:shd w:fill="F2F4F7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onsolas" w:hAnsi="Consolas" w:eastAsia="Consolas"/>
          <w:b w:val="0"/>
          <w:i w:val="0"/>
          <w:color w:val="172033"/>
          <w:sz w:val="17"/>
        </w:rPr>
        <w:t>dotnet run --project Tests/CrosstalkAnalyzer.CalculationChecks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dotnet run --project Tests/CrosstalkAnalyzer.UiTests</w:t>
      </w:r>
    </w:p>
    <w:p>
      <w:pPr>
        <w:pStyle w:val="Heading1"/>
      </w:pPr>
      <w:r>
        <w:t>15. Ograniczenia i kierunki rozwoju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Brak trwałego formatu sesji; po zamknięciu programu dane pozostają w wyeksportowanym CSV lub DOCX.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Brak automatycznego odczytu K i Sp z pliku charakterystyki; wartości są zapisane jako edytowalne domyślne punkty.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Ćwiczenia z ochrony środowiska oraz analizatora widma oczekują na instrukcje prowadzącego.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Scenariusz propagacyjny wymaga zatwierdzenia względem oryginalnej instrukcji, której nie było w audytowanym katalogu.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Brakuje wykładów cz02 i cz07; aplikacja nie rekonstruuje ich treści na podstawie numeracji.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Możliwe rozszerzenie o zapis projektu, raport PDF i kolejne ćwiczenia po dostarczeniu źródeł.</w:t>
      </w:r>
    </w:p>
    <w:p>
      <w:pPr>
        <w:pStyle w:val="Heading1"/>
      </w:pPr>
      <w:r>
        <w:t>16. Struktura katalogów</w:t>
      </w:r>
    </w:p>
    <w:p>
      <w:pPr>
        <w:spacing w:after="160"/>
        <w:ind w:left="202" w:right="202"/>
        <w:shd w:fill="F2F4F7"/>
        <w:pBdr>
          <w:top w:val="single" w:sz="6" w:space="4" w:color="DDE3EC"/>
          <w:left w:val="single" w:sz="6" w:space="4" w:color="DDE3EC"/>
          <w:bottom w:val="single" w:sz="6" w:space="4" w:color="DDE3EC"/>
          <w:right w:val="single" w:sz="6" w:space="4" w:color="DDE3EC"/>
        </w:pBdr>
      </w:pPr>
      <w:r>
        <w:rPr>
          <w:rFonts w:ascii="Consolas" w:hAnsi="Consolas" w:eastAsia="Consolas"/>
          <w:b w:val="0"/>
          <w:i w:val="0"/>
          <w:color w:val="172033"/>
          <w:sz w:val="17"/>
        </w:rPr>
        <w:t>Models/      - rekordy wejściowe, wyniki i podsumowania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Services/    - logika obliczeń, częstotliwości i eksport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ViewModels/  - stan kreatorów, walidacja i nawigacja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Views/       - widoki Avalonia XAML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Controls/    - własne kontrolki wykresów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Tests/       - kontrole obliczeń, eksportu, nawigacji i układu UI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Documentation/COURSE_COVERAGE.md - rejestr pokrycia materiału</w:t>
      </w:r>
      <w:r>
        <w:br/>
      </w:r>
      <w:r>
        <w:rPr>
          <w:rFonts w:ascii="Consolas" w:hAnsi="Consolas" w:eastAsia="Consolas"/>
          <w:b w:val="0"/>
          <w:i w:val="0"/>
          <w:color w:val="172033"/>
          <w:sz w:val="17"/>
        </w:rPr>
        <w:t>Assets/      - zasoby aplikacji</w:t>
      </w:r>
    </w:p>
    <w:p>
      <w:pPr>
        <w:pStyle w:val="Heading1"/>
      </w:pPr>
      <w:r>
        <w:t>17. Materiały źródłowe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Kod źródłowy projektu EMC Lab Assistant.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R&amp;S ZVL Vector Network Analyzer Data Sheet, wersja 12.00.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R&amp;S HZ-15/HZ-17 Probe Sets i R&amp;S HZ-16 Preamplifier, Product Brochure.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Instrukcja laboratoryjna „Pomiar sondami pola bliskiego”.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„Obliczenia do pomiarów sondami pola bliskiego”.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Wzorzec sprawozdania Lab_KEM_Pom_Emisji_Kabla_PCB.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Instrukcja „Emisja promieniowana - poprawka antenowa, scenariusz pomiarowy normy EN55032”.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Sprawozdanie i notatki z ćwiczenia „Pomiary propagacyjne (Nr 4)”.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Rekomendacje ITU-R SM.1708-1, SM.1875-2, SM.378-7 oraz Spectrum Monitoring Handbook.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Schwarzbeck UHALP 9108 A1, Correction for Short Measuring Distance.</w:t>
      </w:r>
    </w:p>
    <w:p>
      <w:pPr>
        <w:pStyle w:val="ListBullet"/>
        <w:spacing w:after="80" w:line="269" w:lineRule="auto"/>
        <w:ind w:left="518" w:hanging="259"/>
      </w:pPr>
      <w:r>
        <w:rPr>
          <w:rFonts w:ascii="Aptos" w:hAnsi="Aptos" w:eastAsia="Aptos"/>
          <w:b w:val="0"/>
          <w:i w:val="0"/>
          <w:color w:val="172033"/>
          <w:sz w:val="21"/>
        </w:rPr>
        <w:t>Materiały wykładowe i pytania kontrolne dostępne w audytowanym katalogu przedmiotu.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59677C"/>
        <w:sz w:val="17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i w:val="0"/>
        <w:color w:val="59677C"/>
        <w:sz w:val="17"/>
      </w:rPr>
      <w:t>EMC Lab Assistant  |  Dokumentacja techniczna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75D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2B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5967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Dokumentacja techniczna</dc:title>
  <dc:subject>EMC Lab Assistant</dc:subject>
  <dc:creator>Adam Kubiś</dc:creator>
  <cp:keywords>C#, Avalonia UI, EMC, kompatybilność elektromagnetyczna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