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 w:eastAsia="Aptos"/>
          <w:b/>
          <w:i w:val="0"/>
          <w:color w:val="275DDB"/>
          <w:sz w:val="20"/>
        </w:rPr>
        <w:t>KOMPATYBILNOŚĆ ELEKTROMAGNETYCZNA</w:t>
      </w:r>
    </w:p>
    <w:p>
      <w:pPr>
        <w:pStyle w:val="Title"/>
        <w:jc w:val="center"/>
      </w:pPr>
      <w:r>
        <w:t>EMC Lab Assistant</w:t>
      </w:r>
    </w:p>
    <w:p>
      <w:pPr>
        <w:pStyle w:val="Subtitle"/>
        <w:jc w:val="center"/>
      </w:pPr>
      <w:r>
        <w:t>Wieloplatformowy kreator ćwiczeń laboratoryjnych z kompatybilności elektromagnetycznej</w:t>
      </w:r>
    </w:p>
    <w:p>
      <w:pPr>
        <w:spacing w:before="200"/>
        <w:jc w:val="center"/>
      </w:pPr>
      <w:r>
        <w:rPr>
          <w:rFonts w:ascii="Aptos" w:hAnsi="Aptos" w:eastAsia="Aptos"/>
          <w:b/>
          <w:i w:val="0"/>
          <w:color w:val="C2410C"/>
          <w:sz w:val="20"/>
        </w:rPr>
        <w:t>RAPORT Z PROJEKTU</w:t>
      </w:r>
    </w:p>
    <w:p>
      <w:pPr>
        <w:spacing w:after="640"/>
      </w:pP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Przedmiot: </w:t>
      </w:r>
      <w:r>
        <w:rPr>
          <w:rFonts w:ascii="Aptos" w:hAnsi="Aptos" w:eastAsia="Aptos"/>
          <w:b w:val="0"/>
          <w:i w:val="0"/>
          <w:color w:val="172033"/>
          <w:sz w:val="19"/>
        </w:rPr>
        <w:t>Kompatybilność elektromagnetyczna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Autor: </w:t>
      </w:r>
      <w:r>
        <w:rPr>
          <w:rFonts w:ascii="Aptos" w:hAnsi="Aptos" w:eastAsia="Aptos"/>
          <w:b w:val="0"/>
          <w:i w:val="0"/>
          <w:color w:val="172033"/>
          <w:sz w:val="19"/>
        </w:rPr>
        <w:t>Adam Kubiś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Prowadzący: </w:t>
      </w:r>
      <w:r>
        <w:rPr>
          <w:rFonts w:ascii="Aptos" w:hAnsi="Aptos" w:eastAsia="Aptos"/>
          <w:b w:val="0"/>
          <w:i w:val="0"/>
          <w:color w:val="172033"/>
          <w:sz w:val="19"/>
        </w:rPr>
        <w:t>dr inż. Piotr Górniak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Wersja programu: </w:t>
      </w:r>
      <w:r>
        <w:rPr>
          <w:rFonts w:ascii="Aptos" w:hAnsi="Aptos" w:eastAsia="Aptos"/>
          <w:b w:val="0"/>
          <w:i w:val="0"/>
          <w:color w:val="172033"/>
          <w:sz w:val="19"/>
        </w:rPr>
        <w:t>2.0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Technologia: </w:t>
      </w:r>
      <w:r>
        <w:rPr>
          <w:rFonts w:ascii="Aptos" w:hAnsi="Aptos" w:eastAsia="Aptos"/>
          <w:b w:val="0"/>
          <w:i w:val="0"/>
          <w:color w:val="172033"/>
          <w:sz w:val="19"/>
        </w:rPr>
        <w:t>C# / .NET 8 / Avalonia UI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Termin opracowania: </w:t>
      </w:r>
      <w:r>
        <w:rPr>
          <w:rFonts w:ascii="Aptos" w:hAnsi="Aptos" w:eastAsia="Aptos"/>
          <w:b w:val="0"/>
          <w:i w:val="0"/>
          <w:color w:val="172033"/>
          <w:sz w:val="19"/>
        </w:rPr>
        <w:t>czerwiec 2026</w:t>
      </w:r>
    </w:p>
    <w:p>
      <w:pPr>
        <w:spacing w:before="1200"/>
        <w:jc w:val="center"/>
      </w:pPr>
      <w:r>
        <w:rPr>
          <w:rFonts w:ascii="Aptos" w:hAnsi="Aptos" w:eastAsia="Aptos"/>
          <w:b w:val="0"/>
          <w:i w:val="0"/>
          <w:color w:val="59677C"/>
          <w:sz w:val="19"/>
        </w:rPr>
        <w:t>Politechnika Poznańska  •  czerwiec 2026</w:t>
      </w:r>
    </w:p>
    <w:p>
      <w:r>
        <w:br w:type="page"/>
      </w:r>
    </w:p>
    <w:p>
      <w:pPr>
        <w:pStyle w:val="Heading1"/>
      </w:pPr>
      <w:r>
        <w:t>Streszczenie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Celem projektu było wykonanie aplikacji w języku C#, która prowadzi studenta przez ćwiczenie laboratoryjne, prezentuje czytelnie złożone wzory, kontroluje kompletność danych i automatyzuje obliczenia. Zastosowano Avalonia UI, dzięki czemu rozwiązanie działa na systemach Windows i Linux. Wersja 2.0 obejmuje cztery scenariusze pomiarowe, moduł nauki, rejestr pokrycia przedmiotu, import CSV/MATLAB oraz eksport CSV/DOCX.</w:t>
      </w:r>
    </w:p>
    <w:p>
      <w:pPr>
        <w:spacing w:before="80" w:after="160"/>
        <w:ind w:left="115" w:right="115"/>
        <w:shd w:fill="EDF8F1"/>
        <w:pBdr>
          <w:top w:val="single" w:sz="6" w:space="4" w:color="28734A"/>
          <w:left w:val="single" w:sz="6" w:space="4" w:color="28734A"/>
          <w:bottom w:val="single" w:sz="6" w:space="4" w:color="28734A"/>
          <w:right w:val="single" w:sz="6" w:space="4" w:color="28734A"/>
        </w:pBdr>
      </w:pPr>
      <w:r>
        <w:rPr>
          <w:rFonts w:ascii="Aptos" w:hAnsi="Aptos" w:eastAsia="Aptos"/>
          <w:b/>
          <w:i w:val="0"/>
          <w:color w:val="28734A"/>
          <w:sz w:val="21"/>
        </w:rPr>
        <w:t xml:space="preserve">Rezultat: </w:t>
      </w:r>
      <w:r>
        <w:rPr>
          <w:rFonts w:ascii="Aptos" w:hAnsi="Aptos" w:eastAsia="Aptos"/>
          <w:b w:val="0"/>
          <w:i w:val="0"/>
          <w:color w:val="172033"/>
          <w:sz w:val="21"/>
        </w:rPr>
        <w:t>Powstał działający program z responsywnym interfejsem, czterema kreatorami, siedmioma blokami nauki, wykresami, mapami cieplnymi, obliczeniami niepewności i raportem DOCX.</w:t>
      </w:r>
    </w:p>
    <w:p>
      <w:pPr>
        <w:pStyle w:val="Heading1"/>
      </w:pPr>
      <w:r>
        <w:t>1. Uzasadnienie projektu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Podczas laboratorium student wykonuje wiele powtarzalnych przeliczeń, korzysta z charakterystyk aparatury i musi zachować właściwą kolejność czynności. Błąd przy przepisywaniu danych, pominięcie poprawki lub zastosowanie niewłaściwej jednostki może prowadzić do niepoprawnego sprawozdania. Program pełni rolę asystenta: oddziela pomiar od obliczeń, pokazuje wzór na właściwym etapie oraz umożliwia wyeksportowanie tabeli wynikowej.</w:t>
      </w:r>
    </w:p>
    <w:p>
      <w:pPr>
        <w:pStyle w:val="Heading1"/>
      </w:pPr>
      <w:r>
        <w:t>2. Założenia i wymagania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implementacja w języku C#;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graficzny interfejs prowadzący użytkownika krok po kroku;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działanie na Windows i Linux;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prezentacja wzorów i automatyczne przeliczenia;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walidacja danych wejściowych;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wykresy i podsumowanie wyników;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import danych z plików pomiarowych i eksport tabel oraz raportu;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możliwość dołączania kolejnych scenariuszy laboratoryjnych.</w:t>
      </w:r>
    </w:p>
    <w:p>
      <w:pPr>
        <w:pStyle w:val="Heading1"/>
      </w:pPr>
      <w:r>
        <w:t>3. Wybór technologii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WPF i Windows Forms są silnie związane z systemem Windows. Avalonia UI wykorzystuje podobny model XAML i pozwala zachować język C# oraz wzorzec MVVM, a jednocześnie udostępnia backendy dla Windows i Linuksa. Projekt został ustawiony na .NET 8, czyli wspieraną wersję LTS, zamiast pierwotnego .NET 9.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900"/>
        <w:gridCol w:w="4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Kryterium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Avalonia UI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Wpływ na projekt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Wieloplatformowość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Windows, Linux, macOS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jeden kod interfejsu</w:t>
            </w:r>
          </w:p>
        </w:tc>
      </w:tr>
      <w:tr>
        <w:tc>
          <w:tcPr>
            <w:tcW w:type="dxa" w:w="22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Język i XAML</w:t>
            </w:r>
          </w:p>
        </w:tc>
        <w:tc>
          <w:tcPr>
            <w:tcW w:type="dxa" w:w="29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C# oraz deklaratywny XAML</w:t>
            </w:r>
          </w:p>
        </w:tc>
        <w:tc>
          <w:tcPr>
            <w:tcW w:type="dxa" w:w="42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czytelny podział widok/logika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MVVM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pełne wsparcie wiązań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łatwa walidacja i testowanie</w:t>
            </w:r>
          </w:p>
        </w:tc>
      </w:tr>
      <w:tr>
        <w:tc>
          <w:tcPr>
            <w:tcW w:type="dxa" w:w="22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Dystrybucja</w:t>
            </w:r>
          </w:p>
        </w:tc>
        <w:tc>
          <w:tcPr>
            <w:tcW w:type="dxa" w:w="29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publikacja self-contained</w:t>
            </w:r>
          </w:p>
        </w:tc>
        <w:tc>
          <w:tcPr>
            <w:tcW w:type="dxa" w:w="42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brak wymogu instalacji runtime</w:t>
            </w:r>
          </w:p>
        </w:tc>
      </w:tr>
    </w:tbl>
    <w:p>
      <w:pPr>
        <w:spacing w:after="20"/>
      </w:pPr>
    </w:p>
    <w:p>
      <w:pPr>
        <w:pStyle w:val="Heading1"/>
      </w:pPr>
      <w:r>
        <w:t>4. Organizacja rozwiązania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987516"/>
            <wp:docPr id="1" name="Picture 1" descr="Rysunek 1. Architektura projektu." title="architek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9677C"/>
          <w:sz w:val="17"/>
        </w:rPr>
        <w:t>Rysunek 1. Architektura projektu.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Rozdzielenie warstw ogranicza sprzężenie interfejsu z algorytmami. Wzory są testowane niezależnie od okna programu, a nowy scenariusz można dodać przez utworzenie modeli, usługi obliczeniowej, zestawu ViewModeli i odpowiadających im widoków.</w:t>
      </w:r>
    </w:p>
    <w:p>
      <w:pPr>
        <w:pStyle w:val="Heading1"/>
      </w:pPr>
      <w:r>
        <w:t>5. Zrealizowane scenariusze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795903"/>
            <wp:docPr id="2" name="Picture 2" descr="Rysunek 2. Przebieg czterech kreatorów pomiarowych w wersji 2.0." title="przeplyw scenariusz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zeplyw_scenariusz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9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9677C"/>
          <w:sz w:val="17"/>
        </w:rPr>
        <w:t>Rysunek 2. Przebieg czterech kreatorów pomiarowych w wersji 2.0.</w:t>
      </w:r>
    </w:p>
    <w:p>
      <w:pPr>
        <w:pStyle w:val="Heading2"/>
      </w:pPr>
      <w:r>
        <w:t>5.1. Pomiar przeników między liniami mikropaskowymi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Wybór pasma 1–2 GHz, 2–3 GHz lub 7–8 GHz oraz wprowadzenie NEXT i FEXT.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Konwersja z dB do skali liniowej.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Obliczenie błędu wynikającego z niepewności analizatora.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Obliczenie statystyk, 95% przedziału ufności, wykres i eksport.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|Z|lin = 10^(|Z|dB/20)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Delta Z = |Z|lin · (10^(UD/20) - 1)</w:t>
      </w:r>
    </w:p>
    <w:p>
      <w:pPr>
        <w:pStyle w:val="Heading2"/>
      </w:pPr>
      <w:r>
        <w:t>5.2. Sondy pola bliskiego w analizie emisji promieniowanej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Lista kontrolna stanowiska i zapis temperatury, wilgotności oraz ciśnienia.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Wprowadzenie maksimum mocy dla linii 30 Ω, 50 Ω i 100 Ω w zakresie 100–1000 MHz.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Zastosowanie wzmocnienia K i poprawki sondy Sp oraz obliczenie pola H.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Porównanie charakterystyk, wyznaczenie maksimów, trendów i eksport.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H[dBA/m] = P[dBm] - 30 + 10·log10(50) - K + Sp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uH = √(uP² + uK² + uSp²),    U95 = 2·uH</w:t>
      </w:r>
    </w:p>
    <w:p>
      <w:pPr>
        <w:pStyle w:val="Heading2"/>
      </w:pPr>
      <w:r>
        <w:t>5.3. Emisja promieniowana - poprawka antenowa EN55032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Potwierdzenie odległości 3 m, dwóch polaryzacji i budżetu niepewności.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Wprowadzenie MR, tłumienia kabla IL oraz wysokości anteny dla 30-1000 MHz.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Wyznaczenie poprawki antenowej dipola i korekty dla polaryzacji pionowej.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Porównanie maksymalnego pola E z limitem EN55032 klasy B i eksport.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E[dBµV/m] = MR[dBµV] + AF[dB/m] + IL[dB]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UE = √(UMR² + UAF² + UIL²)</w:t>
      </w:r>
    </w:p>
    <w:p>
      <w:pPr>
        <w:pStyle w:val="Heading2"/>
      </w:pPr>
      <w:r>
        <w:t>5.4. Pomiary propagacyjne DVB-T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Przygotowanie analizatora widma, anteny UHALP i pola pomiarowego 1 m × 1 m.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Wpisanie poziomów dla polaryzacji poziomej i pionowej w 16 punktach.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Przeliczenie ujemnych odczytów na U[µV] oraz pole E.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Wyznaczenie średniej przestrzennej, tolerancji Eav ± T, wykresu i eksportu.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U[µV] = 10^(-L[dB]/20)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E[µV/m] = U[µV] · AF[1/m] · 10^(ac/20)</w:t>
      </w:r>
    </w:p>
    <w:p>
      <w:pPr>
        <w:pStyle w:val="Heading1"/>
      </w:pPr>
      <w:r>
        <w:t>6. Interfejs użytkownika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68694"/>
            <wp:docPr id="3" name="Picture 3" descr="Rysunek 3. Stałe elementy interfejsu programu." title="mapa interfejs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interfejs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9677C"/>
          <w:sz w:val="17"/>
        </w:rPr>
        <w:t>Rysunek 3. Stałe elementy interfejsu programu.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Nagłówek informuje o aktywnym scenariuszu i kroku. Pasek postępu pokazuje pozycję w kreatorze. Środkowy panel ma pionowe przewijanie, formularze zawijają się przy mniejszej szerokości, a tabele przewijają się w obu kierunkach. Równania są składane przez CSharpMath zamiast wyświetlania surowego zapisu. Dolny pasek ma osobny wiersz statusu, dlatego przyciski nie zasłaniają treści.</w:t>
      </w:r>
    </w:p>
    <w:p>
      <w:pPr>
        <w:pStyle w:val="Heading1"/>
      </w:pPr>
      <w:r>
        <w:t>7. Weryfikacja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Kryterium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Kompilacja Release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brak błędów i ostrzeżeń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Uruchomienie okna</w:t>
            </w:r>
          </w:p>
        </w:tc>
        <w:tc>
          <w:tcPr>
            <w:tcW w:type="dxa" w:w="4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proces nie kończy się przedwcześnie</w:t>
            </w:r>
          </w:p>
        </w:tc>
        <w:tc>
          <w:tcPr>
            <w:tcW w:type="dxa" w:w="25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Wzory przeników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wartości referencyjne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Pole H</w:t>
            </w:r>
          </w:p>
        </w:tc>
        <w:tc>
          <w:tcPr>
            <w:tcW w:type="dxa" w:w="4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-99,2603 dBA/m dla przykładu 200 MHz</w:t>
            </w:r>
          </w:p>
        </w:tc>
        <w:tc>
          <w:tcPr>
            <w:tcW w:type="dxa" w:w="25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Niepewność sond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U95≈0,7331 dB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EN55032</w:t>
            </w:r>
          </w:p>
        </w:tc>
        <w:tc>
          <w:tcPr>
            <w:tcW w:type="dxa" w:w="4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AF, korekta pionowa, limit i margines</w:t>
            </w:r>
          </w:p>
        </w:tc>
        <w:tc>
          <w:tcPr>
            <w:tcW w:type="dxa" w:w="25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Propagacja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konwersja odczytów, AF, Eav ± 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Nawigacja</w:t>
            </w:r>
          </w:p>
        </w:tc>
        <w:tc>
          <w:tcPr>
            <w:tcW w:type="dxa" w:w="4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pełne przejście czterech kreatorów</w:t>
            </w:r>
          </w:p>
        </w:tc>
        <w:tc>
          <w:tcPr>
            <w:tcW w:type="dxa" w:w="25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Import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CSV czterech scenariuszy i plik MATLAB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Eksport</w:t>
            </w:r>
          </w:p>
        </w:tc>
        <w:tc>
          <w:tcPr>
            <w:tcW w:type="dxa" w:w="4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wymagane sekcje CSV i raport DOCX</w:t>
            </w:r>
          </w:p>
        </w:tc>
        <w:tc>
          <w:tcPr>
            <w:tcW w:type="dxa" w:w="25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UI 820 × 600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brak kolizji przycisków/tekstów i widoczne wzory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spełnione</w:t>
            </w:r>
          </w:p>
        </w:tc>
      </w:tr>
    </w:tbl>
    <w:p>
      <w:pPr>
        <w:spacing w:after="20"/>
      </w:pPr>
    </w:p>
    <w:p>
      <w:pPr>
        <w:pStyle w:val="Heading1"/>
      </w:pPr>
      <w:r>
        <w:t>8. Wieloplatformowość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Projekt można opublikować jako samowystarczalną paczkę win-x64 lub linux-x64. Rozwiązanie nie wykorzystuje WPF, rejestru Windows ani innych mechanizmów specyficznych dla jednego systemu. Zapis plików odbywa się przez wieloplatformowy interfejs Avalonia StorageProvider.</w:t>
      </w:r>
    </w:p>
    <w:p>
      <w:pPr>
        <w:spacing w:before="80" w:after="160"/>
        <w:ind w:left="115" w:right="115"/>
        <w:shd w:fill="FFF3E8"/>
        <w:pBdr>
          <w:top w:val="single" w:sz="6" w:space="4" w:color="C2410C"/>
          <w:left w:val="single" w:sz="6" w:space="4" w:color="C2410C"/>
          <w:bottom w:val="single" w:sz="6" w:space="4" w:color="C2410C"/>
          <w:right w:val="single" w:sz="6" w:space="4" w:color="C2410C"/>
        </w:pBdr>
      </w:pPr>
      <w:r>
        <w:rPr>
          <w:rFonts w:ascii="Aptos" w:hAnsi="Aptos" w:eastAsia="Aptos"/>
          <w:b/>
          <w:i w:val="0"/>
          <w:color w:val="C2410C"/>
          <w:sz w:val="21"/>
        </w:rPr>
        <w:t xml:space="preserve">Granica zgodności: </w:t>
      </w:r>
      <w:r>
        <w:rPr>
          <w:rFonts w:ascii="Aptos" w:hAnsi="Aptos" w:eastAsia="Aptos"/>
          <w:b w:val="0"/>
          <w:i w:val="0"/>
          <w:color w:val="172033"/>
          <w:sz w:val="21"/>
        </w:rPr>
        <w:t>Ze względu na wymagania .NET 8 aplikacja jest przeznaczona dla Windows 10/11. Windows 7 i Windows 8.1 nie są wspieranymi systemami docelowymi.</w:t>
      </w:r>
    </w:p>
    <w:p>
      <w:pPr>
        <w:pStyle w:val="Heading1"/>
      </w:pPr>
      <w:r>
        <w:t>9. Wartość dydaktyczna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wymuszenie poprawnej kolejności działań laboratoryjnych;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jawna prezentacja wzorów przed pokazaniem wyniku;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oddzielenie danych surowych od danych skorygowanych;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ułatwienie analizy niepewności i porównania serii;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ograniczenie błędów rachunkowych i jednostkowych;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możliwość wykorzystania eksportu jako podstawy tabel w sprawozdaniu.</w:t>
      </w:r>
    </w:p>
    <w:p>
      <w:pPr>
        <w:pStyle w:val="Heading1"/>
      </w:pPr>
      <w:r>
        <w:t>10. Ograniczenia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Program nie zastępuje oceny metrologicznej ani instrukcji obsługi aparatury. Domyślne współczynniki i niepewności należy weryfikować dla konkretnego stanowiska. Dwa ćwiczenia z sylabusa nie zostały zaimplementowane bez źródeł proceduralnych. Scenariusz propagacyjny pozostaje oznaczony jako wymagający zatwierdzenia względem oryginalnej instrukcji. Sesja nie jest zapisywana w formacie projektu.</w:t>
      </w:r>
    </w:p>
    <w:p>
      <w:pPr>
        <w:pStyle w:val="Heading1"/>
      </w:pPr>
      <w:r>
        <w:t>11. Możliwości dalszego rozwoju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bezpośrednia komunikacja z analizatorem lub miernikiem;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dodatkowe profile aparatury z plików kalibracyjnych;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eksport raportu również do PDF;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zapis i ponowne otwieranie sesji pomiarowej;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wdrożenie dwóch brakujących laboratoriów po otrzymaniu instrukcji;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uzupełnienie modułu nauki po otrzymaniu wykładów cz02 i cz07.</w:t>
      </w:r>
    </w:p>
    <w:p>
      <w:pPr>
        <w:pStyle w:val="Heading1"/>
      </w:pPr>
      <w:r>
        <w:t>12. Wnioski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Zrealizowano wymagany program w języku C# z wieloplatformowym interfejsem graficznym. Kreatory nie ograniczają się do kalkulatora: prowadzą przez przygotowanie pomiaru, kontrolują dane, prezentują podstawę matematyczną i tworzą wynik gotowy do dalszej analizy. Architektura MVVM i wydzielenie usług obliczeniowych umożliwiają rozszerzanie aplikacji bez przebudowy istniejących scenariuszy.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59677C"/>
        <w:sz w:val="17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i w:val="0"/>
        <w:color w:val="59677C"/>
        <w:sz w:val="17"/>
      </w:rPr>
      <w:t>EMC Lab Assistant  |  Raport projektowy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75D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967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projektowy</dc:title>
  <dc:subject>EMC Lab Assistant</dc:subject>
  <dc:creator>Adam Kubiś</dc:creator>
  <cp:keywords>C#, Avalonia UI, EMC, kompatybilność elektromagnetyczna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