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ptos" w:hAnsi="Aptos" w:eastAsia="Aptos"/>
          <w:b/>
          <w:i w:val="0"/>
          <w:color w:val="275DDB"/>
          <w:sz w:val="20"/>
        </w:rPr>
        <w:t>KOMPATYBILNOŚĆ ELEKTROMAGNETYCZNA</w:t>
      </w:r>
    </w:p>
    <w:p>
      <w:pPr>
        <w:pStyle w:val="Title"/>
        <w:jc w:val="center"/>
      </w:pPr>
      <w:r>
        <w:t>Instrukcja użytkowania</w:t>
      </w:r>
    </w:p>
    <w:p>
      <w:pPr>
        <w:pStyle w:val="Subtitle"/>
        <w:jc w:val="center"/>
      </w:pPr>
      <w:r>
        <w:t>Obsługa programu EMC Lab Assistant krok po kroku</w:t>
      </w:r>
    </w:p>
    <w:p>
      <w:pPr>
        <w:spacing w:before="200"/>
        <w:jc w:val="center"/>
      </w:pPr>
      <w:r>
        <w:rPr>
          <w:rFonts w:ascii="Aptos" w:hAnsi="Aptos" w:eastAsia="Aptos"/>
          <w:b/>
          <w:i w:val="0"/>
          <w:color w:val="C2410C"/>
          <w:sz w:val="20"/>
        </w:rPr>
        <w:t>PODRĘCZNIK UŻYTKOWNIKA</w:t>
      </w:r>
    </w:p>
    <w:p>
      <w:pPr>
        <w:spacing w:after="640"/>
      </w:pPr>
    </w:p>
    <w:p>
      <w:pPr>
        <w:spacing w:after="60"/>
        <w:ind w:left="1512" w:right="1080"/>
      </w:pPr>
      <w:r>
        <w:rPr>
          <w:rFonts w:ascii="Aptos" w:hAnsi="Aptos" w:eastAsia="Aptos"/>
          <w:b/>
          <w:i w:val="0"/>
          <w:color w:val="172B4D"/>
          <w:sz w:val="19"/>
        </w:rPr>
        <w:t xml:space="preserve">Program: </w:t>
      </w:r>
      <w:r>
        <w:rPr>
          <w:rFonts w:ascii="Aptos" w:hAnsi="Aptos" w:eastAsia="Aptos"/>
          <w:b w:val="0"/>
          <w:i w:val="0"/>
          <w:color w:val="172033"/>
          <w:sz w:val="19"/>
        </w:rPr>
        <w:t>EMC Lab Assistant</w:t>
      </w:r>
    </w:p>
    <w:p>
      <w:pPr>
        <w:spacing w:after="60"/>
        <w:ind w:left="1512" w:right="1080"/>
      </w:pPr>
      <w:r>
        <w:rPr>
          <w:rFonts w:ascii="Aptos" w:hAnsi="Aptos" w:eastAsia="Aptos"/>
          <w:b/>
          <w:i w:val="0"/>
          <w:color w:val="172B4D"/>
          <w:sz w:val="19"/>
        </w:rPr>
        <w:t xml:space="preserve">Wersja: </w:t>
      </w:r>
      <w:r>
        <w:rPr>
          <w:rFonts w:ascii="Aptos" w:hAnsi="Aptos" w:eastAsia="Aptos"/>
          <w:b w:val="0"/>
          <w:i w:val="0"/>
          <w:color w:val="172033"/>
          <w:sz w:val="19"/>
        </w:rPr>
        <w:t>2.0</w:t>
      </w:r>
    </w:p>
    <w:p>
      <w:pPr>
        <w:spacing w:after="60"/>
        <w:ind w:left="1512" w:right="1080"/>
      </w:pPr>
      <w:r>
        <w:rPr>
          <w:rFonts w:ascii="Aptos" w:hAnsi="Aptos" w:eastAsia="Aptos"/>
          <w:b/>
          <w:i w:val="0"/>
          <w:color w:val="172B4D"/>
          <w:sz w:val="19"/>
        </w:rPr>
        <w:t xml:space="preserve">Odbiorca: </w:t>
      </w:r>
      <w:r>
        <w:rPr>
          <w:rFonts w:ascii="Aptos" w:hAnsi="Aptos" w:eastAsia="Aptos"/>
          <w:b w:val="0"/>
          <w:i w:val="0"/>
          <w:color w:val="172033"/>
          <w:sz w:val="19"/>
        </w:rPr>
        <w:t>Student wykonujący ćwiczenie laboratoryjne</w:t>
      </w:r>
    </w:p>
    <w:p>
      <w:pPr>
        <w:spacing w:after="60"/>
        <w:ind w:left="1512" w:right="1080"/>
      </w:pPr>
      <w:r>
        <w:rPr>
          <w:rFonts w:ascii="Aptos" w:hAnsi="Aptos" w:eastAsia="Aptos"/>
          <w:b/>
          <w:i w:val="0"/>
          <w:color w:val="172B4D"/>
          <w:sz w:val="19"/>
        </w:rPr>
        <w:t xml:space="preserve">Moduły: </w:t>
      </w:r>
      <w:r>
        <w:rPr>
          <w:rFonts w:ascii="Aptos" w:hAnsi="Aptos" w:eastAsia="Aptos"/>
          <w:b w:val="0"/>
          <w:i w:val="0"/>
          <w:color w:val="172033"/>
          <w:sz w:val="19"/>
        </w:rPr>
        <w:t>4 kreatory; nauka; rejestr pokrycia materiału</w:t>
      </w:r>
    </w:p>
    <w:p>
      <w:pPr>
        <w:spacing w:after="60"/>
        <w:ind w:left="1512" w:right="1080"/>
      </w:pPr>
      <w:r>
        <w:rPr>
          <w:rFonts w:ascii="Aptos" w:hAnsi="Aptos" w:eastAsia="Aptos"/>
          <w:b/>
          <w:i w:val="0"/>
          <w:color w:val="172B4D"/>
          <w:sz w:val="19"/>
        </w:rPr>
        <w:t xml:space="preserve">System: </w:t>
      </w:r>
      <w:r>
        <w:rPr>
          <w:rFonts w:ascii="Aptos" w:hAnsi="Aptos" w:eastAsia="Aptos"/>
          <w:b w:val="0"/>
          <w:i w:val="0"/>
          <w:color w:val="172033"/>
          <w:sz w:val="19"/>
        </w:rPr>
        <w:t>Windows 10/11 lub Linux x64</w:t>
      </w:r>
    </w:p>
    <w:p>
      <w:pPr>
        <w:spacing w:after="60"/>
        <w:ind w:left="1512" w:right="1080"/>
      </w:pPr>
      <w:r>
        <w:rPr>
          <w:rFonts w:ascii="Aptos" w:hAnsi="Aptos" w:eastAsia="Aptos"/>
          <w:b/>
          <w:i w:val="0"/>
          <w:color w:val="172B4D"/>
          <w:sz w:val="19"/>
        </w:rPr>
        <w:t xml:space="preserve">Autor: </w:t>
      </w:r>
      <w:r>
        <w:rPr>
          <w:rFonts w:ascii="Aptos" w:hAnsi="Aptos" w:eastAsia="Aptos"/>
          <w:b w:val="0"/>
          <w:i w:val="0"/>
          <w:color w:val="172033"/>
          <w:sz w:val="19"/>
        </w:rPr>
        <w:t>Adam Kubiś</w:t>
      </w:r>
    </w:p>
    <w:p>
      <w:pPr>
        <w:spacing w:before="1200"/>
        <w:jc w:val="center"/>
      </w:pPr>
      <w:r>
        <w:rPr>
          <w:rFonts w:ascii="Aptos" w:hAnsi="Aptos" w:eastAsia="Aptos"/>
          <w:b w:val="0"/>
          <w:i w:val="0"/>
          <w:color w:val="59677C"/>
          <w:sz w:val="19"/>
        </w:rPr>
        <w:t>Politechnika Poznańska  •  czerwiec 2026</w:t>
      </w:r>
    </w:p>
    <w:p>
      <w:r>
        <w:br w:type="page"/>
      </w:r>
    </w:p>
    <w:p>
      <w:pPr>
        <w:pStyle w:val="Heading1"/>
      </w:pPr>
      <w:r>
        <w:t>1. Szybki start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Uruchom plik programu odpowiedni dla swojego systemu.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Na ekranie startowym wybierz ćwiczenie.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Wykonuj polecenia widoczne w kolejnych krokach.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Po uzupełnieniu tabeli wybierz Dalej.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Na ostatnim ekranie sprawdź wykres i użyj Eksportuj CSV lub Eksportuj DOCX.</w:t>
      </w:r>
    </w:p>
    <w:p>
      <w:pPr>
        <w:spacing w:before="80" w:after="160"/>
        <w:ind w:left="115" w:right="115"/>
        <w:shd w:fill="EAF1FF"/>
        <w:pBdr>
          <w:top w:val="single" w:sz="6" w:space="4" w:color="275DDB"/>
          <w:left w:val="single" w:sz="6" w:space="4" w:color="275DDB"/>
          <w:bottom w:val="single" w:sz="6" w:space="4" w:color="275DDB"/>
          <w:right w:val="single" w:sz="6" w:space="4" w:color="275DDB"/>
        </w:pBdr>
      </w:pPr>
      <w:r>
        <w:rPr>
          <w:rFonts w:ascii="Aptos" w:hAnsi="Aptos" w:eastAsia="Aptos"/>
          <w:b/>
          <w:i w:val="0"/>
          <w:color w:val="275DDB"/>
          <w:sz w:val="21"/>
        </w:rPr>
        <w:t xml:space="preserve">Ważne: </w:t>
      </w:r>
      <w:r>
        <w:rPr>
          <w:rFonts w:ascii="Aptos" w:hAnsi="Aptos" w:eastAsia="Aptos"/>
          <w:b w:val="0"/>
          <w:i w:val="0"/>
          <w:color w:val="172033"/>
          <w:sz w:val="21"/>
        </w:rPr>
        <w:t>Przycisk Dalej jest nieaktywny, dopóki wszystkie wymagane pola nie są poprawnie uzupełnione.</w:t>
      </w:r>
    </w:p>
    <w:p>
      <w:pPr>
        <w:pStyle w:val="Heading1"/>
      </w:pPr>
      <w:r>
        <w:t>2. Wymagania i uruchomienie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Wariant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Sposób uruchomienia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Paczka samowystarczalna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Uruchom CrosstalkAnalyzer.exe w Windows albo plik CrosstalkAnalyzer w Linux.</w:t>
            </w:r>
          </w:p>
        </w:tc>
      </w:tr>
      <w:tr>
        <w:tc>
          <w:tcPr>
            <w:tcW w:type="dxa" w:w="2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Kod źródłowy</w:t>
            </w:r>
          </w:p>
        </w:tc>
        <w:tc>
          <w:tcPr>
            <w:tcW w:type="dxa" w:w="66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W katalogu projektu wykonaj polecenie: dotnet run.</w:t>
            </w:r>
          </w:p>
        </w:tc>
      </w:tr>
    </w:tbl>
    <w:p>
      <w:pPr>
        <w:spacing w:after="20"/>
      </w:pPr>
    </w:p>
    <w:p>
      <w:r>
        <w:rPr>
          <w:rFonts w:ascii="Aptos" w:hAnsi="Aptos" w:eastAsia="Aptos"/>
          <w:b w:val="0"/>
          <w:i w:val="0"/>
          <w:color w:val="172033"/>
          <w:sz w:val="21"/>
        </w:rPr>
        <w:t>Program zapisuje wyłącznie pliki wybrane przez użytkownika. Nie wymaga połączenia z Internetem i nie wysyła danych pomiarowych.</w:t>
      </w:r>
    </w:p>
    <w:p>
      <w:pPr>
        <w:pStyle w:val="Heading1"/>
      </w:pPr>
      <w:r>
        <w:t>3. Układ okna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268694"/>
            <wp:docPr id="1" name="Picture 1" descr="Rysunek 1. Rozmieszczenie najważniejszych elementów." title="mapa interfejs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interfejs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68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 w:eastAsia="Aptos"/>
          <w:b w:val="0"/>
          <w:i/>
          <w:color w:val="59677C"/>
          <w:sz w:val="17"/>
        </w:rPr>
        <w:t>Rysunek 1. Rozmieszczenie najważniejszych elementów.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Element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Znaczenie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Nagłówek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Nazwa kroku, scenariusza oraz krótka instrukcja.</w:t>
            </w:r>
          </w:p>
        </w:tc>
      </w:tr>
      <w:tr>
        <w:tc>
          <w:tcPr>
            <w:tcW w:type="dxa" w:w="23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Pasek postępu</w:t>
            </w:r>
          </w:p>
        </w:tc>
        <w:tc>
          <w:tcPr>
            <w:tcW w:type="dxa" w:w="70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Pozycja od 1 do 4 w bieżącym scenariuszu.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Obszar roboczy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Lista kontrolna, tabela danych, wzór, wyniki lub wykres.</w:t>
            </w:r>
          </w:p>
        </w:tc>
      </w:tr>
      <w:tr>
        <w:tc>
          <w:tcPr>
            <w:tcW w:type="dxa" w:w="23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Wstecz</w:t>
            </w:r>
          </w:p>
        </w:tc>
        <w:tc>
          <w:tcPr>
            <w:tcW w:type="dxa" w:w="70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Powrót do poprzedniego kroku bez usuwania danych.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Zmień scenariusz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Powrót do listy ćwiczeń.</w:t>
            </w:r>
          </w:p>
        </w:tc>
      </w:tr>
      <w:tr>
        <w:tc>
          <w:tcPr>
            <w:tcW w:type="dxa" w:w="23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Dalej</w:t>
            </w:r>
          </w:p>
        </w:tc>
        <w:tc>
          <w:tcPr>
            <w:tcW w:type="dxa" w:w="70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Przeliczenie danych i przejście do kolejnego kroku.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Eksportuj CSV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Zapis danych do dalszej analizy w arkuszu.</w:t>
            </w:r>
          </w:p>
        </w:tc>
      </w:tr>
      <w:tr>
        <w:tc>
          <w:tcPr>
            <w:tcW w:type="dxa" w:w="23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Eksportuj DOCX</w:t>
            </w:r>
          </w:p>
        </w:tc>
        <w:tc>
          <w:tcPr>
            <w:tcW w:type="dxa" w:w="70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Zapis sformatowanego raportu z równaniami, tabelami i miejscem na wnioski.</w:t>
            </w:r>
          </w:p>
        </w:tc>
      </w:tr>
    </w:tbl>
    <w:p>
      <w:pPr>
        <w:spacing w:after="20"/>
      </w:pPr>
    </w:p>
    <w:p>
      <w:pPr>
        <w:pStyle w:val="Heading1"/>
      </w:pPr>
      <w:r>
        <w:t>4. Wybór scenariusza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Ekran startowy zawiera cztery karty ćwiczeń oraz dwie karty pomocnicze: Nauka i Pokrycie materiału. Wybierz kreator odpowiadający wykonywanemu ćwiczeniu albo moduł pomocniczy. Zmiana modułu jest możliwa w każdej chwili przyciskiem Zmień scenariusz.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795903"/>
            <wp:docPr id="2" name="Picture 2" descr="Rysunek 2. Kolejność kroków w czterech scenariuszach." title="przeplyw scenariusz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zeplyw_scenariusz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 w:eastAsia="Aptos"/>
          <w:b w:val="0"/>
          <w:i/>
          <w:color w:val="59677C"/>
          <w:sz w:val="17"/>
        </w:rPr>
        <w:t>Rysunek 2. Kolejność kroków w czterech scenariuszach.</w:t>
      </w:r>
    </w:p>
    <w:p>
      <w:pPr>
        <w:pStyle w:val="Heading1"/>
      </w:pPr>
      <w:r>
        <w:t>5. Scenariusz: pomiar przeników</w:t>
      </w:r>
    </w:p>
    <w:p>
      <w:pPr>
        <w:pStyle w:val="Heading2"/>
      </w:pPr>
      <w:r>
        <w:t>Krok 1. Dane wejściowe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Wybierz pasmo 1–2 GHz, 2–3 GHz albo 7–8 GHz.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Program utworzy 11 punktów częstotliwości.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Wpisz przenik bliski NEXT i przenik daleki FEXT w dB.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Używaj wartości od -200 dB do 0 dB.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Opcjonalnie wybierz Wstaw dane przykładowe, aby zaprezentować działanie programu.</w:t>
      </w:r>
    </w:p>
    <w:p>
      <w:pPr>
        <w:spacing w:before="80" w:after="160"/>
        <w:ind w:left="115" w:right="115"/>
        <w:shd w:fill="EAF1FF"/>
        <w:pBdr>
          <w:top w:val="single" w:sz="6" w:space="4" w:color="275DDB"/>
          <w:left w:val="single" w:sz="6" w:space="4" w:color="275DDB"/>
          <w:bottom w:val="single" w:sz="6" w:space="4" w:color="275DDB"/>
          <w:right w:val="single" w:sz="6" w:space="4" w:color="275DDB"/>
        </w:pBdr>
      </w:pPr>
      <w:r>
        <w:rPr>
          <w:rFonts w:ascii="Aptos" w:hAnsi="Aptos" w:eastAsia="Aptos"/>
          <w:b/>
          <w:i w:val="0"/>
          <w:color w:val="275DDB"/>
          <w:sz w:val="21"/>
        </w:rPr>
        <w:t xml:space="preserve">Format liczb: </w:t>
      </w:r>
      <w:r>
        <w:rPr>
          <w:rFonts w:ascii="Aptos" w:hAnsi="Aptos" w:eastAsia="Aptos"/>
          <w:b w:val="0"/>
          <w:i w:val="0"/>
          <w:color w:val="172033"/>
          <w:sz w:val="21"/>
        </w:rPr>
        <w:t>Można wpisywać liczby dziesiętne zgodnie z ustawieniami regionalnymi systemu. Wartości przeników są zwykle ujemne.</w:t>
      </w:r>
    </w:p>
    <w:p>
      <w:pPr>
        <w:pStyle w:val="Heading2"/>
      </w:pPr>
      <w:r>
        <w:t>Krok 2. Konwersja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Program pokazuje dane wejściowe i ich odpowiedniki w skali liniowej. Ekran jest tylko do odczytu.</w:t>
      </w:r>
    </w:p>
    <w:p>
      <w:pPr>
        <w:spacing w:before="100" w:after="100"/>
        <w:jc w:val="center"/>
        <w:shd w:fill="F4F6FA"/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</w:pPr>
      <w:r>
        <w:rPr>
          <w:rFonts w:ascii="Cambria Math" w:hAnsi="Cambria Math" w:eastAsia="Cambria Math"/>
          <w:b/>
          <w:i w:val="0"/>
          <w:color w:val="172B4D"/>
          <w:sz w:val="23"/>
        </w:rPr>
        <w:t>|Z|lin = 10^(|Z|dB/20)</w:t>
      </w:r>
    </w:p>
    <w:p>
      <w:pPr>
        <w:pStyle w:val="Heading2"/>
      </w:pPr>
      <w:r>
        <w:t>Krok 3. Błąd analizatora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Sprawdź osobno wartości U NEXT i U FEXT oraz przedziały każdego punktu. Wartości domyślne wynoszą 0,2 dB dla pasm do 3 GHz i 0,3 dB dla pasma 7-8 GHz, ale można je edytować zgodnie ze specyfikacją analizatora.</w:t>
      </w:r>
    </w:p>
    <w:p>
      <w:pPr>
        <w:spacing w:before="100" w:after="100"/>
        <w:jc w:val="center"/>
        <w:shd w:fill="F4F6FA"/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</w:pPr>
      <w:r>
        <w:rPr>
          <w:rFonts w:ascii="Cambria Math" w:hAnsi="Cambria Math" w:eastAsia="Cambria Math"/>
          <w:b/>
          <w:i w:val="0"/>
          <w:color w:val="172B4D"/>
          <w:sz w:val="23"/>
        </w:rPr>
        <w:t>Delta Z = |Z|lin · (10^(UD/20) - 1)</w:t>
      </w:r>
    </w:p>
    <w:p>
      <w:pPr>
        <w:pStyle w:val="Heading2"/>
      </w:pPr>
      <w:r>
        <w:t>Krok 4. Podsumowanie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Ekran zawiera statystyki NEXT/FEXT oraz wykres przebiegów. Przedział ufności dotyczy średniej z punktów w wybranym paśmie.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Nowe badanie - czyści dane i wraca do pierwszego kroku.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Eksportuj CSV - zapisuje punkty, błędy, granice oraz statystyki.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Eksportuj DOCX - tworzy raport gotowy do uzupełnienia wniosków.</w:t>
      </w:r>
    </w:p>
    <w:p>
      <w:pPr>
        <w:pStyle w:val="Heading1"/>
      </w:pPr>
      <w:r>
        <w:t>6. Scenariusz: sondy pola bliskiego</w:t>
      </w:r>
    </w:p>
    <w:p>
      <w:pPr>
        <w:pStyle w:val="Heading2"/>
      </w:pPr>
      <w:r>
        <w:t>Krok 1. Przygotowanie stanowiska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Połącz sondę R&amp;S H 400-1 przez wzmacniacz z miernikiem mocy.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Ustaw generator na sygnał niemodulowany i moc 10 dBm.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Ustaw w mierniku częstotliwość zgodną z generatorem.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Zapisz temperaturę, wilgotność i ciśnienie.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Zaznacz wszystkie pozycje listy kontrolnej.</w:t>
      </w:r>
    </w:p>
    <w:p>
      <w:pPr>
        <w:spacing w:before="80" w:after="160"/>
        <w:ind w:left="115" w:right="115"/>
        <w:shd w:fill="FFF3E8"/>
        <w:pBdr>
          <w:top w:val="single" w:sz="6" w:space="4" w:color="C2410C"/>
          <w:left w:val="single" w:sz="6" w:space="4" w:color="C2410C"/>
          <w:bottom w:val="single" w:sz="6" w:space="4" w:color="C2410C"/>
          <w:right w:val="single" w:sz="6" w:space="4" w:color="C2410C"/>
        </w:pBdr>
      </w:pPr>
      <w:r>
        <w:rPr>
          <w:rFonts w:ascii="Aptos" w:hAnsi="Aptos" w:eastAsia="Aptos"/>
          <w:b/>
          <w:i w:val="0"/>
          <w:color w:val="C2410C"/>
          <w:sz w:val="21"/>
        </w:rPr>
        <w:t xml:space="preserve">Technika pomiaru: </w:t>
      </w:r>
      <w:r>
        <w:rPr>
          <w:rFonts w:ascii="Aptos" w:hAnsi="Aptos" w:eastAsia="Aptos"/>
          <w:b w:val="0"/>
          <w:i w:val="0"/>
          <w:color w:val="172033"/>
          <w:sz w:val="21"/>
        </w:rPr>
        <w:t>Pętlę sondy przystaw ściśle do kabla. Przesuwaj ją wzdłuż całego kabla i obracaj tak, aby znaleźć maksimum globalne.</w:t>
      </w:r>
    </w:p>
    <w:p>
      <w:pPr>
        <w:pStyle w:val="Heading2"/>
      </w:pPr>
      <w:r>
        <w:t>Krok 2. Pomiary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Dla częstotliwości 100–1000 MHz wpisz moc P w dBm dla linii 30 Ω, 50 Ω i 100 Ω. Kolumny K i Sp są wypełnione wartościami odczytanymi z materiałów ćwiczenia, ale pozostają edytowalne.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Kolumna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Co wpisać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 - 30 Ω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Maksimum wskazania dla płytki 30 Ω.</w:t>
            </w:r>
          </w:p>
        </w:tc>
      </w:tr>
      <w:tr>
        <w:tc>
          <w:tcPr>
            <w:tcW w:type="dxa" w:w="2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 - 50 Ω</w:t>
            </w:r>
          </w:p>
        </w:tc>
        <w:tc>
          <w:tcPr>
            <w:tcW w:type="dxa" w:w="67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Maksimum wskazania dla płytki 50 Ω.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 - 100 Ω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Maksimum wskazania dla płytki 100 Ω.</w:t>
            </w:r>
          </w:p>
        </w:tc>
      </w:tr>
      <w:tr>
        <w:tc>
          <w:tcPr>
            <w:tcW w:type="dxa" w:w="2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K</w:t>
            </w:r>
          </w:p>
        </w:tc>
        <w:tc>
          <w:tcPr>
            <w:tcW w:type="dxa" w:w="67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Wzmocnienie toru pomiarowego w dB.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Sp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Poprawka sondy pola bliskiego w dB.</w:t>
            </w:r>
          </w:p>
        </w:tc>
      </w:tr>
    </w:tbl>
    <w:p>
      <w:pPr>
        <w:spacing w:after="20"/>
      </w:pPr>
    </w:p>
    <w:p>
      <w:pPr>
        <w:spacing w:before="80" w:after="160"/>
        <w:ind w:left="115" w:right="115"/>
        <w:shd w:fill="FFF3E8"/>
        <w:pBdr>
          <w:top w:val="single" w:sz="6" w:space="4" w:color="C2410C"/>
          <w:left w:val="single" w:sz="6" w:space="4" w:color="C2410C"/>
          <w:bottom w:val="single" w:sz="6" w:space="4" w:color="C2410C"/>
          <w:right w:val="single" w:sz="6" w:space="4" w:color="C2410C"/>
        </w:pBdr>
      </w:pPr>
      <w:r>
        <w:rPr>
          <w:rFonts w:ascii="Aptos" w:hAnsi="Aptos" w:eastAsia="Aptos"/>
          <w:b/>
          <w:i w:val="0"/>
          <w:color w:val="C2410C"/>
          <w:sz w:val="21"/>
        </w:rPr>
        <w:t xml:space="preserve">Dane przykładowe: </w:t>
      </w:r>
      <w:r>
        <w:rPr>
          <w:rFonts w:ascii="Aptos" w:hAnsi="Aptos" w:eastAsia="Aptos"/>
          <w:b w:val="0"/>
          <w:i w:val="0"/>
          <w:color w:val="172033"/>
          <w:sz w:val="21"/>
        </w:rPr>
        <w:t>Przycisk służy do demonstracji i testowania programu. Przed przygotowaniem sprawozdania zastąp te wartości własnymi pomiarami.</w:t>
      </w:r>
    </w:p>
    <w:p>
      <w:pPr>
        <w:pStyle w:val="Heading2"/>
      </w:pPr>
      <w:r>
        <w:t>Krok 3. Pole H i niepewność</w:t>
      </w:r>
    </w:p>
    <w:p>
      <w:pPr>
        <w:spacing w:before="100" w:after="100"/>
        <w:jc w:val="center"/>
        <w:shd w:fill="F4F6FA"/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</w:pPr>
      <w:r>
        <w:rPr>
          <w:rFonts w:ascii="Cambria Math" w:hAnsi="Cambria Math" w:eastAsia="Cambria Math"/>
          <w:b/>
          <w:i w:val="0"/>
          <w:color w:val="172B4D"/>
          <w:sz w:val="23"/>
        </w:rPr>
        <w:t>H[dBA/m] = P[dBm] - 30 + 10·log10(50) - K + Sp</w:t>
      </w:r>
    </w:p>
    <w:p>
      <w:pPr>
        <w:spacing w:before="100" w:after="100"/>
        <w:jc w:val="center"/>
        <w:shd w:fill="F4F6FA"/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</w:pPr>
      <w:r>
        <w:rPr>
          <w:rFonts w:ascii="Cambria Math" w:hAnsi="Cambria Math" w:eastAsia="Cambria Math"/>
          <w:b/>
          <w:i w:val="0"/>
          <w:color w:val="172B4D"/>
          <w:sz w:val="23"/>
        </w:rPr>
        <w:t>H[A/m] = 10^(H[dBA/m]/20)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Program pokazuje wyniki dla każdej impedancji oraz 95% przedziały. Budżet obejmuje uP, uK, uSp i edytowalny składnik powtarzalności uRep.</w:t>
      </w:r>
    </w:p>
    <w:p>
      <w:pPr>
        <w:pStyle w:val="Heading2"/>
      </w:pPr>
      <w:r>
        <w:t>Krok 4. Porównanie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Tabela podsumowuje największą wartość H, odpowiadającą częstotliwość oraz oszacowaną szybkość zmian. Wykres umożliwia porównanie linii 30 Ω, 50 Ω i 100 Ω. Pola Obserwacje i Wnioski służą do zapisania analizy dodatkowego nagrania.</w:t>
      </w:r>
    </w:p>
    <w:p>
      <w:pPr>
        <w:spacing w:before="80" w:after="160"/>
        <w:ind w:left="115" w:right="115"/>
        <w:shd w:fill="EAF1FF"/>
        <w:pBdr>
          <w:top w:val="single" w:sz="6" w:space="4" w:color="275DDB"/>
          <w:left w:val="single" w:sz="6" w:space="4" w:color="275DDB"/>
          <w:bottom w:val="single" w:sz="6" w:space="4" w:color="275DDB"/>
          <w:right w:val="single" w:sz="6" w:space="4" w:color="275DDB"/>
        </w:pBdr>
      </w:pPr>
      <w:r>
        <w:rPr>
          <w:rFonts w:ascii="Aptos" w:hAnsi="Aptos" w:eastAsia="Aptos"/>
          <w:b/>
          <w:i w:val="0"/>
          <w:color w:val="275DDB"/>
          <w:sz w:val="21"/>
        </w:rPr>
        <w:t xml:space="preserve">Interpretacja trendu: </w:t>
      </w:r>
      <w:r>
        <w:rPr>
          <w:rFonts w:ascii="Aptos" w:hAnsi="Aptos" w:eastAsia="Aptos"/>
          <w:b w:val="0"/>
          <w:i w:val="0"/>
          <w:color w:val="172033"/>
          <w:sz w:val="21"/>
        </w:rPr>
        <w:t>Wartość dodatnia w kolumnie dB/100 MHz oznacza, że w całym badanym zakresie poziom H ma tendencję rosnącą. Lokalne maksima i spadki nadal mogą występować.</w:t>
      </w:r>
    </w:p>
    <w:p>
      <w:pPr>
        <w:pStyle w:val="Heading1"/>
      </w:pPr>
      <w:r>
        <w:t>7. Scenariusz: emisja promieniowana EN55032</w:t>
      </w:r>
    </w:p>
    <w:p>
      <w:pPr>
        <w:pStyle w:val="Heading2"/>
      </w:pPr>
      <w:r>
        <w:t>Krok 1. Założenia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Potwierdź odległość pomiarową 3 m i zakres 30-1000 MHz.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Zaznacz, że polaryzacja pozioma korzysta ze standardowej poprawki AF.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Zaznacz, że polaryzacja pionowa wymaga korekty geometrycznej.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Sprawdź domyślne niepewności: MR 0,2 dB, AF 0,8 dB, IL 0,2 dB.</w:t>
      </w:r>
    </w:p>
    <w:p>
      <w:pPr>
        <w:spacing w:before="80" w:after="160"/>
        <w:ind w:left="115" w:right="115"/>
        <w:shd w:fill="EAF1FF"/>
        <w:pBdr>
          <w:top w:val="single" w:sz="6" w:space="4" w:color="275DDB"/>
          <w:left w:val="single" w:sz="6" w:space="4" w:color="275DDB"/>
          <w:bottom w:val="single" w:sz="6" w:space="4" w:color="275DDB"/>
          <w:right w:val="single" w:sz="6" w:space="4" w:color="275DDB"/>
        </w:pBdr>
      </w:pPr>
      <w:r>
        <w:rPr>
          <w:rFonts w:ascii="Aptos" w:hAnsi="Aptos" w:eastAsia="Aptos"/>
          <w:b/>
          <w:i w:val="0"/>
          <w:color w:val="275DDB"/>
          <w:sz w:val="21"/>
        </w:rPr>
        <w:t xml:space="preserve">Korekta pionowa: </w:t>
      </w:r>
      <w:r>
        <w:rPr>
          <w:rFonts w:ascii="Aptos" w:hAnsi="Aptos" w:eastAsia="Aptos"/>
          <w:b w:val="0"/>
          <w:i w:val="0"/>
          <w:color w:val="172033"/>
          <w:sz w:val="21"/>
        </w:rPr>
        <w:t>W tym scenariuszu kierunek odbioru dla polaryzacji pionowej nie pokrywa się z maksimum charakterystyki dipola, dlatego program liczy kąt elewacji i dodatkową korektę AF.</w:t>
      </w:r>
    </w:p>
    <w:p>
      <w:pPr>
        <w:pStyle w:val="Heading2"/>
      </w:pPr>
      <w:r>
        <w:t>Krok 2. Dane surowe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W tabeli wpisz tłumienie kabla IL, wskazanie analizatora MR oraz wysokość anteny, przy której odczyt był maksymalny. Dane wpisuje się osobno dla polaryzacji poziomej i pionowej. Przycisk Importuj MAT/CSV odczytuje także strukturę Data z oryginalnych plików MATLAB.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Kolumna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Znaczenie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IL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Tłumienie kabla lub toru pomiarowego w dB.</w:t>
            </w:r>
          </w:p>
        </w:tc>
      </w:tr>
      <w:tr>
        <w:tc>
          <w:tcPr>
            <w:tcW w:type="dxa" w:w="2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MR H / MR V</w:t>
            </w:r>
          </w:p>
        </w:tc>
        <w:tc>
          <w:tcPr>
            <w:tcW w:type="dxa" w:w="67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Odczyt analizatora w dBµV dla polaryzacji poziomej lub pionowej.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h H / h V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Wysokość anteny odbiorczej w metrach.</w:t>
            </w:r>
          </w:p>
        </w:tc>
      </w:tr>
    </w:tbl>
    <w:p>
      <w:pPr>
        <w:spacing w:after="20"/>
      </w:pPr>
    </w:p>
    <w:p>
      <w:pPr>
        <w:pStyle w:val="Heading2"/>
      </w:pPr>
      <w:r>
        <w:t>Krok 3. Poprawka antenowa i pole E</w:t>
      </w:r>
    </w:p>
    <w:p>
      <w:pPr>
        <w:spacing w:before="100" w:after="100"/>
        <w:jc w:val="center"/>
        <w:shd w:fill="F4F6FA"/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</w:pPr>
      <w:r>
        <w:rPr>
          <w:rFonts w:ascii="Cambria Math" w:hAnsi="Cambria Math" w:eastAsia="Cambria Math"/>
          <w:b/>
          <w:i w:val="0"/>
          <w:color w:val="172B4D"/>
          <w:sz w:val="23"/>
        </w:rPr>
        <w:t>AF = 20·log10(9,73 / (λ·√G))</w:t>
      </w:r>
    </w:p>
    <w:p>
      <w:pPr>
        <w:spacing w:before="100" w:after="100"/>
        <w:jc w:val="center"/>
        <w:shd w:fill="F4F6FA"/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</w:pPr>
      <w:r>
        <w:rPr>
          <w:rFonts w:ascii="Cambria Math" w:hAnsi="Cambria Math" w:eastAsia="Cambria Math"/>
          <w:b/>
          <w:i w:val="0"/>
          <w:color w:val="172B4D"/>
          <w:sz w:val="23"/>
        </w:rPr>
        <w:t>E[dBµV/m] = MR[dBµV] + AF[dB/m] + IL[dB]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Ekran pokazuje AF dla polaryzacji poziomej, kąt α, korektę pionową, AF skorygowane oraz pola E dla obu polaryzacji.</w:t>
      </w:r>
    </w:p>
    <w:p>
      <w:pPr>
        <w:pStyle w:val="Heading2"/>
      </w:pPr>
      <w:r>
        <w:t>Krok 4. Limit i margines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Program wybiera większe pole z obu polaryzacji, tworzy 95% przedział ufności i porównuje górną granicę z limitem EN55032 klasy B. Dodatni margines oznacza przekroczenie, a wartość ujemna oznacza zapas.</w:t>
      </w:r>
    </w:p>
    <w:p>
      <w:pPr>
        <w:spacing w:before="80" w:after="160"/>
        <w:ind w:left="115" w:right="115"/>
        <w:shd w:fill="FFF3E8"/>
        <w:pBdr>
          <w:top w:val="single" w:sz="6" w:space="4" w:color="C2410C"/>
          <w:left w:val="single" w:sz="6" w:space="4" w:color="C2410C"/>
          <w:bottom w:val="single" w:sz="6" w:space="4" w:color="C2410C"/>
          <w:right w:val="single" w:sz="6" w:space="4" w:color="C2410C"/>
        </w:pBdr>
      </w:pPr>
      <w:r>
        <w:rPr>
          <w:rFonts w:ascii="Aptos" w:hAnsi="Aptos" w:eastAsia="Aptos"/>
          <w:b/>
          <w:i w:val="0"/>
          <w:color w:val="C2410C"/>
          <w:sz w:val="21"/>
        </w:rPr>
        <w:t xml:space="preserve">Limity: </w:t>
      </w:r>
      <w:r>
        <w:rPr>
          <w:rFonts w:ascii="Aptos" w:hAnsi="Aptos" w:eastAsia="Aptos"/>
          <w:b w:val="0"/>
          <w:i w:val="0"/>
          <w:color w:val="172033"/>
          <w:sz w:val="21"/>
        </w:rPr>
        <w:t>Dla odległości 3 m program przyjmuje 40 dBµV/m w zakresie 30-230 MHz oraz 47 dBµV/m powyżej 230 MHz.</w:t>
      </w:r>
    </w:p>
    <w:p>
      <w:pPr>
        <w:pStyle w:val="Heading1"/>
      </w:pPr>
      <w:r>
        <w:t>8. Scenariusz: pomiary propagacyjne DVB-T</w:t>
      </w:r>
    </w:p>
    <w:p>
      <w:pPr>
        <w:pStyle w:val="Heading2"/>
      </w:pPr>
      <w:r>
        <w:t>Krok 1. Stanowisko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Ustaw analizator widma w zakresie 200 MHz - 1 GHz.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Zidentyfikuj sygnał DVB-T w okolicy 522 MHz.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Przyjmij pole pomiarowe 1 m × 1 m i 16 punktów.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Wybierz profil AF UHALP 9108 albo tryb ręczny oraz właściwą konwencję odczytu: historyczną, dBµV lub dBm/50 Ω.</w:t>
      </w:r>
    </w:p>
    <w:p>
      <w:pPr>
        <w:pStyle w:val="Heading2"/>
      </w:pPr>
      <w:r>
        <w:t>Krok 2. Tabela 16 punktów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Wpisz poziom z analizatora dla polaryzacji poziomej i pionowej. W każdym punkcie należy obrócić antenę w celu znalezienia maksimum.</w:t>
      </w:r>
    </w:p>
    <w:p>
      <w:pPr>
        <w:spacing w:before="80" w:after="160"/>
        <w:ind w:left="115" w:right="115"/>
        <w:shd w:fill="FFF3E8"/>
        <w:pBdr>
          <w:top w:val="single" w:sz="6" w:space="4" w:color="C2410C"/>
          <w:left w:val="single" w:sz="6" w:space="4" w:color="C2410C"/>
          <w:bottom w:val="single" w:sz="6" w:space="4" w:color="C2410C"/>
          <w:right w:val="single" w:sz="6" w:space="4" w:color="C2410C"/>
        </w:pBdr>
      </w:pPr>
      <w:r>
        <w:rPr>
          <w:rFonts w:ascii="Aptos" w:hAnsi="Aptos" w:eastAsia="Aptos"/>
          <w:b/>
          <w:i w:val="0"/>
          <w:color w:val="C2410C"/>
          <w:sz w:val="21"/>
        </w:rPr>
        <w:t xml:space="preserve">Dane przykładowe: </w:t>
      </w:r>
      <w:r>
        <w:rPr>
          <w:rFonts w:ascii="Aptos" w:hAnsi="Aptos" w:eastAsia="Aptos"/>
          <w:b w:val="0"/>
          <w:i w:val="0"/>
          <w:color w:val="172033"/>
          <w:sz w:val="21"/>
        </w:rPr>
        <w:t>Domyślne dane z raportu dotyczą sygnału DVB-T około 522 MHz. Do własnego sprawozdania należy wpisać własne wyniki pomiarów.</w:t>
      </w:r>
    </w:p>
    <w:p>
      <w:pPr>
        <w:pStyle w:val="Heading2"/>
      </w:pPr>
      <w:r>
        <w:t>Krok 3. Przeliczenie na pole E</w:t>
      </w:r>
    </w:p>
    <w:p>
      <w:pPr>
        <w:spacing w:before="100" w:after="100"/>
        <w:jc w:val="center"/>
        <w:shd w:fill="F4F6FA"/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</w:pPr>
      <w:r>
        <w:rPr>
          <w:rFonts w:ascii="Cambria Math" w:hAnsi="Cambria Math" w:eastAsia="Cambria Math"/>
          <w:b/>
          <w:i w:val="0"/>
          <w:color w:val="172B4D"/>
          <w:sz w:val="23"/>
        </w:rPr>
        <w:t>U[µV] = 10^(-L[dB] / 20)</w:t>
      </w:r>
    </w:p>
    <w:p>
      <w:pPr>
        <w:spacing w:before="100" w:after="100"/>
        <w:jc w:val="center"/>
        <w:shd w:fill="F4F6FA"/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</w:pPr>
      <w:r>
        <w:rPr>
          <w:rFonts w:ascii="Cambria Math" w:hAnsi="Cambria Math" w:eastAsia="Cambria Math"/>
          <w:b/>
          <w:i w:val="0"/>
          <w:color w:val="172B4D"/>
          <w:sz w:val="23"/>
        </w:rPr>
        <w:t>E[µV/m] = U[µV] · AF[1/m] · 10^(ac/20)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Program liczy wartości U i E osobno dla obu polaryzacji oraz wskazuje silniejszą polaryzację w każdym punkcie.</w:t>
      </w:r>
    </w:p>
    <w:p>
      <w:pPr>
        <w:pStyle w:val="Heading2"/>
      </w:pPr>
      <w:r>
        <w:t>Krok 4. Średnia i tolerancja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Ostatni ekran pokazuje wynik końcowy w postaci Eav ± T, punkt maksimum, wykres polaryzacji poziomej i pionowej oraz dwie mapy cieplne siatki 4 × 4.</w:t>
      </w:r>
    </w:p>
    <w:p>
      <w:pPr>
        <w:spacing w:before="80" w:after="160"/>
        <w:ind w:left="115" w:right="115"/>
        <w:shd w:fill="EAF1FF"/>
        <w:pBdr>
          <w:top w:val="single" w:sz="6" w:space="4" w:color="275DDB"/>
          <w:left w:val="single" w:sz="6" w:space="4" w:color="275DDB"/>
          <w:bottom w:val="single" w:sz="6" w:space="4" w:color="275DDB"/>
          <w:right w:val="single" w:sz="6" w:space="4" w:color="275DDB"/>
        </w:pBdr>
      </w:pPr>
      <w:r>
        <w:rPr>
          <w:rFonts w:ascii="Aptos" w:hAnsi="Aptos" w:eastAsia="Aptos"/>
          <w:b/>
          <w:i w:val="0"/>
          <w:color w:val="275DDB"/>
          <w:sz w:val="21"/>
        </w:rPr>
        <w:t xml:space="preserve">Interpretacja: </w:t>
      </w:r>
      <w:r>
        <w:rPr>
          <w:rFonts w:ascii="Aptos" w:hAnsi="Aptos" w:eastAsia="Aptos"/>
          <w:b w:val="0"/>
          <w:i w:val="0"/>
          <w:color w:val="172033"/>
          <w:sz w:val="21"/>
        </w:rPr>
        <w:t>Jeżeli polaryzacja pozioma ma wyższy średni poziom pola, jest to zgodne z oczekiwaniem dla sygnału DVB-T nadawanego w polaryzacji poziomej.</w:t>
      </w:r>
    </w:p>
    <w:p>
      <w:pPr>
        <w:pStyle w:val="Heading1"/>
      </w:pPr>
      <w:r>
        <w:t>9. Import i eksport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W kroku danych wybierz Importuj CSV lub Importuj MAT/CSV i wskaż plik.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Sprawdź komunikat importu oraz kompletność tabeli.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Przejdź do czwartego kroku.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Wybierz Eksportuj CSV albo Eksportuj DOCX.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Wskaż katalog i nazwę pliku.</w:t>
      </w:r>
    </w:p>
    <w:p>
      <w:pPr>
        <w:pStyle w:val="ListNumber"/>
        <w:spacing w:after="100"/>
        <w:ind w:left="605" w:hanging="317"/>
      </w:pPr>
      <w:r>
        <w:rPr>
          <w:rFonts w:ascii="Aptos" w:hAnsi="Aptos" w:eastAsia="Aptos"/>
          <w:b w:val="0"/>
          <w:i w:val="0"/>
          <w:color w:val="172033"/>
          <w:sz w:val="21"/>
        </w:rPr>
        <w:t>CSV otwórz w arkuszu, a DOCX w Wordzie albo LibreOffice Writer.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Każdy scenariusz eksportuje dane surowe, wartości pośrednie oraz podsumowanie. Raport DOCX dodaje zastosowane równania, metadane ćwiczenia i miejsce na końcową interpretację.</w:t>
      </w:r>
    </w:p>
    <w:p>
      <w:pPr>
        <w:pStyle w:val="Heading1"/>
      </w:pPr>
      <w:r>
        <w:t>10. Nauka i pokrycie materiału</w:t>
      </w:r>
    </w:p>
    <w:p>
      <w:r>
        <w:rPr>
          <w:rFonts w:ascii="Aptos" w:hAnsi="Aptos" w:eastAsia="Aptos"/>
          <w:b w:val="0"/>
          <w:i w:val="0"/>
          <w:color w:val="172033"/>
          <w:sz w:val="21"/>
        </w:rPr>
        <w:t>Karta Nauka zawiera siedem bloków tematycznych, pytania kontrolne oraz kalkulatory długości fali, prądu pojemnościowego i napięcia indukowanego. Karta Pokrycie materiału pokazuje ćwiczenia i wykłady, których nie można uznać za wdrożone bez dodatkowych źródeł.</w:t>
      </w:r>
    </w:p>
    <w:p>
      <w:pPr>
        <w:spacing w:before="80" w:after="160"/>
        <w:ind w:left="115" w:right="115"/>
        <w:shd w:fill="FFF3E8"/>
        <w:pBdr>
          <w:top w:val="single" w:sz="6" w:space="4" w:color="C2410C"/>
          <w:left w:val="single" w:sz="6" w:space="4" w:color="C2410C"/>
          <w:bottom w:val="single" w:sz="6" w:space="4" w:color="C2410C"/>
          <w:right w:val="single" w:sz="6" w:space="4" w:color="C2410C"/>
        </w:pBdr>
      </w:pPr>
      <w:r>
        <w:rPr>
          <w:rFonts w:ascii="Aptos" w:hAnsi="Aptos" w:eastAsia="Aptos"/>
          <w:b/>
          <w:i w:val="0"/>
          <w:color w:val="C2410C"/>
          <w:sz w:val="21"/>
        </w:rPr>
        <w:t xml:space="preserve">Uwaga: </w:t>
      </w:r>
      <w:r>
        <w:rPr>
          <w:rFonts w:ascii="Aptos" w:hAnsi="Aptos" w:eastAsia="Aptos"/>
          <w:b w:val="0"/>
          <w:i w:val="0"/>
          <w:color w:val="172033"/>
          <w:sz w:val="21"/>
        </w:rPr>
        <w:t>Pozycja Oczekuje na instrukcję nie jest awarią programu. Chroni przed użyciem procedury lub wzoru odtworzonego bez podstawy źródłowej.</w:t>
      </w:r>
    </w:p>
    <w:p>
      <w:pPr>
        <w:pStyle w:val="Heading1"/>
      </w:pPr>
      <w:r>
        <w:t>11. Najczęstsze problemy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3400"/>
        <w:gridCol w:w="38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Objaw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Przyczyna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2B4D"/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Rozwiązanie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Dalej jest nieaktywne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Brakuje danych lub pozycja listy kontrolnej nie jest zaznaczona.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Sprawdź komunikat pod tabelą i wszystkie pola.</w:t>
            </w:r>
          </w:p>
        </w:tc>
      </w:tr>
      <w:tr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Wartość nie zostaje przyjęta</w:t>
            </w:r>
          </w:p>
        </w:tc>
        <w:tc>
          <w:tcPr>
            <w:tcW w:type="dxa" w:w="34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Nieprawidłowy format lub zakres liczby.</w:t>
            </w:r>
          </w:p>
        </w:tc>
        <w:tc>
          <w:tcPr>
            <w:tcW w:type="dxa" w:w="38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Usuń jednostkę z pola; wpisz wyłącznie liczbę.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Wynik wygląda nietypowo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Nieprawidłowy znak K/Sp, AF/IL albo jednostka wejścia.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Sprawdź, czy P jest w dBm, MR w dBµV, a odczyty propagacyjne używają właściwej konwencji.</w:t>
            </w:r>
          </w:p>
        </w:tc>
      </w:tr>
      <w:tr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CSV jest w jednej kolumnie</w:t>
            </w:r>
          </w:p>
        </w:tc>
        <w:tc>
          <w:tcPr>
            <w:tcW w:type="dxa" w:w="34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Arkusz nie rozpoznał separatora.</w:t>
            </w:r>
          </w:p>
        </w:tc>
        <w:tc>
          <w:tcPr>
            <w:tcW w:type="dxa" w:w="38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Zaimportuj plik z separatorem średnikowym.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Import został odrzucony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Brakuje kolumn, punktów lub liczba ma niepoprawny format.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Sprawdź nagłówek i wymaganą liczbę wierszy dla scenariusza.</w:t>
            </w:r>
          </w:p>
        </w:tc>
      </w:tr>
      <w:tr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Nie można zapisać pliku</w:t>
            </w:r>
          </w:p>
        </w:tc>
        <w:tc>
          <w:tcPr>
            <w:tcW w:type="dxa" w:w="34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Brak uprawnień lub plik jest otwarty.</w:t>
            </w:r>
          </w:p>
        </w:tc>
        <w:tc>
          <w:tcPr>
            <w:tcW w:type="dxa" w:w="38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172033"/>
                <w:sz w:val="17"/>
              </w:rPr>
              <w:t>Wybierz inny katalog/nazwę i zamknij plik w arkuszu.</w:t>
            </w:r>
          </w:p>
        </w:tc>
      </w:tr>
    </w:tbl>
    <w:p>
      <w:pPr>
        <w:spacing w:after="20"/>
      </w:pPr>
    </w:p>
    <w:p>
      <w:pPr>
        <w:pStyle w:val="Heading1"/>
      </w:pPr>
      <w:r>
        <w:t>12. Dobre praktyki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Zapisuj CSV i DOCX natychmiast po zakończeniu serii pomiarowej.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Nie traktuj danych przykładowych jako wyników laboratoryjnych.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Przed eksportem sprawdź znaki i jednostki wszystkich współczynników.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Zachowuj stałą orientację sondy albo anteny podczas porównywania serii.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W sprawozdaniu podaj zastosowane wzory i źródła niepewności.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Porównuj wyniki z instrukcją oraz kartą katalogową użytej aparatury.</w:t>
      </w:r>
    </w:p>
    <w:p>
      <w:pPr>
        <w:pStyle w:val="Heading1"/>
      </w:pPr>
      <w:r>
        <w:t>13. Skrócona lista kontrolna przed oddaniem sprawozdania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Użyto własnych danych pomiarowych.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Wartości K, Sp, UD, AF, IL i niepewności zostały zweryfikowane.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Tabela zawiera jednostki.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Wykres ma podpisane osie i legendę.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Podano niepewność i sposób jej obliczenia.</w:t>
      </w:r>
    </w:p>
    <w:p>
      <w:pPr>
        <w:pStyle w:val="ListBullet"/>
        <w:spacing w:after="80" w:line="269" w:lineRule="auto"/>
        <w:ind w:left="518" w:hanging="259"/>
      </w:pPr>
      <w:r>
        <w:rPr>
          <w:rFonts w:ascii="Aptos" w:hAnsi="Aptos" w:eastAsia="Aptos"/>
          <w:b w:val="0"/>
          <w:i w:val="0"/>
          <w:color w:val="172033"/>
          <w:sz w:val="21"/>
        </w:rPr>
        <w:t>Plik CSV albo raport DOCX został zachowany wraz ze sprawozdaniem.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296" w:bottom="1123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b w:val="0"/>
        <w:i w:val="0"/>
        <w:color w:val="59677C"/>
        <w:sz w:val="17"/>
      </w:rPr>
      <w:t xml:space="preserve">Strona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 w:eastAsia="Aptos"/>
        <w:b/>
        <w:i w:val="0"/>
        <w:color w:val="59677C"/>
        <w:sz w:val="17"/>
      </w:rPr>
      <w:t>EMC Lab Assistant  |  Instrukcja użytkownika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3" w:lineRule="auto"/>
    </w:pPr>
    <w:rPr>
      <w:rFonts w:ascii="Aptos" w:hAnsi="Aptos"/>
      <w:color w:val="17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2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275D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72B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2B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" w:hAnsi="Aptos"/>
      <w:b w:val="0"/>
      <w:i/>
      <w:iCs/>
      <w:color w:val="59677C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Instrukcja użytkownika</dc:title>
  <dc:subject>EMC Lab Assistant</dc:subject>
  <dc:creator>Adam Kubiś</dc:creator>
  <cp:keywords>C#, Avalonia UI, EMC, kompatybilność elektromagnetyczna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