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Academic Plagiarism Analysis</w:t>
      </w:r>
    </w:p>
    <w:p>
      <w:r>
        <w:t>Plagiarism detection algorithms play an indispensable role in maintaining academic integrity and intellectual honesty.</w:t>
      </w:r>
    </w:p>
    <w:p>
      <w:r>
        <w:t>By employing robust string matching techniques such as the Knuth-Morris-Pratt and Rabin-Karp algorithms, modern systems can efficiently locate exact phrase duplicates across extensive document corpora.</w:t>
      </w:r>
    </w:p>
    <w:p>
      <w:r>
        <w:t>Furthermore, hash tables enable constant-time lookups for token frequencies, which allows precise calculation of vocabulary overlap and sentence-level similarity scores.</w:t>
      </w:r>
    </w:p>
    <w:p>
      <w:r>
        <w:t>Finally, merge sort algorithms provide deterministic O(N log N) ranking to order multiple candidate submissions based on their computed similarity percentages.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