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4"/>
          <w:szCs w:val="34"/>
        </w:rPr>
        <w:t xml:space="preserve">INCIDENT INVESTIGATION REPORT</w:t>
      </w:r>
    </w:p>
    <w:p>
      <w:pPr>
        <w:spacing w:after="40"/>
        <w:jc w:val="center"/>
      </w:pPr>
      <w:r>
        <w:rPr>
          <w:rFonts w:ascii="Arial" w:cs="Arial" w:eastAsia="Arial" w:hAnsi="Arial"/>
          <w:i/>
          <w:iCs/>
          <w:color w:val="555555"/>
          <w:sz w:val="22"/>
          <w:szCs w:val="22"/>
        </w:rPr>
        <w:t xml:space="preserve">Windows Server Compromise — Unauthorised Access, Persistence &amp; C2 Activity</w:t>
      </w:r>
    </w:p>
    <w:p>
      <w:pPr>
        <w:pBdr>
          <w:bottom w:val="single" w:color="1F3864" w:sz="8" w:space="8"/>
        </w:pBdr>
        <w:spacing w:after="200"/>
        <w:jc w:val="center"/>
      </w:pPr>
      <w:r>
        <w:rPr>
          <w:rFonts w:ascii="Arial" w:cs="Arial" w:eastAsia="Arial" w:hAnsi="Arial"/>
          <w:color w:val="555555"/>
          <w:sz w:val="18"/>
          <w:szCs w:val="18"/>
        </w:rPr>
        <w:t xml:space="preserve">Analyst: Harigovind Valyethu  |  Report Date: July 2026  |  Classification: TLP:CLEAR  |  Source: TryHackMe — Investigating Windows</w:t>
      </w:r>
    </w:p>
    <w:p>
      <w:pPr>
        <w:pStyle w:val="Heading1"/>
        <w:pBdr>
          <w:bottom w:val="single" w:color="1F3864" w:sz="6" w:space="4"/>
        </w:pBdr>
        <w:spacing w:after="120" w:before="320"/>
      </w:pPr>
      <w:r>
        <w:rPr>
          <w:rFonts w:ascii="Arial" w:cs="Arial" w:eastAsia="Arial" w:hAnsi="Arial"/>
          <w:b/>
          <w:bCs/>
          <w:color w:val="1F3864"/>
          <w:sz w:val="26"/>
          <w:szCs w:val="26"/>
        </w:rPr>
        <w:t xml:space="preserve">1. Executive Summary</w:t>
      </w:r>
    </w:p>
    <w:p>
      <w:pPr>
        <w:spacing w:after="120"/>
      </w:pPr>
      <w:r>
        <w:rPr>
          <w:rFonts w:ascii="Arial" w:cs="Arial" w:eastAsia="Arial" w:hAnsi="Arial"/>
          <w:color w:val="222222"/>
          <w:sz w:val="21"/>
          <w:szCs w:val="21"/>
        </w:rPr>
        <w:t xml:space="preserve">This report documents the investigation of a compromised Windows Server 2016 machine. The investigation identified a multi-stage intrusion in which an attacker gained initial access via a web shell uploaded through a misconfigured IIS web server, escalated privileges, established persistence through multiple mechanisms, and maintained remote access via a Command and Control (C2) server.</w:t>
      </w:r>
    </w:p>
    <w:p>
      <w:pPr>
        <w:spacing w:after="120"/>
      </w:pPr>
      <w:r>
        <w:rPr>
          <w:rFonts w:ascii="Arial" w:cs="Arial" w:eastAsia="Arial" w:hAnsi="Arial"/>
          <w:color w:val="222222"/>
          <w:sz w:val="21"/>
          <w:szCs w:val="21"/>
        </w:rPr>
        <w:t xml:space="preserve">The attacker created and elevated unauthorised user accounts, poisoned the local DNS resolver, deployed a Netcat-based reverse shell via a malicious scheduled task, and modified Windows Firewall rules to facilitate ongoing access. The compromise is assessed as deliberate, targeted, and persistent — designed to maintain long-term access rather than cause immediate destructive impact.</w:t>
      </w:r>
    </w:p>
    <w:p>
      <w:pPr>
        <w:spacing w:after="120"/>
      </w:pPr>
      <w:r>
        <w:rPr>
          <w:rFonts w:ascii="Arial" w:cs="Arial" w:eastAsia="Arial" w:hAnsi="Arial"/>
          <w:color w:val="222222"/>
          <w:sz w:val="21"/>
          <w:szCs w:val="21"/>
        </w:rPr>
        <w:t xml:space="preserve">Key findings at a glance:</w:t>
      </w:r>
    </w:p>
    <w:p>
      <w:pPr>
        <w:pStyle w:val="ListParagraph"/>
        <w:numPr>
          <w:ilvl w:val="0"/>
          <w:numId w:val="2"/>
        </w:numPr>
        <w:spacing w:after="60"/>
      </w:pPr>
      <w:r>
        <w:rPr>
          <w:rFonts w:ascii="Arial" w:cs="Arial" w:eastAsia="Arial" w:hAnsi="Arial"/>
          <w:color w:val="222222"/>
          <w:sz w:val="21"/>
          <w:szCs w:val="21"/>
        </w:rPr>
        <w:t xml:space="preserve">Initial access via .jsp web shell uploaded to IIS web server</w:t>
      </w:r>
    </w:p>
    <w:p>
      <w:pPr>
        <w:pStyle w:val="ListParagraph"/>
        <w:numPr>
          <w:ilvl w:val="0"/>
          <w:numId w:val="2"/>
        </w:numPr>
        <w:spacing w:after="60"/>
      </w:pPr>
      <w:r>
        <w:rPr>
          <w:rFonts w:ascii="Arial" w:cs="Arial" w:eastAsia="Arial" w:hAnsi="Arial"/>
          <w:color w:val="222222"/>
          <w:sz w:val="21"/>
          <w:szCs w:val="21"/>
        </w:rPr>
        <w:t xml:space="preserve">Unauthorised accounts Jenny and Guest elevated to Administrators group on 2 March 2019</w:t>
      </w:r>
    </w:p>
    <w:p>
      <w:pPr>
        <w:pStyle w:val="ListParagraph"/>
        <w:numPr>
          <w:ilvl w:val="0"/>
          <w:numId w:val="2"/>
        </w:numPr>
        <w:spacing w:after="60"/>
      </w:pPr>
      <w:r>
        <w:rPr>
          <w:rFonts w:ascii="Arial" w:cs="Arial" w:eastAsia="Arial" w:hAnsi="Arial"/>
          <w:color w:val="222222"/>
          <w:sz w:val="21"/>
          <w:szCs w:val="21"/>
        </w:rPr>
        <w:t xml:space="preserve">Persistence via malicious scheduled task running Netcat listener on port 1348</w:t>
      </w:r>
    </w:p>
    <w:p>
      <w:pPr>
        <w:pStyle w:val="ListParagraph"/>
        <w:numPr>
          <w:ilvl w:val="0"/>
          <w:numId w:val="2"/>
        </w:numPr>
        <w:spacing w:after="60"/>
      </w:pPr>
      <w:r>
        <w:rPr>
          <w:rFonts w:ascii="Arial" w:cs="Arial" w:eastAsia="Arial" w:hAnsi="Arial"/>
          <w:color w:val="222222"/>
          <w:sz w:val="21"/>
          <w:szCs w:val="21"/>
        </w:rPr>
        <w:t xml:space="preserve">Registry-based startup persistence connecting to IP 10.34.2.3 on system boot</w:t>
      </w:r>
    </w:p>
    <w:p>
      <w:pPr>
        <w:pStyle w:val="ListParagraph"/>
        <w:numPr>
          <w:ilvl w:val="0"/>
          <w:numId w:val="2"/>
        </w:numPr>
        <w:spacing w:after="60"/>
      </w:pPr>
      <w:r>
        <w:rPr>
          <w:rFonts w:ascii="Arial" w:cs="Arial" w:eastAsia="Arial" w:hAnsi="Arial"/>
          <w:color w:val="222222"/>
          <w:sz w:val="21"/>
          <w:szCs w:val="21"/>
        </w:rPr>
        <w:t xml:space="preserve">C2 communications to external IP 76.32.97.132</w:t>
      </w:r>
    </w:p>
    <w:p>
      <w:pPr>
        <w:pStyle w:val="ListParagraph"/>
        <w:numPr>
          <w:ilvl w:val="0"/>
          <w:numId w:val="2"/>
        </w:numPr>
        <w:spacing w:after="60"/>
      </w:pPr>
      <w:r>
        <w:rPr>
          <w:rFonts w:ascii="Arial" w:cs="Arial" w:eastAsia="Arial" w:hAnsi="Arial"/>
          <w:color w:val="222222"/>
          <w:sz w:val="21"/>
          <w:szCs w:val="21"/>
        </w:rPr>
        <w:t xml:space="preserve">DNS poisoning targeting google.com to intercept or redirect traffic</w:t>
      </w:r>
    </w:p>
    <w:p>
      <w:pPr>
        <w:pStyle w:val="ListParagraph"/>
        <w:numPr>
          <w:ilvl w:val="0"/>
          <w:numId w:val="2"/>
        </w:numPr>
        <w:spacing w:after="60"/>
      </w:pPr>
      <w:r>
        <w:rPr>
          <w:rFonts w:ascii="Arial" w:cs="Arial" w:eastAsia="Arial" w:hAnsi="Arial"/>
          <w:color w:val="222222"/>
          <w:sz w:val="21"/>
          <w:szCs w:val="21"/>
        </w:rPr>
        <w:t xml:space="preserve">Attacker-created inbound firewall rule permitting traffic on port 1337</w:t>
      </w:r>
    </w:p>
    <w:p>
      <w:pPr>
        <w:pStyle w:val="Heading1"/>
        <w:pBdr>
          <w:bottom w:val="single" w:color="1F3864" w:sz="6" w:space="4"/>
        </w:pBdr>
        <w:spacing w:after="120" w:before="320"/>
      </w:pPr>
      <w:r>
        <w:rPr>
          <w:rFonts w:ascii="Arial" w:cs="Arial" w:eastAsia="Arial" w:hAnsi="Arial"/>
          <w:b/>
          <w:bCs/>
          <w:color w:val="1F3864"/>
          <w:sz w:val="26"/>
          <w:szCs w:val="26"/>
        </w:rPr>
        <w:t xml:space="preserve">2. System Information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300"/>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600"/>
            <w:tcMar>
              <w:top w:type="dxa" w:w="80"/>
              <w:left w:type="dxa" w:w="120"/>
              <w:bottom w:type="dxa" w:w="80"/>
              <w:right w:type="dxa" w:w="120"/>
            </w:tcMar>
          </w:tcPr>
          <w:p>
            <w:r>
              <w:rPr>
                <w:rFonts w:ascii="Arial" w:cs="Arial" w:eastAsia="Arial" w:hAnsi="Arial"/>
                <w:b w:val="false"/>
                <w:bCs w:val="false"/>
                <w:color w:val="222222"/>
                <w:sz w:val="18"/>
                <w:szCs w:val="18"/>
              </w:rPr>
              <w:t xml:space="preserve">Operating System</w:t>
            </w:r>
          </w:p>
        </w:tc>
        <w:tc>
          <w:tcPr>
            <w:tcW w:type="dxa" w:w="7300"/>
            <w:tcMar>
              <w:top w:type="dxa" w:w="80"/>
              <w:left w:type="dxa" w:w="120"/>
              <w:bottom w:type="dxa" w:w="80"/>
              <w:right w:type="dxa" w:w="120"/>
            </w:tcMar>
          </w:tcPr>
          <w:p>
            <w:r>
              <w:rPr>
                <w:rFonts w:ascii="Arial" w:cs="Arial" w:eastAsia="Arial" w:hAnsi="Arial"/>
                <w:b w:val="false"/>
                <w:bCs w:val="false"/>
                <w:color w:val="222222"/>
                <w:sz w:val="18"/>
                <w:szCs w:val="18"/>
              </w:rPr>
              <w:t xml:space="preserve">Windows Server 2016</w:t>
            </w:r>
          </w:p>
        </w:tc>
      </w:tr>
      <w:tr>
        <w:tc>
          <w:tcPr>
            <w:tcW w:type="dxa" w:w="2600"/>
            <w:tcMar>
              <w:top w:type="dxa" w:w="80"/>
              <w:left w:type="dxa" w:w="120"/>
              <w:bottom w:type="dxa" w:w="80"/>
              <w:right w:type="dxa" w:w="120"/>
            </w:tcMar>
          </w:tcPr>
          <w:p>
            <w:r>
              <w:rPr>
                <w:rFonts w:ascii="Arial" w:cs="Arial" w:eastAsia="Arial" w:hAnsi="Arial"/>
                <w:b w:val="false"/>
                <w:bCs w:val="false"/>
                <w:color w:val="222222"/>
                <w:sz w:val="18"/>
                <w:szCs w:val="18"/>
              </w:rPr>
              <w:t xml:space="preserve">Last Logged-In User</w:t>
            </w:r>
          </w:p>
        </w:tc>
        <w:tc>
          <w:tcPr>
            <w:tcW w:type="dxa" w:w="7300"/>
            <w:tcMar>
              <w:top w:type="dxa" w:w="80"/>
              <w:left w:type="dxa" w:w="120"/>
              <w:bottom w:type="dxa" w:w="80"/>
              <w:right w:type="dxa" w:w="120"/>
            </w:tcMar>
          </w:tcPr>
          <w:p>
            <w:r>
              <w:rPr>
                <w:rFonts w:ascii="Consolas" w:cs="Consolas" w:eastAsia="Consolas" w:hAnsi="Consolas"/>
                <w:b w:val="false"/>
                <w:bCs w:val="false"/>
                <w:color w:val="222222"/>
                <w:sz w:val="18"/>
                <w:szCs w:val="18"/>
              </w:rPr>
              <w:t xml:space="preserve">Administrator</w:t>
            </w:r>
          </w:p>
        </w:tc>
      </w:tr>
      <w:tr>
        <w:tc>
          <w:tcPr>
            <w:tcW w:type="dxa" w:w="2600"/>
            <w:tcMar>
              <w:top w:type="dxa" w:w="80"/>
              <w:left w:type="dxa" w:w="120"/>
              <w:bottom w:type="dxa" w:w="80"/>
              <w:right w:type="dxa" w:w="120"/>
            </w:tcMar>
          </w:tcPr>
          <w:p>
            <w:r>
              <w:rPr>
                <w:rFonts w:ascii="Arial" w:cs="Arial" w:eastAsia="Arial" w:hAnsi="Arial"/>
                <w:b w:val="false"/>
                <w:bCs w:val="false"/>
                <w:color w:val="222222"/>
                <w:sz w:val="18"/>
                <w:szCs w:val="18"/>
              </w:rPr>
              <w:t xml:space="preserve">John's Last Logon</w:t>
            </w:r>
          </w:p>
        </w:tc>
        <w:tc>
          <w:tcPr>
            <w:tcW w:type="dxa" w:w="7300"/>
            <w:tcMar>
              <w:top w:type="dxa" w:w="80"/>
              <w:left w:type="dxa" w:w="120"/>
              <w:bottom w:type="dxa" w:w="80"/>
              <w:right w:type="dxa" w:w="120"/>
            </w:tcMar>
          </w:tcPr>
          <w:p>
            <w:r>
              <w:rPr>
                <w:rFonts w:ascii="Consolas" w:cs="Consolas" w:eastAsia="Consolas" w:hAnsi="Consolas"/>
                <w:b w:val="false"/>
                <w:bCs w:val="false"/>
                <w:color w:val="222222"/>
                <w:sz w:val="18"/>
                <w:szCs w:val="18"/>
              </w:rPr>
              <w:t xml:space="preserve">03/02/2019 5:48:32 PM</w:t>
            </w:r>
          </w:p>
        </w:tc>
      </w:tr>
      <w:tr>
        <w:tc>
          <w:tcPr>
            <w:tcW w:type="dxa" w:w="2600"/>
            <w:tcMar>
              <w:top w:type="dxa" w:w="80"/>
              <w:left w:type="dxa" w:w="120"/>
              <w:bottom w:type="dxa" w:w="80"/>
              <w:right w:type="dxa" w:w="120"/>
            </w:tcMar>
          </w:tcPr>
          <w:p>
            <w:r>
              <w:rPr>
                <w:rFonts w:ascii="Arial" w:cs="Arial" w:eastAsia="Arial" w:hAnsi="Arial"/>
                <w:b w:val="false"/>
                <w:bCs w:val="false"/>
                <w:color w:val="222222"/>
                <w:sz w:val="18"/>
                <w:szCs w:val="18"/>
              </w:rPr>
              <w:t xml:space="preserve">Jenny's Last Logon</w:t>
            </w:r>
          </w:p>
        </w:tc>
        <w:tc>
          <w:tcPr>
            <w:tcW w:type="dxa" w:w="7300"/>
            <w:tcMar>
              <w:top w:type="dxa" w:w="80"/>
              <w:left w:type="dxa" w:w="120"/>
              <w:bottom w:type="dxa" w:w="80"/>
              <w:right w:type="dxa" w:w="120"/>
            </w:tcMar>
          </w:tcPr>
          <w:p>
            <w:r>
              <w:rPr>
                <w:rFonts w:ascii="Arial" w:cs="Arial" w:eastAsia="Arial" w:hAnsi="Arial"/>
                <w:b w:val="false"/>
                <w:bCs w:val="false"/>
                <w:color w:val="222222"/>
                <w:sz w:val="18"/>
                <w:szCs w:val="18"/>
              </w:rPr>
              <w:t xml:space="preserve">Never (account created but not legitimately used)</w:t>
            </w:r>
          </w:p>
        </w:tc>
      </w:tr>
      <w:tr>
        <w:tc>
          <w:tcPr>
            <w:tcW w:type="dxa" w:w="2600"/>
            <w:tcMar>
              <w:top w:type="dxa" w:w="80"/>
              <w:left w:type="dxa" w:w="120"/>
              <w:bottom w:type="dxa" w:w="80"/>
              <w:right w:type="dxa" w:w="120"/>
            </w:tcMar>
          </w:tcPr>
          <w:p>
            <w:r>
              <w:rPr>
                <w:rFonts w:ascii="Arial" w:cs="Arial" w:eastAsia="Arial" w:hAnsi="Arial"/>
                <w:b w:val="false"/>
                <w:bCs w:val="false"/>
                <w:color w:val="222222"/>
                <w:sz w:val="18"/>
                <w:szCs w:val="18"/>
              </w:rPr>
              <w:t xml:space="preserve">Web Server</w:t>
            </w:r>
          </w:p>
        </w:tc>
        <w:tc>
          <w:tcPr>
            <w:tcW w:type="dxa" w:w="7300"/>
            <w:tcMar>
              <w:top w:type="dxa" w:w="80"/>
              <w:left w:type="dxa" w:w="120"/>
              <w:bottom w:type="dxa" w:w="80"/>
              <w:right w:type="dxa" w:w="120"/>
            </w:tcMar>
          </w:tcPr>
          <w:p>
            <w:r>
              <w:rPr>
                <w:rFonts w:ascii="Arial" w:cs="Arial" w:eastAsia="Arial" w:hAnsi="Arial"/>
                <w:b w:val="false"/>
                <w:bCs w:val="false"/>
                <w:color w:val="222222"/>
                <w:sz w:val="18"/>
                <w:szCs w:val="18"/>
              </w:rPr>
              <w:t xml:space="preserve">IIS (Internet Information Services)</w:t>
            </w:r>
          </w:p>
        </w:tc>
      </w:tr>
      <w:tr>
        <w:tc>
          <w:tcPr>
            <w:tcW w:type="dxa" w:w="2600"/>
            <w:tcMar>
              <w:top w:type="dxa" w:w="80"/>
              <w:left w:type="dxa" w:w="120"/>
              <w:bottom w:type="dxa" w:w="80"/>
              <w:right w:type="dxa" w:w="120"/>
            </w:tcMar>
          </w:tcPr>
          <w:p>
            <w:r>
              <w:rPr>
                <w:rFonts w:ascii="Arial" w:cs="Arial" w:eastAsia="Arial" w:hAnsi="Arial"/>
                <w:b w:val="false"/>
                <w:bCs w:val="false"/>
                <w:color w:val="222222"/>
                <w:sz w:val="18"/>
                <w:szCs w:val="18"/>
              </w:rPr>
              <w:t xml:space="preserve">Compromise Date</w:t>
            </w:r>
          </w:p>
        </w:tc>
        <w:tc>
          <w:tcPr>
            <w:tcW w:type="dxa" w:w="7300"/>
            <w:tcMar>
              <w:top w:type="dxa" w:w="80"/>
              <w:left w:type="dxa" w:w="120"/>
              <w:bottom w:type="dxa" w:w="80"/>
              <w:right w:type="dxa" w:w="120"/>
            </w:tcMar>
          </w:tcPr>
          <w:p>
            <w:r>
              <w:rPr>
                <w:rFonts w:ascii="Arial" w:cs="Arial" w:eastAsia="Arial" w:hAnsi="Arial"/>
                <w:b w:val="false"/>
                <w:bCs w:val="false"/>
                <w:color w:val="222222"/>
                <w:sz w:val="18"/>
                <w:szCs w:val="18"/>
              </w:rPr>
              <w:t xml:space="preserve">Approximately 2 March 2019</w:t>
            </w:r>
          </w:p>
        </w:tc>
      </w:tr>
      <w:tr>
        <w:tc>
          <w:tcPr>
            <w:tcW w:type="dxa" w:w="2600"/>
            <w:tcMar>
              <w:top w:type="dxa" w:w="80"/>
              <w:left w:type="dxa" w:w="120"/>
              <w:bottom w:type="dxa" w:w="80"/>
              <w:right w:type="dxa" w:w="120"/>
            </w:tcMar>
          </w:tcPr>
          <w:p>
            <w:r>
              <w:rPr>
                <w:rFonts w:ascii="Arial" w:cs="Arial" w:eastAsia="Arial" w:hAnsi="Arial"/>
                <w:b w:val="false"/>
                <w:bCs w:val="false"/>
                <w:color w:val="222222"/>
                <w:sz w:val="18"/>
                <w:szCs w:val="18"/>
              </w:rPr>
              <w:t xml:space="preserve">Verdict</w:t>
            </w:r>
          </w:p>
        </w:tc>
        <w:tc>
          <w:tcPr>
            <w:tcW w:type="dxa" w:w="7300"/>
            <w:tcMar>
              <w:top w:type="dxa" w:w="80"/>
              <w:left w:type="dxa" w:w="120"/>
              <w:bottom w:type="dxa" w:w="80"/>
              <w:right w:type="dxa" w:w="120"/>
            </w:tcMar>
          </w:tcPr>
          <w:p>
            <w:r>
              <w:rPr>
                <w:rFonts w:ascii="Arial" w:cs="Arial" w:eastAsia="Arial" w:hAnsi="Arial"/>
                <w:b w:val="false"/>
                <w:bCs w:val="false"/>
                <w:color w:val="222222"/>
                <w:sz w:val="18"/>
                <w:szCs w:val="18"/>
              </w:rPr>
              <w:t xml:space="preserve">COMPROMISED — Multi-stage intrusion with persistent access</w:t>
            </w:r>
          </w:p>
        </w:tc>
      </w:tr>
    </w:tbl>
    <w:p>
      <w:pPr>
        <w:pStyle w:val="Heading1"/>
        <w:pBdr>
          <w:bottom w:val="single" w:color="1F3864" w:sz="6" w:space="4"/>
        </w:pBdr>
        <w:spacing w:after="120" w:before="320"/>
      </w:pPr>
      <w:r>
        <w:rPr>
          <w:rFonts w:ascii="Arial" w:cs="Arial" w:eastAsia="Arial" w:hAnsi="Arial"/>
          <w:b/>
          <w:bCs/>
          <w:color w:val="1F3864"/>
          <w:sz w:val="26"/>
          <w:szCs w:val="26"/>
        </w:rPr>
        <w:t xml:space="preserve">3. Attack Timeline Reconstruction</w:t>
      </w:r>
    </w:p>
    <w:p>
      <w:pPr>
        <w:spacing w:after="120"/>
      </w:pPr>
      <w:r>
        <w:rPr>
          <w:rFonts w:ascii="Arial" w:cs="Arial" w:eastAsia="Arial" w:hAnsi="Arial"/>
          <w:color w:val="222222"/>
          <w:sz w:val="21"/>
          <w:szCs w:val="21"/>
        </w:rPr>
        <w:t xml:space="preserve">Based on event log analysis, registry examination, scheduled task review, and file system artefacts, the following attack timeline was reconstructed: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c>
          <w:tcPr>
            <w:tcW w:type="dxa" w:w="2400"/>
            <w:shd w:fill="1F3864" w:val="clear"/>
            <w:tcMar>
              <w:top w:type="dxa" w:w="80"/>
              <w:left w:type="dxa" w:w="120"/>
              <w:bottom w:type="dxa" w:w="80"/>
              <w:right w:type="dxa" w:w="120"/>
            </w:tcMar>
          </w:tcPr>
          <w:p>
            <w:r>
              <w:rPr>
                <w:rFonts w:ascii="Arial" w:cs="Arial" w:eastAsia="Arial" w:hAnsi="Arial"/>
                <w:b/>
                <w:bCs/>
                <w:color w:val="FFFFFF"/>
                <w:sz w:val="18"/>
                <w:szCs w:val="18"/>
              </w:rPr>
              <w:t xml:space="preserve">Timestamp</w:t>
            </w:r>
          </w:p>
        </w:tc>
        <w:tc>
          <w:tcPr>
            <w:tcW w:type="dxa" w:w="7500"/>
            <w:shd w:fill="1F3864" w:val="clear"/>
            <w:tcMar>
              <w:top w:type="dxa" w:w="80"/>
              <w:left w:type="dxa" w:w="120"/>
              <w:bottom w:type="dxa" w:w="80"/>
              <w:right w:type="dxa" w:w="120"/>
            </w:tcMar>
          </w:tcPr>
          <w:p>
            <w:r>
              <w:rPr>
                <w:rFonts w:ascii="Arial" w:cs="Arial" w:eastAsia="Arial" w:hAnsi="Arial"/>
                <w:b/>
                <w:bCs/>
                <w:color w:val="FFFFFF"/>
                <w:sz w:val="18"/>
                <w:szCs w:val="18"/>
              </w:rPr>
              <w:t xml:space="preserve">Event</w:t>
            </w:r>
          </w:p>
        </w:tc>
      </w:tr>
      <w:tr>
        <w:tc>
          <w:tcPr>
            <w:tcW w:type="dxa" w:w="2400"/>
            <w:tcMar>
              <w:top w:type="dxa" w:w="80"/>
              <w:left w:type="dxa" w:w="120"/>
              <w:bottom w:type="dxa" w:w="80"/>
              <w:right w:type="dxa" w:w="120"/>
            </w:tcMar>
          </w:tcPr>
          <w:p>
            <w:r>
              <w:rPr>
                <w:rFonts w:ascii="Arial" w:cs="Arial" w:eastAsia="Arial" w:hAnsi="Arial"/>
                <w:b w:val="false"/>
                <w:bCs w:val="false"/>
                <w:color w:val="222222"/>
                <w:sz w:val="18"/>
                <w:szCs w:val="18"/>
              </w:rPr>
              <w:t xml:space="preserve">~Mar 2019 (pre-event)</w:t>
            </w:r>
          </w:p>
        </w:tc>
        <w:tc>
          <w:tcPr>
            <w:tcW w:type="dxa" w:w="7500"/>
            <w:tcMar>
              <w:top w:type="dxa" w:w="80"/>
              <w:left w:type="dxa" w:w="120"/>
              <w:bottom w:type="dxa" w:w="80"/>
              <w:right w:type="dxa" w:w="120"/>
            </w:tcMar>
          </w:tcPr>
          <w:p>
            <w:r>
              <w:rPr>
                <w:rFonts w:ascii="Arial" w:cs="Arial" w:eastAsia="Arial" w:hAnsi="Arial"/>
                <w:b w:val="false"/>
                <w:bCs w:val="false"/>
                <w:color w:val="222222"/>
                <w:sz w:val="18"/>
                <w:szCs w:val="18"/>
              </w:rPr>
              <w:t xml:space="preserve">Attacker identifies IIS web server exposed to internet; exploits file upload misconfiguration to upload .jsp web shell to C:\inetpub\wwwroot</w:t>
            </w:r>
          </w:p>
        </w:tc>
      </w:tr>
      <w:tr>
        <w:tc>
          <w:tcPr>
            <w:tcW w:type="dxa" w:w="2400"/>
            <w:tcMar>
              <w:top w:type="dxa" w:w="80"/>
              <w:left w:type="dxa" w:w="120"/>
              <w:bottom w:type="dxa" w:w="80"/>
              <w:right w:type="dxa" w:w="120"/>
            </w:tcMar>
          </w:tcPr>
          <w:p>
            <w:r>
              <w:rPr>
                <w:rFonts w:ascii="Arial" w:cs="Arial" w:eastAsia="Arial" w:hAnsi="Arial"/>
                <w:b w:val="false"/>
                <w:bCs w:val="false"/>
                <w:color w:val="222222"/>
                <w:sz w:val="18"/>
                <w:szCs w:val="18"/>
              </w:rPr>
              <w:t xml:space="preserve">03/02/2019 04:04:49 PM</w:t>
            </w:r>
          </w:p>
        </w:tc>
        <w:tc>
          <w:tcPr>
            <w:tcW w:type="dxa" w:w="7500"/>
            <w:tcMar>
              <w:top w:type="dxa" w:w="80"/>
              <w:left w:type="dxa" w:w="120"/>
              <w:bottom w:type="dxa" w:w="80"/>
              <w:right w:type="dxa" w:w="120"/>
            </w:tcMar>
          </w:tcPr>
          <w:p>
            <w:r>
              <w:rPr>
                <w:rFonts w:ascii="Arial" w:cs="Arial" w:eastAsia="Arial" w:hAnsi="Arial"/>
                <w:b w:val="false"/>
                <w:bCs w:val="false"/>
                <w:color w:val="222222"/>
                <w:sz w:val="18"/>
                <w:szCs w:val="18"/>
              </w:rPr>
              <w:t xml:space="preserve">Windows assigns special privileges to a new logon — first recorded privilege escalation event</w:t>
            </w:r>
          </w:p>
        </w:tc>
      </w:tr>
      <w:tr>
        <w:tc>
          <w:tcPr>
            <w:tcW w:type="dxa" w:w="2400"/>
            <w:tcMar>
              <w:top w:type="dxa" w:w="80"/>
              <w:left w:type="dxa" w:w="120"/>
              <w:bottom w:type="dxa" w:w="80"/>
              <w:right w:type="dxa" w:w="120"/>
            </w:tcMar>
          </w:tcPr>
          <w:p>
            <w:r>
              <w:rPr>
                <w:rFonts w:ascii="Arial" w:cs="Arial" w:eastAsia="Arial" w:hAnsi="Arial"/>
                <w:b w:val="false"/>
                <w:bCs w:val="false"/>
                <w:color w:val="222222"/>
                <w:sz w:val="18"/>
                <w:szCs w:val="18"/>
              </w:rPr>
              <w:t xml:space="preserve">03/02/2019 (approx)</w:t>
            </w:r>
          </w:p>
        </w:tc>
        <w:tc>
          <w:tcPr>
            <w:tcW w:type="dxa" w:w="7500"/>
            <w:tcMar>
              <w:top w:type="dxa" w:w="80"/>
              <w:left w:type="dxa" w:w="120"/>
              <w:bottom w:type="dxa" w:w="80"/>
              <w:right w:type="dxa" w:w="120"/>
            </w:tcMar>
          </w:tcPr>
          <w:p>
            <w:r>
              <w:rPr>
                <w:rFonts w:ascii="Arial" w:cs="Arial" w:eastAsia="Arial" w:hAnsi="Arial"/>
                <w:b w:val="false"/>
                <w:bCs w:val="false"/>
                <w:color w:val="222222"/>
                <w:sz w:val="18"/>
                <w:szCs w:val="18"/>
              </w:rPr>
              <w:t xml:space="preserve">Attacker creates user accounts Jenny and Guest; adds both to the local Administrators group (Event ID 4732)</w:t>
            </w:r>
          </w:p>
        </w:tc>
      </w:tr>
      <w:tr>
        <w:tc>
          <w:tcPr>
            <w:tcW w:type="dxa" w:w="2400"/>
            <w:tcMar>
              <w:top w:type="dxa" w:w="80"/>
              <w:left w:type="dxa" w:w="120"/>
              <w:bottom w:type="dxa" w:w="80"/>
              <w:right w:type="dxa" w:w="120"/>
            </w:tcMar>
          </w:tcPr>
          <w:p>
            <w:r>
              <w:rPr>
                <w:rFonts w:ascii="Arial" w:cs="Arial" w:eastAsia="Arial" w:hAnsi="Arial"/>
                <w:b w:val="false"/>
                <w:bCs w:val="false"/>
                <w:color w:val="222222"/>
                <w:sz w:val="18"/>
                <w:szCs w:val="18"/>
              </w:rPr>
              <w:t xml:space="preserve">03/02/2019 (approx)</w:t>
            </w:r>
          </w:p>
        </w:tc>
        <w:tc>
          <w:tcPr>
            <w:tcW w:type="dxa" w:w="7500"/>
            <w:tcMar>
              <w:top w:type="dxa" w:w="80"/>
              <w:left w:type="dxa" w:w="120"/>
              <w:bottom w:type="dxa" w:w="80"/>
              <w:right w:type="dxa" w:w="120"/>
            </w:tcMar>
          </w:tcPr>
          <w:p>
            <w:r>
              <w:rPr>
                <w:rFonts w:ascii="Arial" w:cs="Arial" w:eastAsia="Arial" w:hAnsi="Arial"/>
                <w:b w:val="false"/>
                <w:bCs w:val="false"/>
                <w:color w:val="222222"/>
                <w:sz w:val="18"/>
                <w:szCs w:val="18"/>
              </w:rPr>
              <w:t xml:space="preserve">Malicious scheduled tasks created — including 'Clean file system' task executing nc.ps1 Netcat listener on port 1348</w:t>
            </w:r>
          </w:p>
        </w:tc>
      </w:tr>
      <w:tr>
        <w:tc>
          <w:tcPr>
            <w:tcW w:type="dxa" w:w="2400"/>
            <w:tcMar>
              <w:top w:type="dxa" w:w="80"/>
              <w:left w:type="dxa" w:w="120"/>
              <w:bottom w:type="dxa" w:w="80"/>
              <w:right w:type="dxa" w:w="120"/>
            </w:tcMar>
          </w:tcPr>
          <w:p>
            <w:r>
              <w:rPr>
                <w:rFonts w:ascii="Arial" w:cs="Arial" w:eastAsia="Arial" w:hAnsi="Arial"/>
                <w:b w:val="false"/>
                <w:bCs w:val="false"/>
                <w:color w:val="222222"/>
                <w:sz w:val="18"/>
                <w:szCs w:val="18"/>
              </w:rPr>
              <w:t xml:space="preserve">03/02/2019 (approx)</w:t>
            </w:r>
          </w:p>
        </w:tc>
        <w:tc>
          <w:tcPr>
            <w:tcW w:type="dxa" w:w="7500"/>
            <w:tcMar>
              <w:top w:type="dxa" w:w="80"/>
              <w:left w:type="dxa" w:w="120"/>
              <w:bottom w:type="dxa" w:w="80"/>
              <w:right w:type="dxa" w:w="120"/>
            </w:tcMar>
          </w:tcPr>
          <w:p>
            <w:r>
              <w:rPr>
                <w:rFonts w:ascii="Arial" w:cs="Arial" w:eastAsia="Arial" w:hAnsi="Arial"/>
                <w:b w:val="false"/>
                <w:bCs w:val="false"/>
                <w:color w:val="222222"/>
                <w:sz w:val="18"/>
                <w:szCs w:val="18"/>
              </w:rPr>
              <w:t xml:space="preserve">Registry run key modified to execute connection to 10.34.2.3 on every system startup</w:t>
            </w:r>
          </w:p>
        </w:tc>
      </w:tr>
      <w:tr>
        <w:tc>
          <w:tcPr>
            <w:tcW w:type="dxa" w:w="2400"/>
            <w:tcMar>
              <w:top w:type="dxa" w:w="80"/>
              <w:left w:type="dxa" w:w="120"/>
              <w:bottom w:type="dxa" w:w="80"/>
              <w:right w:type="dxa" w:w="120"/>
            </w:tcMar>
          </w:tcPr>
          <w:p>
            <w:r>
              <w:rPr>
                <w:rFonts w:ascii="Arial" w:cs="Arial" w:eastAsia="Arial" w:hAnsi="Arial"/>
                <w:b w:val="false"/>
                <w:bCs w:val="false"/>
                <w:color w:val="222222"/>
                <w:sz w:val="18"/>
                <w:szCs w:val="18"/>
              </w:rPr>
              <w:t xml:space="preserve">03/02/2019 (approx)</w:t>
            </w:r>
          </w:p>
        </w:tc>
        <w:tc>
          <w:tcPr>
            <w:tcW w:type="dxa" w:w="7500"/>
            <w:tcMar>
              <w:top w:type="dxa" w:w="80"/>
              <w:left w:type="dxa" w:w="120"/>
              <w:bottom w:type="dxa" w:w="80"/>
              <w:right w:type="dxa" w:w="120"/>
            </w:tcMar>
          </w:tcPr>
          <w:p>
            <w:r>
              <w:rPr>
                <w:rFonts w:ascii="Arial" w:cs="Arial" w:eastAsia="Arial" w:hAnsi="Arial"/>
                <w:b w:val="false"/>
                <w:bCs w:val="false"/>
                <w:color w:val="222222"/>
                <w:sz w:val="18"/>
                <w:szCs w:val="18"/>
              </w:rPr>
              <w:t xml:space="preserve">DNS host file poisoned — google.com redirected to attacker-controlled IP 76.32.97.132</w:t>
            </w:r>
          </w:p>
        </w:tc>
      </w:tr>
      <w:tr>
        <w:tc>
          <w:tcPr>
            <w:tcW w:type="dxa" w:w="2400"/>
            <w:tcMar>
              <w:top w:type="dxa" w:w="80"/>
              <w:left w:type="dxa" w:w="120"/>
              <w:bottom w:type="dxa" w:w="80"/>
              <w:right w:type="dxa" w:w="120"/>
            </w:tcMar>
          </w:tcPr>
          <w:p>
            <w:r>
              <w:rPr>
                <w:rFonts w:ascii="Arial" w:cs="Arial" w:eastAsia="Arial" w:hAnsi="Arial"/>
                <w:b w:val="false"/>
                <w:bCs w:val="false"/>
                <w:color w:val="222222"/>
                <w:sz w:val="18"/>
                <w:szCs w:val="18"/>
              </w:rPr>
              <w:t xml:space="preserve">03/02/2019 (approx)</w:t>
            </w:r>
          </w:p>
        </w:tc>
        <w:tc>
          <w:tcPr>
            <w:tcW w:type="dxa" w:w="7500"/>
            <w:tcMar>
              <w:top w:type="dxa" w:w="80"/>
              <w:left w:type="dxa" w:w="120"/>
              <w:bottom w:type="dxa" w:w="80"/>
              <w:right w:type="dxa" w:w="120"/>
            </w:tcMar>
          </w:tcPr>
          <w:p>
            <w:r>
              <w:rPr>
                <w:rFonts w:ascii="Arial" w:cs="Arial" w:eastAsia="Arial" w:hAnsi="Arial"/>
                <w:b w:val="false"/>
                <w:bCs w:val="false"/>
                <w:color w:val="222222"/>
                <w:sz w:val="18"/>
                <w:szCs w:val="18"/>
              </w:rPr>
              <w:t xml:space="preserve">Windows Firewall inbound rule created allowing traffic on port 1337</w:t>
            </w:r>
          </w:p>
        </w:tc>
      </w:tr>
      <w:tr>
        <w:tc>
          <w:tcPr>
            <w:tcW w:type="dxa" w:w="2400"/>
            <w:tcMar>
              <w:top w:type="dxa" w:w="80"/>
              <w:left w:type="dxa" w:w="120"/>
              <w:bottom w:type="dxa" w:w="80"/>
              <w:right w:type="dxa" w:w="120"/>
            </w:tcMar>
          </w:tcPr>
          <w:p>
            <w:r>
              <w:rPr>
                <w:rFonts w:ascii="Arial" w:cs="Arial" w:eastAsia="Arial" w:hAnsi="Arial"/>
                <w:b w:val="false"/>
                <w:bCs w:val="false"/>
                <w:color w:val="222222"/>
                <w:sz w:val="18"/>
                <w:szCs w:val="18"/>
              </w:rPr>
              <w:t xml:space="preserve">03/02/2019 5:48:32 PM</w:t>
            </w:r>
          </w:p>
        </w:tc>
        <w:tc>
          <w:tcPr>
            <w:tcW w:type="dxa" w:w="7500"/>
            <w:tcMar>
              <w:top w:type="dxa" w:w="80"/>
              <w:left w:type="dxa" w:w="120"/>
              <w:bottom w:type="dxa" w:w="80"/>
              <w:right w:type="dxa" w:w="120"/>
            </w:tcMar>
          </w:tcPr>
          <w:p>
            <w:r>
              <w:rPr>
                <w:rFonts w:ascii="Arial" w:cs="Arial" w:eastAsia="Arial" w:hAnsi="Arial"/>
                <w:b w:val="false"/>
                <w:bCs w:val="false"/>
                <w:color w:val="222222"/>
                <w:sz w:val="18"/>
                <w:szCs w:val="18"/>
              </w:rPr>
              <w:t xml:space="preserve">John logs on — potentially the legitimate user returning, or attacker using John's credentials</w:t>
            </w:r>
          </w:p>
        </w:tc>
      </w:tr>
    </w:tbl>
    <w:p>
      <w:r>
        <w:br w:type="page"/>
      </w:r>
    </w:p>
    <w:p>
      <w:pPr>
        <w:pStyle w:val="Heading1"/>
        <w:pBdr>
          <w:bottom w:val="single" w:color="1F3864" w:sz="6" w:space="4"/>
        </w:pBdr>
        <w:spacing w:after="120" w:before="320"/>
      </w:pPr>
      <w:r>
        <w:rPr>
          <w:rFonts w:ascii="Arial" w:cs="Arial" w:eastAsia="Arial" w:hAnsi="Arial"/>
          <w:b/>
          <w:bCs/>
          <w:color w:val="1F3864"/>
          <w:sz w:val="26"/>
          <w:szCs w:val="26"/>
        </w:rPr>
        <w:t xml:space="preserve">4. Initial Access — Web Shell Upload</w:t>
      </w:r>
    </w:p>
    <w:p>
      <w:pPr>
        <w:pStyle w:val="Heading2"/>
        <w:spacing w:after="80" w:before="240"/>
      </w:pPr>
      <w:r>
        <w:rPr>
          <w:rFonts w:ascii="Arial" w:cs="Arial" w:eastAsia="Arial" w:hAnsi="Arial"/>
          <w:b/>
          <w:bCs/>
          <w:color w:val="333333"/>
          <w:sz w:val="22"/>
          <w:szCs w:val="22"/>
        </w:rPr>
        <w:t xml:space="preserve">4.1 IIS Misconfiguration Exploitation</w:t>
      </w:r>
    </w:p>
    <w:p>
      <w:pPr>
        <w:spacing w:after="120"/>
      </w:pPr>
      <w:r>
        <w:rPr>
          <w:rFonts w:ascii="Arial" w:cs="Arial" w:eastAsia="Arial" w:hAnsi="Arial"/>
          <w:color w:val="222222"/>
          <w:sz w:val="21"/>
          <w:szCs w:val="21"/>
        </w:rPr>
        <w:t xml:space="preserve">The attacker's initial foothold was established through a web shell uploaded to the IIS web server. Microsoft IIS is the default web server bundled with Windows Server and uses C:\inetpub\wwwroot as its default web root directory.</w:t>
      </w:r>
    </w:p>
    <w:p>
      <w:pPr>
        <w:spacing w:after="120"/>
      </w:pPr>
      <w:r>
        <w:rPr>
          <w:rFonts w:ascii="Arial" w:cs="Arial" w:eastAsia="Arial" w:hAnsi="Arial"/>
          <w:color w:val="222222"/>
          <w:sz w:val="21"/>
          <w:szCs w:val="21"/>
        </w:rPr>
        <w:t xml:space="preserve">Investigation of the web server directory revealed a malicious file with a .jsp extension. JSP (JavaServer Pages) is a server-side scripting technology that, when executed by the web server, can run arbitrary commands on the underlying operating system. The presence of a .jsp file in the web root indicates the attacker identified and exploited a file upload vulnerability — a misconfiguration permitting server-side executable files to be uploaded via the website's interface.</w:t>
      </w:r>
    </w:p>
    <w:p>
      <w:pPr>
        <w:shd w:fill="F2F2F2" w:val="clear"/>
        <w:spacing w:after="100"/>
      </w:pPr>
      <w:r>
        <w:rPr>
          <w:rFonts w:ascii="Consolas" w:cs="Consolas" w:eastAsia="Consolas" w:hAnsi="Consolas"/>
          <w:color w:val="222222"/>
          <w:sz w:val="18"/>
          <w:szCs w:val="18"/>
        </w:rPr>
        <w:t xml:space="preserve">Web shell location: C:\inetpub\wwwroot\[shell].jsp</w:t>
      </w:r>
    </w:p>
    <w:p>
      <w:pPr>
        <w:spacing w:after="120"/>
      </w:pPr>
      <w:r>
        <w:rPr>
          <w:rFonts w:ascii="Arial" w:cs="Arial" w:eastAsia="Arial" w:hAnsi="Arial"/>
          <w:color w:val="222222"/>
          <w:sz w:val="21"/>
          <w:szCs w:val="21"/>
        </w:rPr>
        <w:t xml:space="preserve">This is a well-documented attack pattern. OWASP lists unrestricted file upload as a high-severity vulnerability, and JSP web shells are a common tool for establishing an initial foothold on Windows IIS servers. Once uploaded and executed via a browser request, the shell provides the attacker with an interactive command interface running under the web server's service account permissions.</w:t>
      </w:r>
    </w:p>
    <w:p>
      <w:pPr>
        <w:spacing w:after="120"/>
      </w:pPr>
      <w:r>
        <w:rPr>
          <w:rFonts w:ascii="Arial" w:cs="Arial" w:eastAsia="Arial" w:hAnsi="Arial"/>
          <w:color w:val="222222"/>
          <w:sz w:val="21"/>
          <w:szCs w:val="21"/>
        </w:rPr>
        <w:t xml:space="preserve">This aligns with MITRE ATT&amp;CK T1505.003 — Server Software Component: Web Shell.</w:t>
      </w:r>
    </w:p>
    <w:p>
      <w:pPr>
        <w:pStyle w:val="Heading1"/>
        <w:pBdr>
          <w:bottom w:val="single" w:color="1F3864" w:sz="6" w:space="4"/>
        </w:pBdr>
        <w:spacing w:after="120" w:before="320"/>
      </w:pPr>
      <w:r>
        <w:rPr>
          <w:rFonts w:ascii="Arial" w:cs="Arial" w:eastAsia="Arial" w:hAnsi="Arial"/>
          <w:b/>
          <w:bCs/>
          <w:color w:val="1F3864"/>
          <w:sz w:val="26"/>
          <w:szCs w:val="26"/>
        </w:rPr>
        <w:t xml:space="preserve">5. Privilege Escalation &amp; Account Manipulation</w:t>
      </w:r>
    </w:p>
    <w:p>
      <w:pPr>
        <w:pStyle w:val="Heading2"/>
        <w:spacing w:after="80" w:before="240"/>
      </w:pPr>
      <w:r>
        <w:rPr>
          <w:rFonts w:ascii="Arial" w:cs="Arial" w:eastAsia="Arial" w:hAnsi="Arial"/>
          <w:b/>
          <w:bCs/>
          <w:color w:val="333333"/>
          <w:sz w:val="22"/>
          <w:szCs w:val="22"/>
        </w:rPr>
        <w:t xml:space="preserve">5.1 Unauthorised Account Creation</w:t>
      </w:r>
    </w:p>
    <w:p>
      <w:pPr>
        <w:spacing w:after="120"/>
      </w:pPr>
      <w:r>
        <w:rPr>
          <w:rFonts w:ascii="Arial" w:cs="Arial" w:eastAsia="Arial" w:hAnsi="Arial"/>
          <w:color w:val="222222"/>
          <w:sz w:val="21"/>
          <w:szCs w:val="21"/>
        </w:rPr>
        <w:t xml:space="preserve">Following initial access via the web shell, the attacker created two user accounts and added both to the local Administrators group:</w:t>
      </w:r>
    </w:p>
    <w:p>
      <w:pPr>
        <w:pStyle w:val="ListParagraph"/>
        <w:numPr>
          <w:ilvl w:val="0"/>
          <w:numId w:val="2"/>
        </w:numPr>
        <w:spacing w:after="60"/>
      </w:pPr>
      <w:r>
        <w:rPr>
          <w:rFonts w:ascii="Arial" w:cs="Arial" w:eastAsia="Arial" w:hAnsi="Arial"/>
          <w:color w:val="222222"/>
          <w:sz w:val="21"/>
          <w:szCs w:val="21"/>
        </w:rPr>
        <w:t xml:space="preserve">Jenny — created as a new account; added to Administrators group</w:t>
      </w:r>
    </w:p>
    <w:p>
      <w:pPr>
        <w:pStyle w:val="ListParagraph"/>
        <w:numPr>
          <w:ilvl w:val="0"/>
          <w:numId w:val="2"/>
        </w:numPr>
        <w:spacing w:after="60"/>
      </w:pPr>
      <w:r>
        <w:rPr>
          <w:rFonts w:ascii="Arial" w:cs="Arial" w:eastAsia="Arial" w:hAnsi="Arial"/>
          <w:color w:val="222222"/>
          <w:sz w:val="21"/>
          <w:szCs w:val="21"/>
        </w:rPr>
        <w:t xml:space="preserve">Guest — the built-in Guest account (typically disabled by default) was re-enabled and elevated to Administrators</w:t>
      </w:r>
    </w:p>
    <w:p>
      <w:pPr>
        <w:spacing w:after="120"/>
      </w:pPr>
      <w:r>
        <w:rPr>
          <w:rFonts w:ascii="Arial" w:cs="Arial" w:eastAsia="Arial" w:hAnsi="Arial"/>
          <w:color w:val="222222"/>
          <w:sz w:val="21"/>
          <w:szCs w:val="21"/>
        </w:rPr>
        <w:t xml:space="preserve">Both additions were recorded in the Windows Security event log as Event ID 4732 (A member was added to a security-enabled local group), with the target group identified as the built-in Administrators group (SID S-1-5-32-544). Both events occurred on 2 March 2019.</w:t>
      </w:r>
    </w:p>
    <w:p>
      <w:pPr>
        <w:shd w:fill="F2F2F2" w:val="clear"/>
        <w:spacing w:after="100"/>
      </w:pPr>
      <w:r>
        <w:rPr>
          <w:rFonts w:ascii="Consolas" w:cs="Consolas" w:eastAsia="Consolas" w:hAnsi="Consolas"/>
          <w:color w:val="222222"/>
          <w:sz w:val="18"/>
          <w:szCs w:val="18"/>
        </w:rPr>
        <w:t xml:space="preserve">Event ID: 4732
Target Group: Administrators (S-1-5-32-544)
Accounts added: Jenny, Guest
Date: 03/02/2019</w:t>
      </w:r>
    </w:p>
    <w:p>
      <w:pPr>
        <w:spacing w:after="120"/>
      </w:pPr>
      <w:r>
        <w:rPr>
          <w:rFonts w:ascii="Arial" w:cs="Arial" w:eastAsia="Arial" w:hAnsi="Arial"/>
          <w:color w:val="222222"/>
          <w:sz w:val="21"/>
          <w:szCs w:val="21"/>
        </w:rPr>
        <w:t xml:space="preserve">Notably, Jenny's account was never subsequently used for an interactive logon — her last logon timestamp is null. This is consistent with an attacker creating a backup access account that is held in reserve but not actively used, reducing the likelihood of detection through login monitoring.</w:t>
      </w:r>
    </w:p>
    <w:p>
      <w:pPr>
        <w:spacing w:after="120"/>
      </w:pPr>
      <w:r>
        <w:rPr>
          <w:rFonts w:ascii="Arial" w:cs="Arial" w:eastAsia="Arial" w:hAnsi="Arial"/>
          <w:color w:val="222222"/>
          <w:sz w:val="21"/>
          <w:szCs w:val="21"/>
        </w:rPr>
        <w:t xml:space="preserve">This maps to MITRE ATT&amp;CK T1136.001 (Create Account: Local Account) and T1098 (Account Manipulation).</w:t>
      </w:r>
    </w:p>
    <w:p>
      <w:pPr>
        <w:pStyle w:val="Heading2"/>
        <w:spacing w:after="80" w:before="240"/>
      </w:pPr>
      <w:r>
        <w:rPr>
          <w:rFonts w:ascii="Arial" w:cs="Arial" w:eastAsia="Arial" w:hAnsi="Arial"/>
          <w:b/>
          <w:bCs/>
          <w:color w:val="333333"/>
          <w:sz w:val="22"/>
          <w:szCs w:val="22"/>
        </w:rPr>
        <w:t xml:space="preserve">5.2 Special Privileges Assigned</w:t>
      </w:r>
    </w:p>
    <w:p>
      <w:pPr>
        <w:spacing w:after="120"/>
      </w:pPr>
      <w:r>
        <w:rPr>
          <w:rFonts w:ascii="Arial" w:cs="Arial" w:eastAsia="Arial" w:hAnsi="Arial"/>
          <w:color w:val="222222"/>
          <w:sz w:val="21"/>
          <w:szCs w:val="21"/>
        </w:rPr>
        <w:t xml:space="preserve">Windows Security event log recorded the first assignment of special privileges to a new logon at 03/02/2019 04:04:49 PM. This event (typically Event ID 4672 — Special privileges assigned to new logon) indicates a newly authenticated session was granted elevated rights — consistent with the attacker's privilege escalation activity beginning at this timestamp.</w:t>
      </w:r>
    </w:p>
    <w:p>
      <w:pPr>
        <w:pStyle w:val="Heading1"/>
        <w:pBdr>
          <w:bottom w:val="single" w:color="1F3864" w:sz="6" w:space="4"/>
        </w:pBdr>
        <w:spacing w:after="120" w:before="320"/>
      </w:pPr>
      <w:r>
        <w:rPr>
          <w:rFonts w:ascii="Arial" w:cs="Arial" w:eastAsia="Arial" w:hAnsi="Arial"/>
          <w:b/>
          <w:bCs/>
          <w:color w:val="1F3864"/>
          <w:sz w:val="26"/>
          <w:szCs w:val="26"/>
        </w:rPr>
        <w:t xml:space="preserve">6. Persistence Mechanisms</w:t>
      </w:r>
    </w:p>
    <w:p>
      <w:pPr>
        <w:pStyle w:val="Heading2"/>
        <w:spacing w:after="80" w:before="240"/>
      </w:pPr>
      <w:r>
        <w:rPr>
          <w:rFonts w:ascii="Arial" w:cs="Arial" w:eastAsia="Arial" w:hAnsi="Arial"/>
          <w:b/>
          <w:bCs/>
          <w:color w:val="333333"/>
          <w:sz w:val="22"/>
          <w:szCs w:val="22"/>
        </w:rPr>
        <w:t xml:space="preserve">6.1 Malicious Scheduled Task</w:t>
      </w:r>
    </w:p>
    <w:p>
      <w:pPr>
        <w:spacing w:after="120"/>
      </w:pPr>
      <w:r>
        <w:rPr>
          <w:rFonts w:ascii="Arial" w:cs="Arial" w:eastAsia="Arial" w:hAnsi="Arial"/>
          <w:color w:val="222222"/>
          <w:sz w:val="21"/>
          <w:szCs w:val="21"/>
        </w:rPr>
        <w:t xml:space="preserve">Investigation of Windows Task Scheduler revealed a maliciously named scheduled task: 'Clean file system'. The name is chosen to appear routine and administrative — a common attacker technique for blending in with legitimate system activity.</w:t>
      </w:r>
    </w:p>
    <w:p>
      <w:pPr>
        <w:spacing w:after="120"/>
      </w:pPr>
      <w:r>
        <w:rPr>
          <w:rFonts w:ascii="Arial" w:cs="Arial" w:eastAsia="Arial" w:hAnsi="Arial"/>
          <w:color w:val="222222"/>
          <w:sz w:val="21"/>
          <w:szCs w:val="21"/>
        </w:rPr>
        <w:t xml:space="preserve">Examining the task's action revealed the following command:</w:t>
      </w:r>
    </w:p>
    <w:p>
      <w:pPr>
        <w:shd w:fill="F2F2F2" w:val="clear"/>
        <w:spacing w:after="100"/>
      </w:pPr>
      <w:r>
        <w:rPr>
          <w:rFonts w:ascii="Consolas" w:cs="Consolas" w:eastAsia="Consolas" w:hAnsi="Consolas"/>
          <w:color w:val="222222"/>
          <w:sz w:val="18"/>
          <w:szCs w:val="18"/>
        </w:rPr>
        <w:t xml:space="preserve">nc.ps1 -l 1348</w:t>
      </w:r>
    </w:p>
    <w:p>
      <w:pPr>
        <w:spacing w:after="120"/>
      </w:pPr>
      <w:r>
        <w:rPr>
          <w:rFonts w:ascii="Arial" w:cs="Arial" w:eastAsia="Arial" w:hAnsi="Arial"/>
          <w:color w:val="222222"/>
          <w:sz w:val="21"/>
          <w:szCs w:val="21"/>
        </w:rPr>
        <w:t xml:space="preserve">This invokes a PowerShell script (nc.ps1) implementing Netcat functionality, configured to listen on port 1348. Netcat is a networking utility that can establish raw TCP connections and is widely used by attackers to create reverse shells — providing the attacker with persistent interactive access to the system that re-establishes itself on schedule.</w:t>
      </w:r>
    </w:p>
    <w:p>
      <w:pPr>
        <w:spacing w:after="120"/>
      </w:pPr>
      <w:r>
        <w:rPr>
          <w:rFonts w:ascii="Arial" w:cs="Arial" w:eastAsia="Arial" w:hAnsi="Arial"/>
          <w:color w:val="222222"/>
          <w:sz w:val="21"/>
          <w:szCs w:val="21"/>
        </w:rPr>
        <w:t xml:space="preserve">The task was created on 2 March 2019, consistent with the broader compromise timeline. This maps to MITRE ATT&amp;CK T1053.005 (Scheduled Task/Job: Scheduled Task).</w:t>
      </w:r>
    </w:p>
    <w:p>
      <w:pPr>
        <w:pStyle w:val="Heading2"/>
        <w:spacing w:after="80" w:before="240"/>
      </w:pPr>
      <w:r>
        <w:rPr>
          <w:rFonts w:ascii="Arial" w:cs="Arial" w:eastAsia="Arial" w:hAnsi="Arial"/>
          <w:b/>
          <w:bCs/>
          <w:color w:val="333333"/>
          <w:sz w:val="22"/>
          <w:szCs w:val="22"/>
        </w:rPr>
        <w:t xml:space="preserve">6.2 Registry Run Key Persistence</w:t>
      </w:r>
    </w:p>
    <w:p>
      <w:pPr>
        <w:spacing w:after="120"/>
      </w:pPr>
      <w:r>
        <w:rPr>
          <w:rFonts w:ascii="Arial" w:cs="Arial" w:eastAsia="Arial" w:hAnsi="Arial"/>
          <w:color w:val="222222"/>
          <w:sz w:val="21"/>
          <w:szCs w:val="21"/>
        </w:rPr>
        <w:t xml:space="preserve">Examination of the Windows Registry startup locations revealed a modified run key directing the system to connect to an external IP address on every boot:</w:t>
      </w:r>
    </w:p>
    <w:p>
      <w:pPr>
        <w:shd w:fill="F2F2F2" w:val="clear"/>
        <w:spacing w:after="100"/>
      </w:pPr>
      <w:r>
        <w:rPr>
          <w:rFonts w:ascii="Consolas" w:cs="Consolas" w:eastAsia="Consolas" w:hAnsi="Consolas"/>
          <w:color w:val="222222"/>
          <w:sz w:val="18"/>
          <w:szCs w:val="18"/>
        </w:rPr>
        <w:t xml:space="preserve">Registry path: HKLM\SOFTWARE\Microsoft\Windows\CurrentVersion\Run
Value: [startup entry] → connection to 10.34.2.3</w:t>
      </w:r>
    </w:p>
    <w:p>
      <w:pPr>
        <w:spacing w:after="120"/>
      </w:pPr>
      <w:r>
        <w:rPr>
          <w:rFonts w:ascii="Arial" w:cs="Arial" w:eastAsia="Arial" w:hAnsi="Arial"/>
          <w:color w:val="222222"/>
          <w:sz w:val="21"/>
          <w:szCs w:val="21"/>
        </w:rPr>
        <w:t xml:space="preserve">This ensures that even if the scheduled task is discovered and removed, the system will attempt to re-establish a connection to attacker infrastructure every time it starts up. Using run keys for persistence is one of the most common and well-documented Windows persistence techniques, mapping to MITRE ATT&amp;CK T1547.001 (Boot or Logon Autostart Execution: Registry Run Keys).</w:t>
      </w:r>
    </w:p>
    <w:p>
      <w:pPr>
        <w:pStyle w:val="Heading2"/>
        <w:spacing w:after="80" w:before="240"/>
      </w:pPr>
      <w:r>
        <w:rPr>
          <w:rFonts w:ascii="Arial" w:cs="Arial" w:eastAsia="Arial" w:hAnsi="Arial"/>
          <w:b/>
          <w:bCs/>
          <w:color w:val="333333"/>
          <w:sz w:val="22"/>
          <w:szCs w:val="22"/>
        </w:rPr>
        <w:t xml:space="preserve">6.3 Firewall Rule Modification</w:t>
      </w:r>
    </w:p>
    <w:p>
      <w:pPr>
        <w:spacing w:after="120"/>
      </w:pPr>
      <w:r>
        <w:rPr>
          <w:rFonts w:ascii="Arial" w:cs="Arial" w:eastAsia="Arial" w:hAnsi="Arial"/>
          <w:color w:val="222222"/>
          <w:sz w:val="21"/>
          <w:szCs w:val="21"/>
        </w:rPr>
        <w:t xml:space="preserve">The attacker created a custom inbound firewall rule permitting traffic on port 1337. Port 1337 has no legitimate system use and is frequently associated with attacker tooling — the number itself being a well-known reference in hacker culture. This rule ensures that connections from the attacker's infrastructure are not blocked by Windows Firewall, even if the default firewall policy is otherwise restrictive.</w:t>
      </w:r>
    </w:p>
    <w:p>
      <w:pPr>
        <w:spacing w:after="120"/>
      </w:pPr>
      <w:r>
        <w:rPr>
          <w:rFonts w:ascii="Arial" w:cs="Arial" w:eastAsia="Arial" w:hAnsi="Arial"/>
          <w:color w:val="222222"/>
          <w:sz w:val="21"/>
          <w:szCs w:val="21"/>
        </w:rPr>
        <w:t xml:space="preserve">This maps to MITRE ATT&amp;CK T1562.004 (Impair Defences: Disable or Modify System Firewall).</w:t>
      </w:r>
    </w:p>
    <w:p>
      <w:pPr>
        <w:pStyle w:val="Heading1"/>
        <w:pBdr>
          <w:bottom w:val="single" w:color="1F3864" w:sz="6" w:space="4"/>
        </w:pBdr>
        <w:spacing w:after="120" w:before="320"/>
      </w:pPr>
      <w:r>
        <w:rPr>
          <w:rFonts w:ascii="Arial" w:cs="Arial" w:eastAsia="Arial" w:hAnsi="Arial"/>
          <w:b/>
          <w:bCs/>
          <w:color w:val="1F3864"/>
          <w:sz w:val="26"/>
          <w:szCs w:val="26"/>
        </w:rPr>
        <w:t xml:space="preserve">7. Command and Control</w:t>
      </w:r>
    </w:p>
    <w:p>
      <w:pPr>
        <w:spacing w:after="120"/>
      </w:pPr>
      <w:r>
        <w:rPr>
          <w:rFonts w:ascii="Arial" w:cs="Arial" w:eastAsia="Arial" w:hAnsi="Arial"/>
          <w:color w:val="222222"/>
          <w:sz w:val="21"/>
          <w:szCs w:val="21"/>
        </w:rPr>
        <w:t xml:space="preserve">Two distinct C2 indicators were identified:</w:t>
      </w:r>
    </w:p>
    <w:p>
      <w:pPr>
        <w:pStyle w:val="Heading2"/>
        <w:spacing w:after="80" w:before="240"/>
      </w:pPr>
      <w:r>
        <w:rPr>
          <w:rFonts w:ascii="Arial" w:cs="Arial" w:eastAsia="Arial" w:hAnsi="Arial"/>
          <w:b/>
          <w:bCs/>
          <w:color w:val="333333"/>
          <w:sz w:val="22"/>
          <w:szCs w:val="22"/>
        </w:rPr>
        <w:t xml:space="preserve">7.1 External C2 Server</w:t>
      </w:r>
    </w:p>
    <w:p>
      <w:pPr>
        <w:spacing w:after="120"/>
      </w:pPr>
      <w:r>
        <w:rPr>
          <w:rFonts w:ascii="Arial" w:cs="Arial" w:eastAsia="Arial" w:hAnsi="Arial"/>
          <w:color w:val="222222"/>
          <w:sz w:val="21"/>
          <w:szCs w:val="21"/>
        </w:rPr>
        <w:t xml:space="preserve">The confirmed external C2 IP address is 76.32.97.132. This IP does not correspond to any legitimate service associated with the machine and was identified through network connection analysis and DNS investigation. Communication with this address represents the attacker's primary remote control channel.</w:t>
      </w:r>
    </w:p>
    <w:p>
      <w:pPr>
        <w:spacing w:after="120"/>
      </w:pPr>
      <w:r>
        <w:rPr>
          <w:rFonts w:ascii="Arial" w:cs="Arial" w:eastAsia="Arial" w:hAnsi="Arial"/>
          <w:color w:val="222222"/>
          <w:sz w:val="21"/>
          <w:szCs w:val="21"/>
        </w:rPr>
        <w:t xml:space="preserve">This maps to MITRE ATT&amp;CK T1071 (Application Layer Protocol) and T1041 (Exfiltration Over C2 Channel).</w:t>
      </w:r>
    </w:p>
    <w:p>
      <w:pPr>
        <w:pStyle w:val="Heading2"/>
        <w:spacing w:after="80" w:before="240"/>
      </w:pPr>
      <w:r>
        <w:rPr>
          <w:rFonts w:ascii="Arial" w:cs="Arial" w:eastAsia="Arial" w:hAnsi="Arial"/>
          <w:b/>
          <w:bCs/>
          <w:color w:val="333333"/>
          <w:sz w:val="22"/>
          <w:szCs w:val="22"/>
        </w:rPr>
        <w:t xml:space="preserve">7.2 Startup Connection to Internal IP</w:t>
      </w:r>
    </w:p>
    <w:p>
      <w:pPr>
        <w:spacing w:after="120"/>
      </w:pPr>
      <w:r>
        <w:rPr>
          <w:rFonts w:ascii="Arial" w:cs="Arial" w:eastAsia="Arial" w:hAnsi="Arial"/>
          <w:color w:val="222222"/>
          <w:sz w:val="21"/>
          <w:szCs w:val="21"/>
        </w:rPr>
        <w:t xml:space="preserve">The registry run key identified in section 6.2 directs the system to connect to 10.34.2.3 on startup. This is a private IP address, suggesting the attacker may have also compromised another machine on the internal network and is using it as an internal pivot point or relay — a common technique for evading perimeter-based detection that focuses on external traffic.</w:t>
      </w:r>
    </w:p>
    <w:p>
      <w:pPr>
        <w:pStyle w:val="Heading1"/>
        <w:pBdr>
          <w:bottom w:val="single" w:color="1F3864" w:sz="6" w:space="4"/>
        </w:pBdr>
        <w:spacing w:after="120" w:before="320"/>
      </w:pPr>
      <w:r>
        <w:rPr>
          <w:rFonts w:ascii="Arial" w:cs="Arial" w:eastAsia="Arial" w:hAnsi="Arial"/>
          <w:b/>
          <w:bCs/>
          <w:color w:val="1F3864"/>
          <w:sz w:val="26"/>
          <w:szCs w:val="26"/>
        </w:rPr>
        <w:t xml:space="preserve">8. Defence Evasion — DNS Poisoning</w:t>
      </w:r>
    </w:p>
    <w:p>
      <w:pPr>
        <w:spacing w:after="120"/>
      </w:pPr>
      <w:r>
        <w:rPr>
          <w:rFonts w:ascii="Arial" w:cs="Arial" w:eastAsia="Arial" w:hAnsi="Arial"/>
          <w:color w:val="222222"/>
          <w:sz w:val="21"/>
          <w:szCs w:val="21"/>
        </w:rPr>
        <w:t xml:space="preserve">Investigation of the Windows hosts file (C:\Windows\System32\drivers\etc\hosts) revealed a malicious entry redirecting google.com to the attacker's C2 IP address:</w:t>
      </w:r>
    </w:p>
    <w:p>
      <w:pPr>
        <w:shd w:fill="F2F2F2" w:val="clear"/>
        <w:spacing w:after="100"/>
      </w:pPr>
      <w:r>
        <w:rPr>
          <w:rFonts w:ascii="Consolas" w:cs="Consolas" w:eastAsia="Consolas" w:hAnsi="Consolas"/>
          <w:color w:val="222222"/>
          <w:sz w:val="18"/>
          <w:szCs w:val="18"/>
        </w:rPr>
        <w:t xml:space="preserve">76.32.97.132    google.com</w:t>
      </w:r>
    </w:p>
    <w:p>
      <w:pPr>
        <w:spacing w:after="120"/>
      </w:pPr>
      <w:r>
        <w:rPr>
          <w:rFonts w:ascii="Arial" w:cs="Arial" w:eastAsia="Arial" w:hAnsi="Arial"/>
          <w:color w:val="222222"/>
          <w:sz w:val="21"/>
          <w:szCs w:val="21"/>
        </w:rPr>
        <w:t xml:space="preserve">The Windows hosts file is checked before DNS resolution, meaning any system-wide lookup for google.com would resolve to 76.32.97.132 rather than Google's legitimate servers. This technique has several potential purposes:</w:t>
      </w:r>
    </w:p>
    <w:p>
      <w:pPr>
        <w:pStyle w:val="ListParagraph"/>
        <w:numPr>
          <w:ilvl w:val="0"/>
          <w:numId w:val="2"/>
        </w:numPr>
        <w:spacing w:after="60"/>
      </w:pPr>
      <w:r>
        <w:rPr>
          <w:rFonts w:ascii="Arial" w:cs="Arial" w:eastAsia="Arial" w:hAnsi="Arial"/>
          <w:color w:val="222222"/>
          <w:sz w:val="21"/>
          <w:szCs w:val="21"/>
        </w:rPr>
        <w:t xml:space="preserve">Intercepting traffic intended for Google services — including authentication tokens, credentials, or sensitive communications</w:t>
      </w:r>
    </w:p>
    <w:p>
      <w:pPr>
        <w:pStyle w:val="ListParagraph"/>
        <w:numPr>
          <w:ilvl w:val="0"/>
          <w:numId w:val="2"/>
        </w:numPr>
        <w:spacing w:after="60"/>
      </w:pPr>
      <w:r>
        <w:rPr>
          <w:rFonts w:ascii="Arial" w:cs="Arial" w:eastAsia="Arial" w:hAnsi="Arial"/>
          <w:color w:val="222222"/>
          <w:sz w:val="21"/>
          <w:szCs w:val="21"/>
        </w:rPr>
        <w:t xml:space="preserve">Redirecting users to an attacker-controlled page mimicking Google, facilitating credential harvesting</w:t>
      </w:r>
    </w:p>
    <w:p>
      <w:pPr>
        <w:pStyle w:val="ListParagraph"/>
        <w:numPr>
          <w:ilvl w:val="0"/>
          <w:numId w:val="2"/>
        </w:numPr>
        <w:spacing w:after="60"/>
      </w:pPr>
      <w:r>
        <w:rPr>
          <w:rFonts w:ascii="Arial" w:cs="Arial" w:eastAsia="Arial" w:hAnsi="Arial"/>
          <w:color w:val="222222"/>
          <w:sz w:val="21"/>
          <w:szCs w:val="21"/>
        </w:rPr>
        <w:t xml:space="preserve">Testing C2 connectivity — since google.com is routinely queried by browsers and system processes, successful resolution to the attacker's IP confirms the hosts file modification is active</w:t>
      </w:r>
    </w:p>
    <w:p>
      <w:pPr>
        <w:spacing w:after="120"/>
      </w:pPr>
      <w:r>
        <w:rPr>
          <w:rFonts w:ascii="Arial" w:cs="Arial" w:eastAsia="Arial" w:hAnsi="Arial"/>
          <w:color w:val="222222"/>
          <w:sz w:val="21"/>
          <w:szCs w:val="21"/>
        </w:rPr>
        <w:t xml:space="preserve">Hosts file modification is a well-documented defence evasion and credential access technique, mapping to MITRE ATT&amp;CK T1565.001 (Data Manipulation: Stored Data Manipulation) and T1557 (Adversary-in-the-Middle).</w:t>
      </w:r>
    </w:p>
    <w:p>
      <w:r>
        <w:br w:type="page"/>
      </w:r>
    </w:p>
    <w:p>
      <w:pPr>
        <w:pStyle w:val="Heading1"/>
        <w:pBdr>
          <w:bottom w:val="single" w:color="1F3864" w:sz="6" w:space="4"/>
        </w:pBdr>
        <w:spacing w:after="120" w:before="320"/>
      </w:pPr>
      <w:r>
        <w:rPr>
          <w:rFonts w:ascii="Arial" w:cs="Arial" w:eastAsia="Arial" w:hAnsi="Arial"/>
          <w:b/>
          <w:bCs/>
          <w:color w:val="1F3864"/>
          <w:sz w:val="26"/>
          <w:szCs w:val="26"/>
        </w:rPr>
        <w:t xml:space="preserve">9. Indicators of Compromise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900"/>
      </w:tblGrid>
      <w:tr>
        <w:tc>
          <w:tcPr>
            <w:tcW w:type="dxa" w:w="1800"/>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200"/>
            <w:shd w:fill="1F3864" w:val="clear"/>
            <w:tcMar>
              <w:top w:type="dxa" w:w="80"/>
              <w:left w:type="dxa" w:w="120"/>
              <w:bottom w:type="dxa" w:w="80"/>
              <w:right w:type="dxa" w:w="120"/>
            </w:tcMar>
          </w:tcPr>
          <w:p>
            <w:r>
              <w:rPr>
                <w:rFonts w:ascii="Arial" w:cs="Arial" w:eastAsia="Arial" w:hAnsi="Arial"/>
                <w:b/>
                <w:bCs/>
                <w:color w:val="FFFFFF"/>
                <w:sz w:val="18"/>
                <w:szCs w:val="18"/>
              </w:rPr>
              <w:t xml:space="preserve">Indicator</w:t>
            </w:r>
          </w:p>
        </w:tc>
        <w:tc>
          <w:tcPr>
            <w:tcW w:type="dxa" w:w="3900"/>
            <w:shd w:fill="1F3864" w:val="clear"/>
            <w:tcMar>
              <w:top w:type="dxa" w:w="80"/>
              <w:left w:type="dxa" w:w="120"/>
              <w:bottom w:type="dxa" w:w="80"/>
              <w:right w:type="dxa" w:w="120"/>
            </w:tcMar>
          </w:tcPr>
          <w:p>
            <w:r>
              <w:rPr>
                <w:rFonts w:ascii="Arial" w:cs="Arial" w:eastAsia="Arial" w:hAnsi="Arial"/>
                <w:b/>
                <w:bCs/>
                <w:color w:val="FFFFFF"/>
                <w:sz w:val="18"/>
                <w:szCs w:val="18"/>
              </w:rPr>
              <w:t xml:space="preserve">Context</w:t>
            </w:r>
          </w:p>
        </w:tc>
      </w:tr>
      <w:tr>
        <w:tc>
          <w:tcPr>
            <w:tcW w:type="dxa" w:w="1800"/>
            <w:tcMar>
              <w:top w:type="dxa" w:w="80"/>
              <w:left w:type="dxa" w:w="120"/>
              <w:bottom w:type="dxa" w:w="80"/>
              <w:right w:type="dxa" w:w="120"/>
            </w:tcMar>
          </w:tcPr>
          <w:p>
            <w:r>
              <w:rPr>
                <w:rFonts w:ascii="Arial" w:cs="Arial" w:eastAsia="Arial" w:hAnsi="Arial"/>
                <w:b w:val="false"/>
                <w:bCs w:val="false"/>
                <w:color w:val="222222"/>
                <w:sz w:val="18"/>
                <w:szCs w:val="18"/>
              </w:rPr>
              <w:t xml:space="preserve">IPv4</w:t>
            </w:r>
          </w:p>
        </w:tc>
        <w:tc>
          <w:tcPr>
            <w:tcW w:type="dxa" w:w="4200"/>
            <w:tcMar>
              <w:top w:type="dxa" w:w="80"/>
              <w:left w:type="dxa" w:w="120"/>
              <w:bottom w:type="dxa" w:w="80"/>
              <w:right w:type="dxa" w:w="120"/>
            </w:tcMar>
          </w:tcPr>
          <w:p>
            <w:r>
              <w:rPr>
                <w:rFonts w:ascii="Consolas" w:cs="Consolas" w:eastAsia="Consolas" w:hAnsi="Consolas"/>
                <w:b w:val="false"/>
                <w:bCs w:val="false"/>
                <w:color w:val="222222"/>
                <w:sz w:val="18"/>
                <w:szCs w:val="18"/>
              </w:rPr>
              <w:t xml:space="preserve">76.32.97.132</w:t>
            </w:r>
          </w:p>
        </w:tc>
        <w:tc>
          <w:tcPr>
            <w:tcW w:type="dxa" w:w="3900"/>
            <w:tcMar>
              <w:top w:type="dxa" w:w="80"/>
              <w:left w:type="dxa" w:w="120"/>
              <w:bottom w:type="dxa" w:w="80"/>
              <w:right w:type="dxa" w:w="120"/>
            </w:tcMar>
          </w:tcPr>
          <w:p>
            <w:r>
              <w:rPr>
                <w:rFonts w:ascii="Arial" w:cs="Arial" w:eastAsia="Arial" w:hAnsi="Arial"/>
                <w:b w:val="false"/>
                <w:bCs w:val="false"/>
                <w:color w:val="222222"/>
                <w:sz w:val="18"/>
                <w:szCs w:val="18"/>
              </w:rPr>
              <w:t xml:space="preserve">External C2 server; DNS poisoning target</w:t>
            </w:r>
          </w:p>
        </w:tc>
      </w:tr>
      <w:tr>
        <w:tc>
          <w:tcPr>
            <w:tcW w:type="dxa" w:w="1800"/>
            <w:tcMar>
              <w:top w:type="dxa" w:w="80"/>
              <w:left w:type="dxa" w:w="120"/>
              <w:bottom w:type="dxa" w:w="80"/>
              <w:right w:type="dxa" w:w="120"/>
            </w:tcMar>
          </w:tcPr>
          <w:p>
            <w:r>
              <w:rPr>
                <w:rFonts w:ascii="Arial" w:cs="Arial" w:eastAsia="Arial" w:hAnsi="Arial"/>
                <w:b w:val="false"/>
                <w:bCs w:val="false"/>
                <w:color w:val="222222"/>
                <w:sz w:val="18"/>
                <w:szCs w:val="18"/>
              </w:rPr>
              <w:t xml:space="preserve">IPv4</w:t>
            </w:r>
          </w:p>
        </w:tc>
        <w:tc>
          <w:tcPr>
            <w:tcW w:type="dxa" w:w="4200"/>
            <w:tcMar>
              <w:top w:type="dxa" w:w="80"/>
              <w:left w:type="dxa" w:w="120"/>
              <w:bottom w:type="dxa" w:w="80"/>
              <w:right w:type="dxa" w:w="120"/>
            </w:tcMar>
          </w:tcPr>
          <w:p>
            <w:r>
              <w:rPr>
                <w:rFonts w:ascii="Consolas" w:cs="Consolas" w:eastAsia="Consolas" w:hAnsi="Consolas"/>
                <w:b w:val="false"/>
                <w:bCs w:val="false"/>
                <w:color w:val="222222"/>
                <w:sz w:val="18"/>
                <w:szCs w:val="18"/>
              </w:rPr>
              <w:t xml:space="preserve">10.34.2.3</w:t>
            </w:r>
          </w:p>
        </w:tc>
        <w:tc>
          <w:tcPr>
            <w:tcW w:type="dxa" w:w="3900"/>
            <w:tcMar>
              <w:top w:type="dxa" w:w="80"/>
              <w:left w:type="dxa" w:w="120"/>
              <w:bottom w:type="dxa" w:w="80"/>
              <w:right w:type="dxa" w:w="120"/>
            </w:tcMar>
          </w:tcPr>
          <w:p>
            <w:r>
              <w:rPr>
                <w:rFonts w:ascii="Arial" w:cs="Arial" w:eastAsia="Arial" w:hAnsi="Arial"/>
                <w:b w:val="false"/>
                <w:bCs w:val="false"/>
                <w:color w:val="222222"/>
                <w:sz w:val="18"/>
                <w:szCs w:val="18"/>
              </w:rPr>
              <w:t xml:space="preserve">Internal pivot point / relay (registry startup)</w:t>
            </w:r>
          </w:p>
        </w:tc>
      </w:tr>
      <w:tr>
        <w:tc>
          <w:tcPr>
            <w:tcW w:type="dxa" w:w="1800"/>
            <w:tcMar>
              <w:top w:type="dxa" w:w="80"/>
              <w:left w:type="dxa" w:w="120"/>
              <w:bottom w:type="dxa" w:w="80"/>
              <w:right w:type="dxa" w:w="120"/>
            </w:tcMar>
          </w:tcPr>
          <w:p>
            <w:r>
              <w:rPr>
                <w:rFonts w:ascii="Arial" w:cs="Arial" w:eastAsia="Arial" w:hAnsi="Arial"/>
                <w:b w:val="false"/>
                <w:bCs w:val="false"/>
                <w:color w:val="222222"/>
                <w:sz w:val="18"/>
                <w:szCs w:val="18"/>
              </w:rPr>
              <w:t xml:space="preserve">File</w:t>
            </w:r>
          </w:p>
        </w:tc>
        <w:tc>
          <w:tcPr>
            <w:tcW w:type="dxa" w:w="4200"/>
            <w:tcMar>
              <w:top w:type="dxa" w:w="80"/>
              <w:left w:type="dxa" w:w="120"/>
              <w:bottom w:type="dxa" w:w="80"/>
              <w:right w:type="dxa" w:w="120"/>
            </w:tcMar>
          </w:tcPr>
          <w:p>
            <w:r>
              <w:rPr>
                <w:rFonts w:ascii="Consolas" w:cs="Consolas" w:eastAsia="Consolas" w:hAnsi="Consolas"/>
                <w:b w:val="false"/>
                <w:bCs w:val="false"/>
                <w:color w:val="222222"/>
                <w:sz w:val="18"/>
                <w:szCs w:val="18"/>
              </w:rPr>
              <w:t xml:space="preserve">nc.ps1</w:t>
            </w:r>
          </w:p>
        </w:tc>
        <w:tc>
          <w:tcPr>
            <w:tcW w:type="dxa" w:w="3900"/>
            <w:tcMar>
              <w:top w:type="dxa" w:w="80"/>
              <w:left w:type="dxa" w:w="120"/>
              <w:bottom w:type="dxa" w:w="80"/>
              <w:right w:type="dxa" w:w="120"/>
            </w:tcMar>
          </w:tcPr>
          <w:p>
            <w:r>
              <w:rPr>
                <w:rFonts w:ascii="Arial" w:cs="Arial" w:eastAsia="Arial" w:hAnsi="Arial"/>
                <w:b w:val="false"/>
                <w:bCs w:val="false"/>
                <w:color w:val="222222"/>
                <w:sz w:val="18"/>
                <w:szCs w:val="18"/>
              </w:rPr>
              <w:t xml:space="preserve">PowerShell Netcat implementation — reverse shell</w:t>
            </w:r>
          </w:p>
        </w:tc>
      </w:tr>
      <w:tr>
        <w:tc>
          <w:tcPr>
            <w:tcW w:type="dxa" w:w="1800"/>
            <w:tcMar>
              <w:top w:type="dxa" w:w="80"/>
              <w:left w:type="dxa" w:w="120"/>
              <w:bottom w:type="dxa" w:w="80"/>
              <w:right w:type="dxa" w:w="120"/>
            </w:tcMar>
          </w:tcPr>
          <w:p>
            <w:r>
              <w:rPr>
                <w:rFonts w:ascii="Arial" w:cs="Arial" w:eastAsia="Arial" w:hAnsi="Arial"/>
                <w:b w:val="false"/>
                <w:bCs w:val="false"/>
                <w:color w:val="222222"/>
                <w:sz w:val="18"/>
                <w:szCs w:val="18"/>
              </w:rPr>
              <w:t xml:space="preserve">File extension</w:t>
            </w:r>
          </w:p>
        </w:tc>
        <w:tc>
          <w:tcPr>
            <w:tcW w:type="dxa" w:w="4200"/>
            <w:tcMar>
              <w:top w:type="dxa" w:w="80"/>
              <w:left w:type="dxa" w:w="120"/>
              <w:bottom w:type="dxa" w:w="80"/>
              <w:right w:type="dxa" w:w="120"/>
            </w:tcMar>
          </w:tcPr>
          <w:p>
            <w:r>
              <w:rPr>
                <w:rFonts w:ascii="Consolas" w:cs="Consolas" w:eastAsia="Consolas" w:hAnsi="Consolas"/>
                <w:b w:val="false"/>
                <w:bCs w:val="false"/>
                <w:color w:val="222222"/>
                <w:sz w:val="18"/>
                <w:szCs w:val="18"/>
              </w:rPr>
              <w:t xml:space="preserve">.jsp web shell</w:t>
            </w:r>
          </w:p>
        </w:tc>
        <w:tc>
          <w:tcPr>
            <w:tcW w:type="dxa" w:w="3900"/>
            <w:tcMar>
              <w:top w:type="dxa" w:w="80"/>
              <w:left w:type="dxa" w:w="120"/>
              <w:bottom w:type="dxa" w:w="80"/>
              <w:right w:type="dxa" w:w="120"/>
            </w:tcMar>
          </w:tcPr>
          <w:p>
            <w:r>
              <w:rPr>
                <w:rFonts w:ascii="Arial" w:cs="Arial" w:eastAsia="Arial" w:hAnsi="Arial"/>
                <w:b w:val="false"/>
                <w:bCs w:val="false"/>
                <w:color w:val="222222"/>
                <w:sz w:val="18"/>
                <w:szCs w:val="18"/>
              </w:rPr>
              <w:t xml:space="preserve">Initial access — uploaded to IIS web root</w:t>
            </w:r>
          </w:p>
        </w:tc>
      </w:tr>
      <w:tr>
        <w:tc>
          <w:tcPr>
            <w:tcW w:type="dxa" w:w="1800"/>
            <w:tcMar>
              <w:top w:type="dxa" w:w="80"/>
              <w:left w:type="dxa" w:w="120"/>
              <w:bottom w:type="dxa" w:w="80"/>
              <w:right w:type="dxa" w:w="120"/>
            </w:tcMar>
          </w:tcPr>
          <w:p>
            <w:r>
              <w:rPr>
                <w:rFonts w:ascii="Arial" w:cs="Arial" w:eastAsia="Arial" w:hAnsi="Arial"/>
                <w:b w:val="false"/>
                <w:bCs w:val="false"/>
                <w:color w:val="222222"/>
                <w:sz w:val="18"/>
                <w:szCs w:val="18"/>
              </w:rPr>
              <w:t xml:space="preserve">Scheduled task</w:t>
            </w:r>
          </w:p>
        </w:tc>
        <w:tc>
          <w:tcPr>
            <w:tcW w:type="dxa" w:w="4200"/>
            <w:tcMar>
              <w:top w:type="dxa" w:w="80"/>
              <w:left w:type="dxa" w:w="120"/>
              <w:bottom w:type="dxa" w:w="80"/>
              <w:right w:type="dxa" w:w="120"/>
            </w:tcMar>
          </w:tcPr>
          <w:p>
            <w:r>
              <w:rPr>
                <w:rFonts w:ascii="Consolas" w:cs="Consolas" w:eastAsia="Consolas" w:hAnsi="Consolas"/>
                <w:b w:val="false"/>
                <w:bCs w:val="false"/>
                <w:color w:val="222222"/>
                <w:sz w:val="18"/>
                <w:szCs w:val="18"/>
              </w:rPr>
              <w:t xml:space="preserve">Clean file system</w:t>
            </w:r>
          </w:p>
        </w:tc>
        <w:tc>
          <w:tcPr>
            <w:tcW w:type="dxa" w:w="3900"/>
            <w:tcMar>
              <w:top w:type="dxa" w:w="80"/>
              <w:left w:type="dxa" w:w="120"/>
              <w:bottom w:type="dxa" w:w="80"/>
              <w:right w:type="dxa" w:w="120"/>
            </w:tcMar>
          </w:tcPr>
          <w:p>
            <w:r>
              <w:rPr>
                <w:rFonts w:ascii="Arial" w:cs="Arial" w:eastAsia="Arial" w:hAnsi="Arial"/>
                <w:b w:val="false"/>
                <w:bCs w:val="false"/>
                <w:color w:val="222222"/>
                <w:sz w:val="18"/>
                <w:szCs w:val="18"/>
              </w:rPr>
              <w:t xml:space="preserve">Malicious task running Netcat on port 1348</w:t>
            </w:r>
          </w:p>
        </w:tc>
      </w:tr>
      <w:tr>
        <w:tc>
          <w:tcPr>
            <w:tcW w:type="dxa" w:w="1800"/>
            <w:tcMar>
              <w:top w:type="dxa" w:w="80"/>
              <w:left w:type="dxa" w:w="120"/>
              <w:bottom w:type="dxa" w:w="80"/>
              <w:right w:type="dxa" w:w="120"/>
            </w:tcMar>
          </w:tcPr>
          <w:p>
            <w:r>
              <w:rPr>
                <w:rFonts w:ascii="Arial" w:cs="Arial" w:eastAsia="Arial" w:hAnsi="Arial"/>
                <w:b w:val="false"/>
                <w:bCs w:val="false"/>
                <w:color w:val="222222"/>
                <w:sz w:val="18"/>
                <w:szCs w:val="18"/>
              </w:rPr>
              <w:t xml:space="preserve">Port</w:t>
            </w:r>
          </w:p>
        </w:tc>
        <w:tc>
          <w:tcPr>
            <w:tcW w:type="dxa" w:w="4200"/>
            <w:tcMar>
              <w:top w:type="dxa" w:w="80"/>
              <w:left w:type="dxa" w:w="120"/>
              <w:bottom w:type="dxa" w:w="80"/>
              <w:right w:type="dxa" w:w="120"/>
            </w:tcMar>
          </w:tcPr>
          <w:p>
            <w:r>
              <w:rPr>
                <w:rFonts w:ascii="Consolas" w:cs="Consolas" w:eastAsia="Consolas" w:hAnsi="Consolas"/>
                <w:b w:val="false"/>
                <w:bCs w:val="false"/>
                <w:color w:val="222222"/>
                <w:sz w:val="18"/>
                <w:szCs w:val="18"/>
              </w:rPr>
              <w:t xml:space="preserve">1348/TCP</w:t>
            </w:r>
          </w:p>
        </w:tc>
        <w:tc>
          <w:tcPr>
            <w:tcW w:type="dxa" w:w="3900"/>
            <w:tcMar>
              <w:top w:type="dxa" w:w="80"/>
              <w:left w:type="dxa" w:w="120"/>
              <w:bottom w:type="dxa" w:w="80"/>
              <w:right w:type="dxa" w:w="120"/>
            </w:tcMar>
          </w:tcPr>
          <w:p>
            <w:r>
              <w:rPr>
                <w:rFonts w:ascii="Arial" w:cs="Arial" w:eastAsia="Arial" w:hAnsi="Arial"/>
                <w:b w:val="false"/>
                <w:bCs w:val="false"/>
                <w:color w:val="222222"/>
                <w:sz w:val="18"/>
                <w:szCs w:val="18"/>
              </w:rPr>
              <w:t xml:space="preserve">Netcat listener — reverse shell</w:t>
            </w:r>
          </w:p>
        </w:tc>
      </w:tr>
      <w:tr>
        <w:tc>
          <w:tcPr>
            <w:tcW w:type="dxa" w:w="1800"/>
            <w:tcMar>
              <w:top w:type="dxa" w:w="80"/>
              <w:left w:type="dxa" w:w="120"/>
              <w:bottom w:type="dxa" w:w="80"/>
              <w:right w:type="dxa" w:w="120"/>
            </w:tcMar>
          </w:tcPr>
          <w:p>
            <w:r>
              <w:rPr>
                <w:rFonts w:ascii="Arial" w:cs="Arial" w:eastAsia="Arial" w:hAnsi="Arial"/>
                <w:b w:val="false"/>
                <w:bCs w:val="false"/>
                <w:color w:val="222222"/>
                <w:sz w:val="18"/>
                <w:szCs w:val="18"/>
              </w:rPr>
              <w:t xml:space="preserve">Port</w:t>
            </w:r>
          </w:p>
        </w:tc>
        <w:tc>
          <w:tcPr>
            <w:tcW w:type="dxa" w:w="4200"/>
            <w:tcMar>
              <w:top w:type="dxa" w:w="80"/>
              <w:left w:type="dxa" w:w="120"/>
              <w:bottom w:type="dxa" w:w="80"/>
              <w:right w:type="dxa" w:w="120"/>
            </w:tcMar>
          </w:tcPr>
          <w:p>
            <w:r>
              <w:rPr>
                <w:rFonts w:ascii="Consolas" w:cs="Consolas" w:eastAsia="Consolas" w:hAnsi="Consolas"/>
                <w:b w:val="false"/>
                <w:bCs w:val="false"/>
                <w:color w:val="222222"/>
                <w:sz w:val="18"/>
                <w:szCs w:val="18"/>
              </w:rPr>
              <w:t xml:space="preserve">1337/TCP</w:t>
            </w:r>
          </w:p>
        </w:tc>
        <w:tc>
          <w:tcPr>
            <w:tcW w:type="dxa" w:w="3900"/>
            <w:tcMar>
              <w:top w:type="dxa" w:w="80"/>
              <w:left w:type="dxa" w:w="120"/>
              <w:bottom w:type="dxa" w:w="80"/>
              <w:right w:type="dxa" w:w="120"/>
            </w:tcMar>
          </w:tcPr>
          <w:p>
            <w:r>
              <w:rPr>
                <w:rFonts w:ascii="Arial" w:cs="Arial" w:eastAsia="Arial" w:hAnsi="Arial"/>
                <w:b w:val="false"/>
                <w:bCs w:val="false"/>
                <w:color w:val="222222"/>
                <w:sz w:val="18"/>
                <w:szCs w:val="18"/>
              </w:rPr>
              <w:t xml:space="preserve">Attacker-created firewall rule</w:t>
            </w:r>
          </w:p>
        </w:tc>
      </w:tr>
      <w:tr>
        <w:tc>
          <w:tcPr>
            <w:tcW w:type="dxa" w:w="1800"/>
            <w:tcMar>
              <w:top w:type="dxa" w:w="80"/>
              <w:left w:type="dxa" w:w="120"/>
              <w:bottom w:type="dxa" w:w="80"/>
              <w:right w:type="dxa" w:w="120"/>
            </w:tcMar>
          </w:tcPr>
          <w:p>
            <w:r>
              <w:rPr>
                <w:rFonts w:ascii="Arial" w:cs="Arial" w:eastAsia="Arial" w:hAnsi="Arial"/>
                <w:b w:val="false"/>
                <w:bCs w:val="false"/>
                <w:color w:val="222222"/>
                <w:sz w:val="18"/>
                <w:szCs w:val="18"/>
              </w:rPr>
              <w:t xml:space="preserve">Account</w:t>
            </w:r>
          </w:p>
        </w:tc>
        <w:tc>
          <w:tcPr>
            <w:tcW w:type="dxa" w:w="4200"/>
            <w:tcMar>
              <w:top w:type="dxa" w:w="80"/>
              <w:left w:type="dxa" w:w="120"/>
              <w:bottom w:type="dxa" w:w="80"/>
              <w:right w:type="dxa" w:w="120"/>
            </w:tcMar>
          </w:tcPr>
          <w:p>
            <w:r>
              <w:rPr>
                <w:rFonts w:ascii="Consolas" w:cs="Consolas" w:eastAsia="Consolas" w:hAnsi="Consolas"/>
                <w:b w:val="false"/>
                <w:bCs w:val="false"/>
                <w:color w:val="222222"/>
                <w:sz w:val="18"/>
                <w:szCs w:val="18"/>
              </w:rPr>
              <w:t xml:space="preserve">Jenny</w:t>
            </w:r>
          </w:p>
        </w:tc>
        <w:tc>
          <w:tcPr>
            <w:tcW w:type="dxa" w:w="3900"/>
            <w:tcMar>
              <w:top w:type="dxa" w:w="80"/>
              <w:left w:type="dxa" w:w="120"/>
              <w:bottom w:type="dxa" w:w="80"/>
              <w:right w:type="dxa" w:w="120"/>
            </w:tcMar>
          </w:tcPr>
          <w:p>
            <w:r>
              <w:rPr>
                <w:rFonts w:ascii="Arial" w:cs="Arial" w:eastAsia="Arial" w:hAnsi="Arial"/>
                <w:b w:val="false"/>
                <w:bCs w:val="false"/>
                <w:color w:val="222222"/>
                <w:sz w:val="18"/>
                <w:szCs w:val="18"/>
              </w:rPr>
              <w:t xml:space="preserve">Unauthorised account elevated to Administrators</w:t>
            </w:r>
          </w:p>
        </w:tc>
      </w:tr>
      <w:tr>
        <w:tc>
          <w:tcPr>
            <w:tcW w:type="dxa" w:w="1800"/>
            <w:tcMar>
              <w:top w:type="dxa" w:w="80"/>
              <w:left w:type="dxa" w:w="120"/>
              <w:bottom w:type="dxa" w:w="80"/>
              <w:right w:type="dxa" w:w="120"/>
            </w:tcMar>
          </w:tcPr>
          <w:p>
            <w:r>
              <w:rPr>
                <w:rFonts w:ascii="Arial" w:cs="Arial" w:eastAsia="Arial" w:hAnsi="Arial"/>
                <w:b w:val="false"/>
                <w:bCs w:val="false"/>
                <w:color w:val="222222"/>
                <w:sz w:val="18"/>
                <w:szCs w:val="18"/>
              </w:rPr>
              <w:t xml:space="preserve">Account</w:t>
            </w:r>
          </w:p>
        </w:tc>
        <w:tc>
          <w:tcPr>
            <w:tcW w:type="dxa" w:w="4200"/>
            <w:tcMar>
              <w:top w:type="dxa" w:w="80"/>
              <w:left w:type="dxa" w:w="120"/>
              <w:bottom w:type="dxa" w:w="80"/>
              <w:right w:type="dxa" w:w="120"/>
            </w:tcMar>
          </w:tcPr>
          <w:p>
            <w:r>
              <w:rPr>
                <w:rFonts w:ascii="Consolas" w:cs="Consolas" w:eastAsia="Consolas" w:hAnsi="Consolas"/>
                <w:b w:val="false"/>
                <w:bCs w:val="false"/>
                <w:color w:val="222222"/>
                <w:sz w:val="18"/>
                <w:szCs w:val="18"/>
              </w:rPr>
              <w:t xml:space="preserve">Guest (re-enabled)</w:t>
            </w:r>
          </w:p>
        </w:tc>
        <w:tc>
          <w:tcPr>
            <w:tcW w:type="dxa" w:w="3900"/>
            <w:tcMar>
              <w:top w:type="dxa" w:w="80"/>
              <w:left w:type="dxa" w:w="120"/>
              <w:bottom w:type="dxa" w:w="80"/>
              <w:right w:type="dxa" w:w="120"/>
            </w:tcMar>
          </w:tcPr>
          <w:p>
            <w:r>
              <w:rPr>
                <w:rFonts w:ascii="Arial" w:cs="Arial" w:eastAsia="Arial" w:hAnsi="Arial"/>
                <w:b w:val="false"/>
                <w:bCs w:val="false"/>
                <w:color w:val="222222"/>
                <w:sz w:val="18"/>
                <w:szCs w:val="18"/>
              </w:rPr>
              <w:t xml:space="preserve">Built-in account re-enabled and elevated</w:t>
            </w:r>
          </w:p>
        </w:tc>
      </w:tr>
      <w:tr>
        <w:tc>
          <w:tcPr>
            <w:tcW w:type="dxa" w:w="1800"/>
            <w:tcMar>
              <w:top w:type="dxa" w:w="80"/>
              <w:left w:type="dxa" w:w="120"/>
              <w:bottom w:type="dxa" w:w="80"/>
              <w:right w:type="dxa" w:w="120"/>
            </w:tcMar>
          </w:tcPr>
          <w:p>
            <w:r>
              <w:rPr>
                <w:rFonts w:ascii="Arial" w:cs="Arial" w:eastAsia="Arial" w:hAnsi="Arial"/>
                <w:b w:val="false"/>
                <w:bCs w:val="false"/>
                <w:color w:val="222222"/>
                <w:sz w:val="18"/>
                <w:szCs w:val="18"/>
              </w:rPr>
              <w:t xml:space="preserve">Hosts entry</w:t>
            </w:r>
          </w:p>
        </w:tc>
        <w:tc>
          <w:tcPr>
            <w:tcW w:type="dxa" w:w="4200"/>
            <w:tcMar>
              <w:top w:type="dxa" w:w="80"/>
              <w:left w:type="dxa" w:w="120"/>
              <w:bottom w:type="dxa" w:w="80"/>
              <w:right w:type="dxa" w:w="120"/>
            </w:tcMar>
          </w:tcPr>
          <w:p>
            <w:r>
              <w:rPr>
                <w:rFonts w:ascii="Consolas" w:cs="Consolas" w:eastAsia="Consolas" w:hAnsi="Consolas"/>
                <w:b w:val="false"/>
                <w:bCs w:val="false"/>
                <w:color w:val="222222"/>
                <w:sz w:val="18"/>
                <w:szCs w:val="18"/>
              </w:rPr>
              <w:t xml:space="preserve">76.32.97.132  google.com</w:t>
            </w:r>
          </w:p>
        </w:tc>
        <w:tc>
          <w:tcPr>
            <w:tcW w:type="dxa" w:w="3900"/>
            <w:tcMar>
              <w:top w:type="dxa" w:w="80"/>
              <w:left w:type="dxa" w:w="120"/>
              <w:bottom w:type="dxa" w:w="80"/>
              <w:right w:type="dxa" w:w="120"/>
            </w:tcMar>
          </w:tcPr>
          <w:p>
            <w:r>
              <w:rPr>
                <w:rFonts w:ascii="Arial" w:cs="Arial" w:eastAsia="Arial" w:hAnsi="Arial"/>
                <w:b w:val="false"/>
                <w:bCs w:val="false"/>
                <w:color w:val="222222"/>
                <w:sz w:val="18"/>
                <w:szCs w:val="18"/>
              </w:rPr>
              <w:t xml:space="preserve">DNS poisoning — redirects google.com to C2</w:t>
            </w:r>
          </w:p>
        </w:tc>
      </w:tr>
      <w:tr>
        <w:tc>
          <w:tcPr>
            <w:tcW w:type="dxa" w:w="1800"/>
            <w:tcMar>
              <w:top w:type="dxa" w:w="80"/>
              <w:left w:type="dxa" w:w="120"/>
              <w:bottom w:type="dxa" w:w="80"/>
              <w:right w:type="dxa" w:w="120"/>
            </w:tcMar>
          </w:tcPr>
          <w:p>
            <w:r>
              <w:rPr>
                <w:rFonts w:ascii="Arial" w:cs="Arial" w:eastAsia="Arial" w:hAnsi="Arial"/>
                <w:b w:val="false"/>
                <w:bCs w:val="false"/>
                <w:color w:val="222222"/>
                <w:sz w:val="18"/>
                <w:szCs w:val="18"/>
              </w:rPr>
              <w:t xml:space="preserve">Registry</w:t>
            </w:r>
          </w:p>
        </w:tc>
        <w:tc>
          <w:tcPr>
            <w:tcW w:type="dxa" w:w="4200"/>
            <w:tcMar>
              <w:top w:type="dxa" w:w="80"/>
              <w:left w:type="dxa" w:w="120"/>
              <w:bottom w:type="dxa" w:w="80"/>
              <w:right w:type="dxa" w:w="120"/>
            </w:tcMar>
          </w:tcPr>
          <w:p>
            <w:r>
              <w:rPr>
                <w:rFonts w:ascii="Consolas" w:cs="Consolas" w:eastAsia="Consolas" w:hAnsi="Consolas"/>
                <w:b w:val="false"/>
                <w:bCs w:val="false"/>
                <w:color w:val="222222"/>
                <w:sz w:val="18"/>
                <w:szCs w:val="18"/>
              </w:rPr>
              <w:t xml:space="preserve">HKLM\...\CurrentVersion\Run</w:t>
            </w:r>
          </w:p>
        </w:tc>
        <w:tc>
          <w:tcPr>
            <w:tcW w:type="dxa" w:w="3900"/>
            <w:tcMar>
              <w:top w:type="dxa" w:w="80"/>
              <w:left w:type="dxa" w:w="120"/>
              <w:bottom w:type="dxa" w:w="80"/>
              <w:right w:type="dxa" w:w="120"/>
            </w:tcMar>
          </w:tcPr>
          <w:p>
            <w:r>
              <w:rPr>
                <w:rFonts w:ascii="Arial" w:cs="Arial" w:eastAsia="Arial" w:hAnsi="Arial"/>
                <w:b w:val="false"/>
                <w:bCs w:val="false"/>
                <w:color w:val="222222"/>
                <w:sz w:val="18"/>
                <w:szCs w:val="18"/>
              </w:rPr>
              <w:t xml:space="preserve">Startup persistence — connects to 10.34.2.3</w:t>
            </w:r>
          </w:p>
        </w:tc>
      </w:tr>
    </w:tbl>
    <w:p>
      <w:pPr>
        <w:pStyle w:val="Heading1"/>
        <w:pBdr>
          <w:bottom w:val="single" w:color="1F3864" w:sz="6" w:space="4"/>
        </w:pBdr>
        <w:spacing w:after="120" w:before="320"/>
      </w:pPr>
      <w:r>
        <w:rPr>
          <w:rFonts w:ascii="Arial" w:cs="Arial" w:eastAsia="Arial" w:hAnsi="Arial"/>
          <w:b/>
          <w:bCs/>
          <w:color w:val="1F3864"/>
          <w:sz w:val="26"/>
          <w:szCs w:val="26"/>
        </w:rPr>
        <w:t xml:space="preserve">10. MITRE ATT&amp;CK Mapping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100"/>
        <w:gridCol w:w="3000"/>
      </w:tblGrid>
      <w:tr>
        <w:tc>
          <w:tcPr>
            <w:tcW w:type="dxa" w:w="1600"/>
            <w:shd w:fill="1F3864" w:val="clear"/>
            <w:tcMar>
              <w:top w:type="dxa" w:w="80"/>
              <w:left w:type="dxa" w:w="120"/>
              <w:bottom w:type="dxa" w:w="80"/>
              <w:right w:type="dxa" w:w="120"/>
            </w:tcMar>
          </w:tcPr>
          <w:p>
            <w:r>
              <w:rPr>
                <w:rFonts w:ascii="Arial" w:cs="Arial" w:eastAsia="Arial" w:hAnsi="Arial"/>
                <w:b/>
                <w:bCs/>
                <w:color w:val="FFFFFF"/>
                <w:sz w:val="18"/>
                <w:szCs w:val="18"/>
              </w:rPr>
              <w:t xml:space="preserve">Technique</w:t>
            </w:r>
          </w:p>
        </w:tc>
        <w:tc>
          <w:tcPr>
            <w:tcW w:type="dxa" w:w="3200"/>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100"/>
            <w:shd w:fill="1F3864" w:val="clear"/>
            <w:tcMar>
              <w:top w:type="dxa" w:w="80"/>
              <w:left w:type="dxa" w:w="120"/>
              <w:bottom w:type="dxa" w:w="80"/>
              <w:right w:type="dxa" w:w="120"/>
            </w:tcMar>
          </w:tcPr>
          <w:p>
            <w:r>
              <w:rPr>
                <w:rFonts w:ascii="Arial" w:cs="Arial" w:eastAsia="Arial" w:hAnsi="Arial"/>
                <w:b/>
                <w:bCs/>
                <w:color w:val="FFFFFF"/>
                <w:sz w:val="18"/>
                <w:szCs w:val="18"/>
              </w:rPr>
              <w:t xml:space="preserve">Tactic</w:t>
            </w:r>
          </w:p>
        </w:tc>
        <w:tc>
          <w:tcPr>
            <w:tcW w:type="dxa" w:w="3000"/>
            <w:shd w:fill="1F3864" w:val="clear"/>
            <w:tcMar>
              <w:top w:type="dxa" w:w="80"/>
              <w:left w:type="dxa" w:w="120"/>
              <w:bottom w:type="dxa" w:w="80"/>
              <w:right w:type="dxa" w:w="120"/>
            </w:tcMar>
          </w:tcPr>
          <w:p>
            <w:r>
              <w:rPr>
                <w:rFonts w:ascii="Arial" w:cs="Arial" w:eastAsia="Arial" w:hAnsi="Arial"/>
                <w:b/>
                <w:bCs/>
                <w:color w:val="FFFFFF"/>
                <w:sz w:val="18"/>
                <w:szCs w:val="18"/>
              </w:rPr>
              <w:t xml:space="preserve">Evidence</w:t>
            </w:r>
          </w:p>
        </w:tc>
      </w:tr>
      <w:tr>
        <w:tc>
          <w:tcPr>
            <w:tcW w:type="dxa" w:w="1600"/>
            <w:tcMar>
              <w:top w:type="dxa" w:w="80"/>
              <w:left w:type="dxa" w:w="120"/>
              <w:bottom w:type="dxa" w:w="80"/>
              <w:right w:type="dxa" w:w="120"/>
            </w:tcMar>
          </w:tcPr>
          <w:p>
            <w:r>
              <w:rPr>
                <w:rFonts w:ascii="Arial" w:cs="Arial" w:eastAsia="Arial" w:hAnsi="Arial"/>
                <w:b w:val="false"/>
                <w:bCs w:val="false"/>
                <w:color w:val="222222"/>
                <w:sz w:val="18"/>
                <w:szCs w:val="18"/>
              </w:rPr>
              <w:t xml:space="preserve">T1505.003</w:t>
            </w:r>
          </w:p>
        </w:tc>
        <w:tc>
          <w:tcPr>
            <w:tcW w:type="dxa" w:w="3200"/>
            <w:tcMar>
              <w:top w:type="dxa" w:w="80"/>
              <w:left w:type="dxa" w:w="120"/>
              <w:bottom w:type="dxa" w:w="80"/>
              <w:right w:type="dxa" w:w="120"/>
            </w:tcMar>
          </w:tcPr>
          <w:p>
            <w:r>
              <w:rPr>
                <w:rFonts w:ascii="Arial" w:cs="Arial" w:eastAsia="Arial" w:hAnsi="Arial"/>
                <w:b w:val="false"/>
                <w:bCs w:val="false"/>
                <w:color w:val="222222"/>
                <w:sz w:val="18"/>
                <w:szCs w:val="18"/>
              </w:rPr>
              <w:t xml:space="preserve">Web Shell</w:t>
            </w:r>
          </w:p>
        </w:tc>
        <w:tc>
          <w:tcPr>
            <w:tcW w:type="dxa" w:w="2100"/>
            <w:tcMar>
              <w:top w:type="dxa" w:w="80"/>
              <w:left w:type="dxa" w:w="120"/>
              <w:bottom w:type="dxa" w:w="80"/>
              <w:right w:type="dxa" w:w="120"/>
            </w:tcMar>
          </w:tcPr>
          <w:p>
            <w:r>
              <w:rPr>
                <w:rFonts w:ascii="Arial" w:cs="Arial" w:eastAsia="Arial" w:hAnsi="Arial"/>
                <w:b w:val="false"/>
                <w:bCs w:val="false"/>
                <w:color w:val="222222"/>
                <w:sz w:val="18"/>
                <w:szCs w:val="18"/>
              </w:rPr>
              <w:t xml:space="preserve">Persistence</w:t>
            </w:r>
          </w:p>
        </w:tc>
        <w:tc>
          <w:tcPr>
            <w:tcW w:type="dxa" w:w="3000"/>
            <w:tcMar>
              <w:top w:type="dxa" w:w="80"/>
              <w:left w:type="dxa" w:w="120"/>
              <w:bottom w:type="dxa" w:w="80"/>
              <w:right w:type="dxa" w:w="120"/>
            </w:tcMar>
          </w:tcPr>
          <w:p>
            <w:r>
              <w:rPr>
                <w:rFonts w:ascii="Arial" w:cs="Arial" w:eastAsia="Arial" w:hAnsi="Arial"/>
                <w:b w:val="false"/>
                <w:bCs w:val="false"/>
                <w:color w:val="222222"/>
                <w:sz w:val="18"/>
                <w:szCs w:val="18"/>
              </w:rPr>
              <w:t xml:space="preserve">.jsp file in IIS web root</w:t>
            </w:r>
          </w:p>
        </w:tc>
      </w:tr>
      <w:tr>
        <w:tc>
          <w:tcPr>
            <w:tcW w:type="dxa" w:w="1600"/>
            <w:tcMar>
              <w:top w:type="dxa" w:w="80"/>
              <w:left w:type="dxa" w:w="120"/>
              <w:bottom w:type="dxa" w:w="80"/>
              <w:right w:type="dxa" w:w="120"/>
            </w:tcMar>
          </w:tcPr>
          <w:p>
            <w:r>
              <w:rPr>
                <w:rFonts w:ascii="Arial" w:cs="Arial" w:eastAsia="Arial" w:hAnsi="Arial"/>
                <w:b w:val="false"/>
                <w:bCs w:val="false"/>
                <w:color w:val="222222"/>
                <w:sz w:val="18"/>
                <w:szCs w:val="18"/>
              </w:rPr>
              <w:t xml:space="preserve">T1136.001</w:t>
            </w:r>
          </w:p>
        </w:tc>
        <w:tc>
          <w:tcPr>
            <w:tcW w:type="dxa" w:w="3200"/>
            <w:tcMar>
              <w:top w:type="dxa" w:w="80"/>
              <w:left w:type="dxa" w:w="120"/>
              <w:bottom w:type="dxa" w:w="80"/>
              <w:right w:type="dxa" w:w="120"/>
            </w:tcMar>
          </w:tcPr>
          <w:p>
            <w:r>
              <w:rPr>
                <w:rFonts w:ascii="Arial" w:cs="Arial" w:eastAsia="Arial" w:hAnsi="Arial"/>
                <w:b w:val="false"/>
                <w:bCs w:val="false"/>
                <w:color w:val="222222"/>
                <w:sz w:val="18"/>
                <w:szCs w:val="18"/>
              </w:rPr>
              <w:t xml:space="preserve">Create Account: Local</w:t>
            </w:r>
          </w:p>
        </w:tc>
        <w:tc>
          <w:tcPr>
            <w:tcW w:type="dxa" w:w="2100"/>
            <w:tcMar>
              <w:top w:type="dxa" w:w="80"/>
              <w:left w:type="dxa" w:w="120"/>
              <w:bottom w:type="dxa" w:w="80"/>
              <w:right w:type="dxa" w:w="120"/>
            </w:tcMar>
          </w:tcPr>
          <w:p>
            <w:r>
              <w:rPr>
                <w:rFonts w:ascii="Arial" w:cs="Arial" w:eastAsia="Arial" w:hAnsi="Arial"/>
                <w:b w:val="false"/>
                <w:bCs w:val="false"/>
                <w:color w:val="222222"/>
                <w:sz w:val="18"/>
                <w:szCs w:val="18"/>
              </w:rPr>
              <w:t xml:space="preserve">Persistence</w:t>
            </w:r>
          </w:p>
        </w:tc>
        <w:tc>
          <w:tcPr>
            <w:tcW w:type="dxa" w:w="3000"/>
            <w:tcMar>
              <w:top w:type="dxa" w:w="80"/>
              <w:left w:type="dxa" w:w="120"/>
              <w:bottom w:type="dxa" w:w="80"/>
              <w:right w:type="dxa" w:w="120"/>
            </w:tcMar>
          </w:tcPr>
          <w:p>
            <w:r>
              <w:rPr>
                <w:rFonts w:ascii="Arial" w:cs="Arial" w:eastAsia="Arial" w:hAnsi="Arial"/>
                <w:b w:val="false"/>
                <w:bCs w:val="false"/>
                <w:color w:val="222222"/>
                <w:sz w:val="18"/>
                <w:szCs w:val="18"/>
              </w:rPr>
              <w:t xml:space="preserve">Jenny account created</w:t>
            </w:r>
          </w:p>
        </w:tc>
      </w:tr>
      <w:tr>
        <w:tc>
          <w:tcPr>
            <w:tcW w:type="dxa" w:w="1600"/>
            <w:tcMar>
              <w:top w:type="dxa" w:w="80"/>
              <w:left w:type="dxa" w:w="120"/>
              <w:bottom w:type="dxa" w:w="80"/>
              <w:right w:type="dxa" w:w="120"/>
            </w:tcMar>
          </w:tcPr>
          <w:p>
            <w:r>
              <w:rPr>
                <w:rFonts w:ascii="Arial" w:cs="Arial" w:eastAsia="Arial" w:hAnsi="Arial"/>
                <w:b w:val="false"/>
                <w:bCs w:val="false"/>
                <w:color w:val="222222"/>
                <w:sz w:val="18"/>
                <w:szCs w:val="18"/>
              </w:rPr>
              <w:t xml:space="preserve">T1098</w:t>
            </w:r>
          </w:p>
        </w:tc>
        <w:tc>
          <w:tcPr>
            <w:tcW w:type="dxa" w:w="3200"/>
            <w:tcMar>
              <w:top w:type="dxa" w:w="80"/>
              <w:left w:type="dxa" w:w="120"/>
              <w:bottom w:type="dxa" w:w="80"/>
              <w:right w:type="dxa" w:w="120"/>
            </w:tcMar>
          </w:tcPr>
          <w:p>
            <w:r>
              <w:rPr>
                <w:rFonts w:ascii="Arial" w:cs="Arial" w:eastAsia="Arial" w:hAnsi="Arial"/>
                <w:b w:val="false"/>
                <w:bCs w:val="false"/>
                <w:color w:val="222222"/>
                <w:sz w:val="18"/>
                <w:szCs w:val="18"/>
              </w:rPr>
              <w:t xml:space="preserve">Account Manipulation</w:t>
            </w:r>
          </w:p>
        </w:tc>
        <w:tc>
          <w:tcPr>
            <w:tcW w:type="dxa" w:w="2100"/>
            <w:tcMar>
              <w:top w:type="dxa" w:w="80"/>
              <w:left w:type="dxa" w:w="120"/>
              <w:bottom w:type="dxa" w:w="80"/>
              <w:right w:type="dxa" w:w="120"/>
            </w:tcMar>
          </w:tcPr>
          <w:p>
            <w:r>
              <w:rPr>
                <w:rFonts w:ascii="Arial" w:cs="Arial" w:eastAsia="Arial" w:hAnsi="Arial"/>
                <w:b w:val="false"/>
                <w:bCs w:val="false"/>
                <w:color w:val="222222"/>
                <w:sz w:val="18"/>
                <w:szCs w:val="18"/>
              </w:rPr>
              <w:t xml:space="preserve">Privilege Escalation</w:t>
            </w:r>
          </w:p>
        </w:tc>
        <w:tc>
          <w:tcPr>
            <w:tcW w:type="dxa" w:w="3000"/>
            <w:tcMar>
              <w:top w:type="dxa" w:w="80"/>
              <w:left w:type="dxa" w:w="120"/>
              <w:bottom w:type="dxa" w:w="80"/>
              <w:right w:type="dxa" w:w="120"/>
            </w:tcMar>
          </w:tcPr>
          <w:p>
            <w:r>
              <w:rPr>
                <w:rFonts w:ascii="Arial" w:cs="Arial" w:eastAsia="Arial" w:hAnsi="Arial"/>
                <w:b w:val="false"/>
                <w:bCs w:val="false"/>
                <w:color w:val="222222"/>
                <w:sz w:val="18"/>
                <w:szCs w:val="18"/>
              </w:rPr>
              <w:t xml:space="preserve">Jenny + Guest added to Administrators</w:t>
            </w:r>
          </w:p>
        </w:tc>
      </w:tr>
      <w:tr>
        <w:tc>
          <w:tcPr>
            <w:tcW w:type="dxa" w:w="1600"/>
            <w:tcMar>
              <w:top w:type="dxa" w:w="80"/>
              <w:left w:type="dxa" w:w="120"/>
              <w:bottom w:type="dxa" w:w="80"/>
              <w:right w:type="dxa" w:w="120"/>
            </w:tcMar>
          </w:tcPr>
          <w:p>
            <w:r>
              <w:rPr>
                <w:rFonts w:ascii="Arial" w:cs="Arial" w:eastAsia="Arial" w:hAnsi="Arial"/>
                <w:b w:val="false"/>
                <w:bCs w:val="false"/>
                <w:color w:val="222222"/>
                <w:sz w:val="18"/>
                <w:szCs w:val="18"/>
              </w:rPr>
              <w:t xml:space="preserve">T1053.005</w:t>
            </w:r>
          </w:p>
        </w:tc>
        <w:tc>
          <w:tcPr>
            <w:tcW w:type="dxa" w:w="3200"/>
            <w:tcMar>
              <w:top w:type="dxa" w:w="80"/>
              <w:left w:type="dxa" w:w="120"/>
              <w:bottom w:type="dxa" w:w="80"/>
              <w:right w:type="dxa" w:w="120"/>
            </w:tcMar>
          </w:tcPr>
          <w:p>
            <w:r>
              <w:rPr>
                <w:rFonts w:ascii="Arial" w:cs="Arial" w:eastAsia="Arial" w:hAnsi="Arial"/>
                <w:b w:val="false"/>
                <w:bCs w:val="false"/>
                <w:color w:val="222222"/>
                <w:sz w:val="18"/>
                <w:szCs w:val="18"/>
              </w:rPr>
              <w:t xml:space="preserve">Scheduled Task</w:t>
            </w:r>
          </w:p>
        </w:tc>
        <w:tc>
          <w:tcPr>
            <w:tcW w:type="dxa" w:w="2100"/>
            <w:tcMar>
              <w:top w:type="dxa" w:w="80"/>
              <w:left w:type="dxa" w:w="120"/>
              <w:bottom w:type="dxa" w:w="80"/>
              <w:right w:type="dxa" w:w="120"/>
            </w:tcMar>
          </w:tcPr>
          <w:p>
            <w:r>
              <w:rPr>
                <w:rFonts w:ascii="Arial" w:cs="Arial" w:eastAsia="Arial" w:hAnsi="Arial"/>
                <w:b w:val="false"/>
                <w:bCs w:val="false"/>
                <w:color w:val="222222"/>
                <w:sz w:val="18"/>
                <w:szCs w:val="18"/>
              </w:rPr>
              <w:t xml:space="preserve">Persistence / Execution</w:t>
            </w:r>
          </w:p>
        </w:tc>
        <w:tc>
          <w:tcPr>
            <w:tcW w:type="dxa" w:w="3000"/>
            <w:tcMar>
              <w:top w:type="dxa" w:w="80"/>
              <w:left w:type="dxa" w:w="120"/>
              <w:bottom w:type="dxa" w:w="80"/>
              <w:right w:type="dxa" w:w="120"/>
            </w:tcMar>
          </w:tcPr>
          <w:p>
            <w:r>
              <w:rPr>
                <w:rFonts w:ascii="Arial" w:cs="Arial" w:eastAsia="Arial" w:hAnsi="Arial"/>
                <w:b w:val="false"/>
                <w:bCs w:val="false"/>
                <w:color w:val="222222"/>
                <w:sz w:val="18"/>
                <w:szCs w:val="18"/>
              </w:rPr>
              <w:t xml:space="preserve">Clean file system task / nc.ps1</w:t>
            </w:r>
          </w:p>
        </w:tc>
      </w:tr>
      <w:tr>
        <w:tc>
          <w:tcPr>
            <w:tcW w:type="dxa" w:w="1600"/>
            <w:tcMar>
              <w:top w:type="dxa" w:w="80"/>
              <w:left w:type="dxa" w:w="120"/>
              <w:bottom w:type="dxa" w:w="80"/>
              <w:right w:type="dxa" w:w="120"/>
            </w:tcMar>
          </w:tcPr>
          <w:p>
            <w:r>
              <w:rPr>
                <w:rFonts w:ascii="Arial" w:cs="Arial" w:eastAsia="Arial" w:hAnsi="Arial"/>
                <w:b w:val="false"/>
                <w:bCs w:val="false"/>
                <w:color w:val="222222"/>
                <w:sz w:val="18"/>
                <w:szCs w:val="18"/>
              </w:rPr>
              <w:t xml:space="preserve">T1547.001</w:t>
            </w:r>
          </w:p>
        </w:tc>
        <w:tc>
          <w:tcPr>
            <w:tcW w:type="dxa" w:w="3200"/>
            <w:tcMar>
              <w:top w:type="dxa" w:w="80"/>
              <w:left w:type="dxa" w:w="120"/>
              <w:bottom w:type="dxa" w:w="80"/>
              <w:right w:type="dxa" w:w="120"/>
            </w:tcMar>
          </w:tcPr>
          <w:p>
            <w:r>
              <w:rPr>
                <w:rFonts w:ascii="Arial" w:cs="Arial" w:eastAsia="Arial" w:hAnsi="Arial"/>
                <w:b w:val="false"/>
                <w:bCs w:val="false"/>
                <w:color w:val="222222"/>
                <w:sz w:val="18"/>
                <w:szCs w:val="18"/>
              </w:rPr>
              <w:t xml:space="preserve">Registry Run Keys</w:t>
            </w:r>
          </w:p>
        </w:tc>
        <w:tc>
          <w:tcPr>
            <w:tcW w:type="dxa" w:w="2100"/>
            <w:tcMar>
              <w:top w:type="dxa" w:w="80"/>
              <w:left w:type="dxa" w:w="120"/>
              <w:bottom w:type="dxa" w:w="80"/>
              <w:right w:type="dxa" w:w="120"/>
            </w:tcMar>
          </w:tcPr>
          <w:p>
            <w:r>
              <w:rPr>
                <w:rFonts w:ascii="Arial" w:cs="Arial" w:eastAsia="Arial" w:hAnsi="Arial"/>
                <w:b w:val="false"/>
                <w:bCs w:val="false"/>
                <w:color w:val="222222"/>
                <w:sz w:val="18"/>
                <w:szCs w:val="18"/>
              </w:rPr>
              <w:t xml:space="preserve">Persistence</w:t>
            </w:r>
          </w:p>
        </w:tc>
        <w:tc>
          <w:tcPr>
            <w:tcW w:type="dxa" w:w="3000"/>
            <w:tcMar>
              <w:top w:type="dxa" w:w="80"/>
              <w:left w:type="dxa" w:w="120"/>
              <w:bottom w:type="dxa" w:w="80"/>
              <w:right w:type="dxa" w:w="120"/>
            </w:tcMar>
          </w:tcPr>
          <w:p>
            <w:r>
              <w:rPr>
                <w:rFonts w:ascii="Arial" w:cs="Arial" w:eastAsia="Arial" w:hAnsi="Arial"/>
                <w:b w:val="false"/>
                <w:bCs w:val="false"/>
                <w:color w:val="222222"/>
                <w:sz w:val="18"/>
                <w:szCs w:val="18"/>
              </w:rPr>
              <w:t xml:space="preserve">Startup entry connecting to 10.34.2.3</w:t>
            </w:r>
          </w:p>
        </w:tc>
      </w:tr>
      <w:tr>
        <w:tc>
          <w:tcPr>
            <w:tcW w:type="dxa" w:w="1600"/>
            <w:tcMar>
              <w:top w:type="dxa" w:w="80"/>
              <w:left w:type="dxa" w:w="120"/>
              <w:bottom w:type="dxa" w:w="80"/>
              <w:right w:type="dxa" w:w="120"/>
            </w:tcMar>
          </w:tcPr>
          <w:p>
            <w:r>
              <w:rPr>
                <w:rFonts w:ascii="Arial" w:cs="Arial" w:eastAsia="Arial" w:hAnsi="Arial"/>
                <w:b w:val="false"/>
                <w:bCs w:val="false"/>
                <w:color w:val="222222"/>
                <w:sz w:val="18"/>
                <w:szCs w:val="18"/>
              </w:rPr>
              <w:t xml:space="preserve">T1562.004</w:t>
            </w:r>
          </w:p>
        </w:tc>
        <w:tc>
          <w:tcPr>
            <w:tcW w:type="dxa" w:w="3200"/>
            <w:tcMar>
              <w:top w:type="dxa" w:w="80"/>
              <w:left w:type="dxa" w:w="120"/>
              <w:bottom w:type="dxa" w:w="80"/>
              <w:right w:type="dxa" w:w="120"/>
            </w:tcMar>
          </w:tcPr>
          <w:p>
            <w:r>
              <w:rPr>
                <w:rFonts w:ascii="Arial" w:cs="Arial" w:eastAsia="Arial" w:hAnsi="Arial"/>
                <w:b w:val="false"/>
                <w:bCs w:val="false"/>
                <w:color w:val="222222"/>
                <w:sz w:val="18"/>
                <w:szCs w:val="18"/>
              </w:rPr>
              <w:t xml:space="preserve">Disable/Modify Firewall</w:t>
            </w:r>
          </w:p>
        </w:tc>
        <w:tc>
          <w:tcPr>
            <w:tcW w:type="dxa" w:w="2100"/>
            <w:tcMar>
              <w:top w:type="dxa" w:w="80"/>
              <w:left w:type="dxa" w:w="120"/>
              <w:bottom w:type="dxa" w:w="80"/>
              <w:right w:type="dxa" w:w="120"/>
            </w:tcMar>
          </w:tcPr>
          <w:p>
            <w:r>
              <w:rPr>
                <w:rFonts w:ascii="Arial" w:cs="Arial" w:eastAsia="Arial" w:hAnsi="Arial"/>
                <w:b w:val="false"/>
                <w:bCs w:val="false"/>
                <w:color w:val="222222"/>
                <w:sz w:val="18"/>
                <w:szCs w:val="18"/>
              </w:rPr>
              <w:t xml:space="preserve">Defence Evasion</w:t>
            </w:r>
          </w:p>
        </w:tc>
        <w:tc>
          <w:tcPr>
            <w:tcW w:type="dxa" w:w="3000"/>
            <w:tcMar>
              <w:top w:type="dxa" w:w="80"/>
              <w:left w:type="dxa" w:w="120"/>
              <w:bottom w:type="dxa" w:w="80"/>
              <w:right w:type="dxa" w:w="120"/>
            </w:tcMar>
          </w:tcPr>
          <w:p>
            <w:r>
              <w:rPr>
                <w:rFonts w:ascii="Arial" w:cs="Arial" w:eastAsia="Arial" w:hAnsi="Arial"/>
                <w:b w:val="false"/>
                <w:bCs w:val="false"/>
                <w:color w:val="222222"/>
                <w:sz w:val="18"/>
                <w:szCs w:val="18"/>
              </w:rPr>
              <w:t xml:space="preserve">Inbound rule for port 1337</w:t>
            </w:r>
          </w:p>
        </w:tc>
      </w:tr>
      <w:tr>
        <w:tc>
          <w:tcPr>
            <w:tcW w:type="dxa" w:w="1600"/>
            <w:tcMar>
              <w:top w:type="dxa" w:w="80"/>
              <w:left w:type="dxa" w:w="120"/>
              <w:bottom w:type="dxa" w:w="80"/>
              <w:right w:type="dxa" w:w="120"/>
            </w:tcMar>
          </w:tcPr>
          <w:p>
            <w:r>
              <w:rPr>
                <w:rFonts w:ascii="Arial" w:cs="Arial" w:eastAsia="Arial" w:hAnsi="Arial"/>
                <w:b w:val="false"/>
                <w:bCs w:val="false"/>
                <w:color w:val="222222"/>
                <w:sz w:val="18"/>
                <w:szCs w:val="18"/>
              </w:rPr>
              <w:t xml:space="preserve">T1565.001</w:t>
            </w:r>
          </w:p>
        </w:tc>
        <w:tc>
          <w:tcPr>
            <w:tcW w:type="dxa" w:w="3200"/>
            <w:tcMar>
              <w:top w:type="dxa" w:w="80"/>
              <w:left w:type="dxa" w:w="120"/>
              <w:bottom w:type="dxa" w:w="80"/>
              <w:right w:type="dxa" w:w="120"/>
            </w:tcMar>
          </w:tcPr>
          <w:p>
            <w:r>
              <w:rPr>
                <w:rFonts w:ascii="Arial" w:cs="Arial" w:eastAsia="Arial" w:hAnsi="Arial"/>
                <w:b w:val="false"/>
                <w:bCs w:val="false"/>
                <w:color w:val="222222"/>
                <w:sz w:val="18"/>
                <w:szCs w:val="18"/>
              </w:rPr>
              <w:t xml:space="preserve">Stored Data Manipulation</w:t>
            </w:r>
          </w:p>
        </w:tc>
        <w:tc>
          <w:tcPr>
            <w:tcW w:type="dxa" w:w="2100"/>
            <w:tcMar>
              <w:top w:type="dxa" w:w="80"/>
              <w:left w:type="dxa" w:w="120"/>
              <w:bottom w:type="dxa" w:w="80"/>
              <w:right w:type="dxa" w:w="120"/>
            </w:tcMar>
          </w:tcPr>
          <w:p>
            <w:r>
              <w:rPr>
                <w:rFonts w:ascii="Arial" w:cs="Arial" w:eastAsia="Arial" w:hAnsi="Arial"/>
                <w:b w:val="false"/>
                <w:bCs w:val="false"/>
                <w:color w:val="222222"/>
                <w:sz w:val="18"/>
                <w:szCs w:val="18"/>
              </w:rPr>
              <w:t xml:space="preserve">Impact / Defence Evasion</w:t>
            </w:r>
          </w:p>
        </w:tc>
        <w:tc>
          <w:tcPr>
            <w:tcW w:type="dxa" w:w="3000"/>
            <w:tcMar>
              <w:top w:type="dxa" w:w="80"/>
              <w:left w:type="dxa" w:w="120"/>
              <w:bottom w:type="dxa" w:w="80"/>
              <w:right w:type="dxa" w:w="120"/>
            </w:tcMar>
          </w:tcPr>
          <w:p>
            <w:r>
              <w:rPr>
                <w:rFonts w:ascii="Arial" w:cs="Arial" w:eastAsia="Arial" w:hAnsi="Arial"/>
                <w:b w:val="false"/>
                <w:bCs w:val="false"/>
                <w:color w:val="222222"/>
                <w:sz w:val="18"/>
                <w:szCs w:val="18"/>
              </w:rPr>
              <w:t xml:space="preserve">Hosts file — google.com poisoned</w:t>
            </w:r>
          </w:p>
        </w:tc>
      </w:tr>
      <w:tr>
        <w:tc>
          <w:tcPr>
            <w:tcW w:type="dxa" w:w="1600"/>
            <w:tcMar>
              <w:top w:type="dxa" w:w="80"/>
              <w:left w:type="dxa" w:w="120"/>
              <w:bottom w:type="dxa" w:w="80"/>
              <w:right w:type="dxa" w:w="120"/>
            </w:tcMar>
          </w:tcPr>
          <w:p>
            <w:r>
              <w:rPr>
                <w:rFonts w:ascii="Arial" w:cs="Arial" w:eastAsia="Arial" w:hAnsi="Arial"/>
                <w:b w:val="false"/>
                <w:bCs w:val="false"/>
                <w:color w:val="222222"/>
                <w:sz w:val="18"/>
                <w:szCs w:val="18"/>
              </w:rPr>
              <w:t xml:space="preserve">T1071</w:t>
            </w:r>
          </w:p>
        </w:tc>
        <w:tc>
          <w:tcPr>
            <w:tcW w:type="dxa" w:w="3200"/>
            <w:tcMar>
              <w:top w:type="dxa" w:w="80"/>
              <w:left w:type="dxa" w:w="120"/>
              <w:bottom w:type="dxa" w:w="80"/>
              <w:right w:type="dxa" w:w="120"/>
            </w:tcMar>
          </w:tcPr>
          <w:p>
            <w:r>
              <w:rPr>
                <w:rFonts w:ascii="Arial" w:cs="Arial" w:eastAsia="Arial" w:hAnsi="Arial"/>
                <w:b w:val="false"/>
                <w:bCs w:val="false"/>
                <w:color w:val="222222"/>
                <w:sz w:val="18"/>
                <w:szCs w:val="18"/>
              </w:rPr>
              <w:t xml:space="preserve">Application Layer Protocol</w:t>
            </w:r>
          </w:p>
        </w:tc>
        <w:tc>
          <w:tcPr>
            <w:tcW w:type="dxa" w:w="2100"/>
            <w:tcMar>
              <w:top w:type="dxa" w:w="80"/>
              <w:left w:type="dxa" w:w="120"/>
              <w:bottom w:type="dxa" w:w="80"/>
              <w:right w:type="dxa" w:w="120"/>
            </w:tcMar>
          </w:tcPr>
          <w:p>
            <w:r>
              <w:rPr>
                <w:rFonts w:ascii="Arial" w:cs="Arial" w:eastAsia="Arial" w:hAnsi="Arial"/>
                <w:b w:val="false"/>
                <w:bCs w:val="false"/>
                <w:color w:val="222222"/>
                <w:sz w:val="18"/>
                <w:szCs w:val="18"/>
              </w:rPr>
              <w:t xml:space="preserve">C2</w:t>
            </w:r>
          </w:p>
        </w:tc>
        <w:tc>
          <w:tcPr>
            <w:tcW w:type="dxa" w:w="3000"/>
            <w:tcMar>
              <w:top w:type="dxa" w:w="80"/>
              <w:left w:type="dxa" w:w="120"/>
              <w:bottom w:type="dxa" w:w="80"/>
              <w:right w:type="dxa" w:w="120"/>
            </w:tcMar>
          </w:tcPr>
          <w:p>
            <w:r>
              <w:rPr>
                <w:rFonts w:ascii="Arial" w:cs="Arial" w:eastAsia="Arial" w:hAnsi="Arial"/>
                <w:b w:val="false"/>
                <w:bCs w:val="false"/>
                <w:color w:val="222222"/>
                <w:sz w:val="18"/>
                <w:szCs w:val="18"/>
              </w:rPr>
              <w:t xml:space="preserve">Communications to 76.32.97.132</w:t>
            </w:r>
          </w:p>
        </w:tc>
      </w:tr>
      <w:tr>
        <w:tc>
          <w:tcPr>
            <w:tcW w:type="dxa" w:w="1600"/>
            <w:tcMar>
              <w:top w:type="dxa" w:w="80"/>
              <w:left w:type="dxa" w:w="120"/>
              <w:bottom w:type="dxa" w:w="80"/>
              <w:right w:type="dxa" w:w="120"/>
            </w:tcMar>
          </w:tcPr>
          <w:p>
            <w:r>
              <w:rPr>
                <w:rFonts w:ascii="Arial" w:cs="Arial" w:eastAsia="Arial" w:hAnsi="Arial"/>
                <w:b w:val="false"/>
                <w:bCs w:val="false"/>
                <w:color w:val="222222"/>
                <w:sz w:val="18"/>
                <w:szCs w:val="18"/>
              </w:rPr>
              <w:t xml:space="preserve">T1059.001</w:t>
            </w:r>
          </w:p>
        </w:tc>
        <w:tc>
          <w:tcPr>
            <w:tcW w:type="dxa" w:w="3200"/>
            <w:tcMar>
              <w:top w:type="dxa" w:w="80"/>
              <w:left w:type="dxa" w:w="120"/>
              <w:bottom w:type="dxa" w:w="80"/>
              <w:right w:type="dxa" w:w="120"/>
            </w:tcMar>
          </w:tcPr>
          <w:p>
            <w:r>
              <w:rPr>
                <w:rFonts w:ascii="Arial" w:cs="Arial" w:eastAsia="Arial" w:hAnsi="Arial"/>
                <w:b w:val="false"/>
                <w:bCs w:val="false"/>
                <w:color w:val="222222"/>
                <w:sz w:val="18"/>
                <w:szCs w:val="18"/>
              </w:rPr>
              <w:t xml:space="preserve">PowerShell</w:t>
            </w:r>
          </w:p>
        </w:tc>
        <w:tc>
          <w:tcPr>
            <w:tcW w:type="dxa" w:w="2100"/>
            <w:tcMar>
              <w:top w:type="dxa" w:w="80"/>
              <w:left w:type="dxa" w:w="120"/>
              <w:bottom w:type="dxa" w:w="80"/>
              <w:right w:type="dxa" w:w="120"/>
            </w:tcMar>
          </w:tcPr>
          <w:p>
            <w:r>
              <w:rPr>
                <w:rFonts w:ascii="Arial" w:cs="Arial" w:eastAsia="Arial" w:hAnsi="Arial"/>
                <w:b w:val="false"/>
                <w:bCs w:val="false"/>
                <w:color w:val="222222"/>
                <w:sz w:val="18"/>
                <w:szCs w:val="18"/>
              </w:rPr>
              <w:t xml:space="preserve">Execution</w:t>
            </w:r>
          </w:p>
        </w:tc>
        <w:tc>
          <w:tcPr>
            <w:tcW w:type="dxa" w:w="3000"/>
            <w:tcMar>
              <w:top w:type="dxa" w:w="80"/>
              <w:left w:type="dxa" w:w="120"/>
              <w:bottom w:type="dxa" w:w="80"/>
              <w:right w:type="dxa" w:w="120"/>
            </w:tcMar>
          </w:tcPr>
          <w:p>
            <w:r>
              <w:rPr>
                <w:rFonts w:ascii="Arial" w:cs="Arial" w:eastAsia="Arial" w:hAnsi="Arial"/>
                <w:b w:val="false"/>
                <w:bCs w:val="false"/>
                <w:color w:val="222222"/>
                <w:sz w:val="18"/>
                <w:szCs w:val="18"/>
              </w:rPr>
              <w:t xml:space="preserve">nc.ps1 Netcat implementation</w:t>
            </w:r>
          </w:p>
        </w:tc>
      </w:tr>
    </w:tbl>
    <w:p>
      <w:pPr>
        <w:pStyle w:val="Heading1"/>
        <w:pBdr>
          <w:bottom w:val="single" w:color="1F3864" w:sz="6" w:space="4"/>
        </w:pBdr>
        <w:spacing w:after="120" w:before="320"/>
      </w:pPr>
      <w:r>
        <w:rPr>
          <w:rFonts w:ascii="Arial" w:cs="Arial" w:eastAsia="Arial" w:hAnsi="Arial"/>
          <w:b/>
          <w:bCs/>
          <w:color w:val="1F3864"/>
          <w:sz w:val="26"/>
          <w:szCs w:val="26"/>
        </w:rPr>
        <w:t xml:space="preserve">11. Recommendations</w:t>
      </w:r>
    </w:p>
    <w:p>
      <w:pPr>
        <w:pStyle w:val="Heading2"/>
        <w:spacing w:after="80" w:before="240"/>
      </w:pPr>
      <w:r>
        <w:rPr>
          <w:rFonts w:ascii="Arial" w:cs="Arial" w:eastAsia="Arial" w:hAnsi="Arial"/>
          <w:b/>
          <w:bCs/>
          <w:color w:val="333333"/>
          <w:sz w:val="22"/>
          <w:szCs w:val="22"/>
        </w:rPr>
        <w:t xml:space="preserve">11.1 Immediate Actions</w:t>
      </w:r>
    </w:p>
    <w:p>
      <w:pPr>
        <w:pStyle w:val="ListParagraph"/>
        <w:numPr>
          <w:ilvl w:val="0"/>
          <w:numId w:val="2"/>
        </w:numPr>
        <w:spacing w:after="60"/>
      </w:pPr>
      <w:r>
        <w:rPr>
          <w:rFonts w:ascii="Arial" w:cs="Arial" w:eastAsia="Arial" w:hAnsi="Arial"/>
          <w:color w:val="222222"/>
          <w:sz w:val="21"/>
          <w:szCs w:val="21"/>
        </w:rPr>
        <w:t xml:space="preserve">Isolate the compromised system from the network immediately to prevent ongoing C2 communications.</w:t>
      </w:r>
    </w:p>
    <w:p>
      <w:pPr>
        <w:pStyle w:val="ListParagraph"/>
        <w:numPr>
          <w:ilvl w:val="0"/>
          <w:numId w:val="2"/>
        </w:numPr>
        <w:spacing w:after="60"/>
      </w:pPr>
      <w:r>
        <w:rPr>
          <w:rFonts w:ascii="Arial" w:cs="Arial" w:eastAsia="Arial" w:hAnsi="Arial"/>
          <w:color w:val="222222"/>
          <w:sz w:val="21"/>
          <w:szCs w:val="21"/>
        </w:rPr>
        <w:t xml:space="preserve">Block outbound and inbound connections to 76.32.97.132 and 10.34.2.3 at the perimeter firewall.</w:t>
      </w:r>
    </w:p>
    <w:p>
      <w:pPr>
        <w:pStyle w:val="ListParagraph"/>
        <w:numPr>
          <w:ilvl w:val="0"/>
          <w:numId w:val="2"/>
        </w:numPr>
        <w:spacing w:after="60"/>
      </w:pPr>
      <w:r>
        <w:rPr>
          <w:rFonts w:ascii="Arial" w:cs="Arial" w:eastAsia="Arial" w:hAnsi="Arial"/>
          <w:color w:val="222222"/>
          <w:sz w:val="21"/>
          <w:szCs w:val="21"/>
        </w:rPr>
        <w:t xml:space="preserve">Disable and investigate the Jenny and Guest accounts; remove both from the Administrators group pending investigation.</w:t>
      </w:r>
    </w:p>
    <w:p>
      <w:pPr>
        <w:pStyle w:val="ListParagraph"/>
        <w:numPr>
          <w:ilvl w:val="0"/>
          <w:numId w:val="2"/>
        </w:numPr>
        <w:spacing w:after="60"/>
      </w:pPr>
      <w:r>
        <w:rPr>
          <w:rFonts w:ascii="Arial" w:cs="Arial" w:eastAsia="Arial" w:hAnsi="Arial"/>
          <w:color w:val="222222"/>
          <w:sz w:val="21"/>
          <w:szCs w:val="21"/>
        </w:rPr>
        <w:t xml:space="preserve">Remove the malicious scheduled task 'Clean file system' and delete nc.ps1 from the system.</w:t>
      </w:r>
    </w:p>
    <w:p>
      <w:pPr>
        <w:pStyle w:val="ListParagraph"/>
        <w:numPr>
          <w:ilvl w:val="0"/>
          <w:numId w:val="2"/>
        </w:numPr>
        <w:spacing w:after="60"/>
      </w:pPr>
      <w:r>
        <w:rPr>
          <w:rFonts w:ascii="Arial" w:cs="Arial" w:eastAsia="Arial" w:hAnsi="Arial"/>
          <w:color w:val="222222"/>
          <w:sz w:val="21"/>
          <w:szCs w:val="21"/>
        </w:rPr>
        <w:t xml:space="preserve">Remove the malicious registry run key entry.</w:t>
      </w:r>
    </w:p>
    <w:p>
      <w:pPr>
        <w:pStyle w:val="ListParagraph"/>
        <w:numPr>
          <w:ilvl w:val="0"/>
          <w:numId w:val="2"/>
        </w:numPr>
        <w:spacing w:after="60"/>
      </w:pPr>
      <w:r>
        <w:rPr>
          <w:rFonts w:ascii="Arial" w:cs="Arial" w:eastAsia="Arial" w:hAnsi="Arial"/>
          <w:color w:val="222222"/>
          <w:sz w:val="21"/>
          <w:szCs w:val="21"/>
        </w:rPr>
        <w:t xml:space="preserve">Delete the attacker-created firewall rule permitting port 1337 inbound traffic.</w:t>
      </w:r>
    </w:p>
    <w:p>
      <w:pPr>
        <w:pStyle w:val="ListParagraph"/>
        <w:numPr>
          <w:ilvl w:val="0"/>
          <w:numId w:val="2"/>
        </w:numPr>
        <w:spacing w:after="60"/>
      </w:pPr>
      <w:r>
        <w:rPr>
          <w:rFonts w:ascii="Arial" w:cs="Arial" w:eastAsia="Arial" w:hAnsi="Arial"/>
          <w:color w:val="222222"/>
          <w:sz w:val="21"/>
          <w:szCs w:val="21"/>
        </w:rPr>
        <w:t xml:space="preserve">Restore the Windows hosts file to its default state, removing the google.com poisoning entry.</w:t>
      </w:r>
    </w:p>
    <w:p>
      <w:pPr>
        <w:pStyle w:val="ListParagraph"/>
        <w:numPr>
          <w:ilvl w:val="0"/>
          <w:numId w:val="2"/>
        </w:numPr>
        <w:spacing w:after="60"/>
      </w:pPr>
      <w:r>
        <w:rPr>
          <w:rFonts w:ascii="Arial" w:cs="Arial" w:eastAsia="Arial" w:hAnsi="Arial"/>
          <w:color w:val="222222"/>
          <w:sz w:val="21"/>
          <w:szCs w:val="21"/>
        </w:rPr>
        <w:t xml:space="preserve">Identify and remove the .jsp web shell from the IIS web root.</w:t>
      </w:r>
    </w:p>
    <w:p>
      <w:pPr>
        <w:pStyle w:val="Heading2"/>
        <w:spacing w:after="80" w:before="240"/>
      </w:pPr>
      <w:r>
        <w:rPr>
          <w:rFonts w:ascii="Arial" w:cs="Arial" w:eastAsia="Arial" w:hAnsi="Arial"/>
          <w:b/>
          <w:bCs/>
          <w:color w:val="333333"/>
          <w:sz w:val="22"/>
          <w:szCs w:val="22"/>
        </w:rPr>
        <w:t xml:space="preserve">11.2 Remediation</w:t>
      </w:r>
    </w:p>
    <w:p>
      <w:pPr>
        <w:pStyle w:val="ListParagraph"/>
        <w:numPr>
          <w:ilvl w:val="0"/>
          <w:numId w:val="2"/>
        </w:numPr>
        <w:spacing w:after="60"/>
      </w:pPr>
      <w:r>
        <w:rPr>
          <w:rFonts w:ascii="Arial" w:cs="Arial" w:eastAsia="Arial" w:hAnsi="Arial"/>
          <w:color w:val="222222"/>
          <w:sz w:val="21"/>
          <w:szCs w:val="21"/>
        </w:rPr>
        <w:t xml:space="preserve">Rebuild the compromised server from a known-good baseline rather than attempting in-place remediation — the full extent of attacker activity cannot be guaranteed without a full rebuild.</w:t>
      </w:r>
    </w:p>
    <w:p>
      <w:pPr>
        <w:pStyle w:val="ListParagraph"/>
        <w:numPr>
          <w:ilvl w:val="0"/>
          <w:numId w:val="2"/>
        </w:numPr>
        <w:spacing w:after="60"/>
      </w:pPr>
      <w:r>
        <w:rPr>
          <w:rFonts w:ascii="Arial" w:cs="Arial" w:eastAsia="Arial" w:hAnsi="Arial"/>
          <w:color w:val="222222"/>
          <w:sz w:val="21"/>
          <w:szCs w:val="21"/>
        </w:rPr>
        <w:t xml:space="preserve">Audit all local administrator group memberships across the environment for unauthorised additions.</w:t>
      </w:r>
    </w:p>
    <w:p>
      <w:pPr>
        <w:pStyle w:val="ListParagraph"/>
        <w:numPr>
          <w:ilvl w:val="0"/>
          <w:numId w:val="2"/>
        </w:numPr>
        <w:spacing w:after="60"/>
      </w:pPr>
      <w:r>
        <w:rPr>
          <w:rFonts w:ascii="Arial" w:cs="Arial" w:eastAsia="Arial" w:hAnsi="Arial"/>
          <w:color w:val="222222"/>
          <w:sz w:val="21"/>
          <w:szCs w:val="21"/>
        </w:rPr>
        <w:t xml:space="preserve">Review IIS configuration to remove the file upload misconfiguration that permitted the initial .jsp web shell upload — implement file type whitelisting and ensure server-side scripts cannot be executed from the web root.</w:t>
      </w:r>
    </w:p>
    <w:p>
      <w:pPr>
        <w:pStyle w:val="ListParagraph"/>
        <w:numPr>
          <w:ilvl w:val="0"/>
          <w:numId w:val="2"/>
        </w:numPr>
        <w:spacing w:after="60"/>
      </w:pPr>
      <w:r>
        <w:rPr>
          <w:rFonts w:ascii="Arial" w:cs="Arial" w:eastAsia="Arial" w:hAnsi="Arial"/>
          <w:color w:val="222222"/>
          <w:sz w:val="21"/>
          <w:szCs w:val="21"/>
        </w:rPr>
        <w:t xml:space="preserve">Review and audit all scheduled tasks across the environment for additional malicious entries.</w:t>
      </w:r>
    </w:p>
    <w:p>
      <w:pPr>
        <w:pStyle w:val="ListParagraph"/>
        <w:numPr>
          <w:ilvl w:val="0"/>
          <w:numId w:val="2"/>
        </w:numPr>
        <w:spacing w:after="60"/>
      </w:pPr>
      <w:r>
        <w:rPr>
          <w:rFonts w:ascii="Arial" w:cs="Arial" w:eastAsia="Arial" w:hAnsi="Arial"/>
          <w:color w:val="222222"/>
          <w:sz w:val="21"/>
          <w:szCs w:val="21"/>
        </w:rPr>
        <w:t xml:space="preserve">Conduct a full audit of Windows Firewall rules on all systems to identify any additional attacker-created rules.</w:t>
      </w:r>
    </w:p>
    <w:p>
      <w:pPr>
        <w:pStyle w:val="Heading2"/>
        <w:spacing w:after="80" w:before="240"/>
      </w:pPr>
      <w:r>
        <w:rPr>
          <w:rFonts w:ascii="Arial" w:cs="Arial" w:eastAsia="Arial" w:hAnsi="Arial"/>
          <w:b/>
          <w:bCs/>
          <w:color w:val="333333"/>
          <w:sz w:val="22"/>
          <w:szCs w:val="22"/>
        </w:rPr>
        <w:t xml:space="preserve">11.3 Longer-Term Controls</w:t>
      </w:r>
    </w:p>
    <w:p>
      <w:pPr>
        <w:pStyle w:val="ListParagraph"/>
        <w:numPr>
          <w:ilvl w:val="0"/>
          <w:numId w:val="2"/>
        </w:numPr>
        <w:spacing w:after="60"/>
      </w:pPr>
      <w:r>
        <w:rPr>
          <w:rFonts w:ascii="Arial" w:cs="Arial" w:eastAsia="Arial" w:hAnsi="Arial"/>
          <w:color w:val="222222"/>
          <w:sz w:val="21"/>
          <w:szCs w:val="21"/>
        </w:rPr>
        <w:t xml:space="preserve">Implement centralised log collection (SIEM) to enable detection of Event IDs 4732 (group membership changes), 4672 (privilege assignment), and 4698 (scheduled task creation) across the environment in real time.</w:t>
      </w:r>
    </w:p>
    <w:p>
      <w:pPr>
        <w:pStyle w:val="ListParagraph"/>
        <w:numPr>
          <w:ilvl w:val="0"/>
          <w:numId w:val="2"/>
        </w:numPr>
        <w:spacing w:after="60"/>
      </w:pPr>
      <w:r>
        <w:rPr>
          <w:rFonts w:ascii="Arial" w:cs="Arial" w:eastAsia="Arial" w:hAnsi="Arial"/>
          <w:color w:val="222222"/>
          <w:sz w:val="21"/>
          <w:szCs w:val="21"/>
        </w:rPr>
        <w:t xml:space="preserve">Enable PowerShell Script Block Logging and Module Logging to capture PowerShell-based attacker activity such as nc.ps1 execution.</w:t>
      </w:r>
    </w:p>
    <w:p>
      <w:pPr>
        <w:pStyle w:val="ListParagraph"/>
        <w:numPr>
          <w:ilvl w:val="0"/>
          <w:numId w:val="2"/>
        </w:numPr>
        <w:spacing w:after="60"/>
      </w:pPr>
      <w:r>
        <w:rPr>
          <w:rFonts w:ascii="Arial" w:cs="Arial" w:eastAsia="Arial" w:hAnsi="Arial"/>
          <w:color w:val="222222"/>
          <w:sz w:val="21"/>
          <w:szCs w:val="21"/>
        </w:rPr>
        <w:t xml:space="preserve">Deploy an EDR solution capable of detecting Netcat usage, reverse shell behaviour, and hosts file modification.</w:t>
      </w:r>
    </w:p>
    <w:p>
      <w:pPr>
        <w:pStyle w:val="ListParagraph"/>
        <w:numPr>
          <w:ilvl w:val="0"/>
          <w:numId w:val="2"/>
        </w:numPr>
        <w:spacing w:after="60"/>
      </w:pPr>
      <w:r>
        <w:rPr>
          <w:rFonts w:ascii="Arial" w:cs="Arial" w:eastAsia="Arial" w:hAnsi="Arial"/>
          <w:color w:val="222222"/>
          <w:sz w:val="21"/>
          <w:szCs w:val="21"/>
        </w:rPr>
        <w:t xml:space="preserve">Implement network monitoring to detect outbound connections to uncategorised or suspicious external IPs, particularly on non-standard ports such as 1337 and 1348.</w:t>
      </w:r>
    </w:p>
    <w:p>
      <w:pPr>
        <w:pStyle w:val="Heading1"/>
        <w:pBdr>
          <w:bottom w:val="single" w:color="1F3864" w:sz="6" w:space="4"/>
        </w:pBdr>
        <w:spacing w:after="120" w:before="320"/>
      </w:pPr>
      <w:r>
        <w:rPr>
          <w:rFonts w:ascii="Arial" w:cs="Arial" w:eastAsia="Arial" w:hAnsi="Arial"/>
          <w:b/>
          <w:bCs/>
          <w:color w:val="1F3864"/>
          <w:sz w:val="26"/>
          <w:szCs w:val="26"/>
        </w:rPr>
        <w:t xml:space="preserve">12. Conclusion</w:t>
      </w:r>
    </w:p>
    <w:p>
      <w:pPr>
        <w:spacing w:after="120"/>
      </w:pPr>
      <w:r>
        <w:rPr>
          <w:rFonts w:ascii="Arial" w:cs="Arial" w:eastAsia="Arial" w:hAnsi="Arial"/>
          <w:color w:val="222222"/>
          <w:sz w:val="21"/>
          <w:szCs w:val="21"/>
        </w:rPr>
        <w:t xml:space="preserve">This investigation identified a well-structured, multi-stage compromise of a Windows Server 2016 system. The attacker demonstrated familiarity with common Windows persistence techniques — using at least three distinct persistence mechanisms (web shell, scheduled task, and registry run key) to ensure continued access survived partial remediation. The DNS poisoning of google.com is a particularly notable technique that could intercept significant volumes of user traffic and credentials if left undetected.</w:t>
      </w:r>
    </w:p>
    <w:p>
      <w:pPr>
        <w:spacing w:after="120"/>
      </w:pPr>
      <w:r>
        <w:rPr>
          <w:rFonts w:ascii="Arial" w:cs="Arial" w:eastAsia="Arial" w:hAnsi="Arial"/>
          <w:color w:val="222222"/>
          <w:sz w:val="21"/>
          <w:szCs w:val="21"/>
        </w:rPr>
        <w:t xml:space="preserve">The attacker's choice to create a reserve administrator account (Jenny) that was never actively logged into shows operational awareness — maintaining a backup access route while minimising the detection risk from active login monitoring. Combined with the descriptive obfuscation of the scheduled task name ('Clean file system'), this suggests a moderately sophisticated threat actor with deliberate operational security practices.</w:t>
      </w:r>
    </w:p>
    <w:p>
      <w:pPr>
        <w:spacing w:after="120"/>
      </w:pPr>
      <w:r>
        <w:rPr>
          <w:rFonts w:ascii="Arial" w:cs="Arial" w:eastAsia="Arial" w:hAnsi="Arial"/>
          <w:color w:val="222222"/>
          <w:sz w:val="21"/>
          <w:szCs w:val="21"/>
        </w:rPr>
        <w:t xml:space="preserve">The investigation demonstrates the value of reviewing multiple evidence sources in combination: scheduled tasks alone revealed the Netcat persistence, but the registry, hosts file, firewall rules, and event logs together reveal the full scope of the compromise and the attacker's intent.</w:t>
      </w:r>
    </w:p>
    <w:p>
      <w:pPr>
        <w:pBdr>
          <w:top w:val="single" w:color="CCCCCC" w:sz="4" w:space="8"/>
        </w:pBdr>
        <w:spacing w:before="400"/>
      </w:pPr>
      <w:r>
        <w:rPr>
          <w:rFonts w:ascii="Arial" w:cs="Arial" w:eastAsia="Arial" w:hAnsi="Arial"/>
          <w:i/>
          <w:iCs/>
          <w:color w:val="555555"/>
          <w:sz w:val="17"/>
          <w:szCs w:val="17"/>
        </w:rPr>
        <w:t xml:space="preserve">Investigation conducted as part of a self-directed cyber security portfolio using the TryHackMe 'Investigating Windows' practical lab environment. All findings are based on artefacts present on the simulated compromised system.</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240"/>
      <w:outlineLvl w:val="1"/>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2026-07-21T19:11:50.687Z</dcterms:created>
  <dcterms:modified xsi:type="dcterms:W3CDTF">2026-07-21T19:11:50.701Z</dcterms:modified>
</cp:coreProperties>
</file>

<file path=docProps/custom.xml><?xml version="1.0" encoding="utf-8"?>
<Properties xmlns="http://schemas.openxmlformats.org/officeDocument/2006/custom-properties" xmlns:vt="http://schemas.openxmlformats.org/officeDocument/2006/docPropsVTypes"/>
</file>