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sz w:val="46"/>
        </w:rPr>
        <w:t>DEVELOPMENT CHANGES SUMMARY</w:t>
      </w:r>
    </w:p>
    <w:p>
      <w:pPr>
        <w:spacing w:after="320"/>
      </w:pPr>
      <w:r>
        <w:rPr>
          <w:rFonts w:ascii="Calibri" w:hAnsi="Calibri"/>
          <w:color w:val="5F6368"/>
          <w:sz w:val="26"/>
        </w:rPr>
        <w:t>Privacy Control Center | Work completed on 14 July 2026</w:t>
      </w:r>
    </w:p>
    <w:p>
      <w:pPr>
        <w:spacing w:after="40"/>
      </w:pPr>
      <w:r>
        <w:rPr>
          <w:rFonts w:ascii="Calibri" w:hAnsi="Calibri"/>
          <w:b/>
          <w:sz w:val="22"/>
        </w:rPr>
        <w:t xml:space="preserve">Project: </w:t>
      </w:r>
      <w:r>
        <w:rPr>
          <w:rFonts w:ascii="Calibri" w:hAnsi="Calibri"/>
          <w:sz w:val="22"/>
        </w:rPr>
        <w:t>Privacy Control Center</w:t>
      </w:r>
    </w:p>
    <w:p>
      <w:pPr>
        <w:spacing w:after="40"/>
      </w:pPr>
      <w:r>
        <w:rPr>
          <w:rFonts w:ascii="Calibri" w:hAnsi="Calibri"/>
          <w:b/>
          <w:sz w:val="22"/>
        </w:rPr>
        <w:t xml:space="preserve">Reporting date: </w:t>
      </w:r>
      <w:r>
        <w:rPr>
          <w:rFonts w:ascii="Calibri" w:hAnsi="Calibri"/>
          <w:sz w:val="22"/>
        </w:rPr>
        <w:t>14 July 2026</w:t>
      </w:r>
    </w:p>
    <w:p>
      <w:pPr>
        <w:spacing w:after="40"/>
      </w:pPr>
      <w:r>
        <w:rPr>
          <w:rFonts w:ascii="Calibri" w:hAnsi="Calibri"/>
          <w:b/>
          <w:sz w:val="22"/>
        </w:rPr>
        <w:t xml:space="preserve">Scope: </w:t>
      </w:r>
      <w:r>
        <w:rPr>
          <w:rFonts w:ascii="Calibri" w:hAnsi="Calibri"/>
          <w:sz w:val="22"/>
        </w:rPr>
        <w:t>Changes reconstructed from current source files and file modification timestamps</w:t>
      </w:r>
    </w:p>
    <w:p>
      <w:pPr>
        <w:spacing w:before="280" w:after="160"/>
      </w:pPr>
      <w:r>
        <w:rPr>
          <w:rFonts w:ascii="Calibri" w:hAnsi="Calibri"/>
          <w:b/>
          <w:color w:val="2E74B5"/>
          <w:sz w:val="32"/>
        </w:rPr>
        <w:t>Executive summary</w:t>
      </w:r>
    </w:p>
    <w:p>
      <w:r>
        <w:rPr>
          <w:rFonts w:ascii="Calibri" w:hAnsi="Calibri"/>
          <w:sz w:val="22"/>
        </w:rPr>
        <w:t>Today's work expanded the application with a Governance Explorer, object-level governance details, richer Excel exports, and refinements to user comparison and permission views. Backend routes and Databricks integration logic were updated to support the new frontend capabilities.</w:t>
      </w:r>
    </w:p>
    <w:p>
      <w:pPr>
        <w:pStyle w:val="Heading1"/>
      </w:pPr>
      <w:r>
        <w:t>1. Governance Explorer</w:t>
      </w:r>
    </w:p>
    <w:p>
      <w:pPr>
        <w:pStyle w:val="ListBullet"/>
        <w:spacing w:after="120" w:line="280" w:lineRule="auto"/>
        <w:ind w:left="720" w:hanging="360"/>
      </w:pPr>
      <w:r>
        <w:rPr>
          <w:rFonts w:ascii="Calibri" w:hAnsi="Calibri"/>
          <w:sz w:val="22"/>
        </w:rPr>
        <w:t>Added a Governance Explorer page and connected it to the main application navigation.</w:t>
      </w:r>
    </w:p>
    <w:p>
      <w:pPr>
        <w:pStyle w:val="ListBullet"/>
        <w:spacing w:after="120" w:line="280" w:lineRule="auto"/>
        <w:ind w:left="720" w:hanging="360"/>
      </w:pPr>
      <w:r>
        <w:rPr>
          <w:rFonts w:ascii="Calibri" w:hAnsi="Calibri"/>
          <w:sz w:val="22"/>
        </w:rPr>
        <w:t>Added views for Unity Catalogs, storage credentials, external locations, catalog bindings, and audit history.</w:t>
      </w:r>
    </w:p>
    <w:p>
      <w:pPr>
        <w:pStyle w:val="ListBullet"/>
        <w:spacing w:after="120" w:line="280" w:lineRule="auto"/>
        <w:ind w:left="720" w:hanging="360"/>
      </w:pPr>
      <w:r>
        <w:rPr>
          <w:rFonts w:ascii="Calibri" w:hAnsi="Calibri"/>
          <w:sz w:val="22"/>
        </w:rPr>
        <w:t>Created reusable governance cards, dashboards, resource tables, and detail panels in the frontend.</w:t>
      </w:r>
    </w:p>
    <w:p>
      <w:pPr>
        <w:pStyle w:val="Heading1"/>
      </w:pPr>
      <w:r>
        <w:t>2. Backend governance services</w:t>
      </w:r>
    </w:p>
    <w:p>
      <w:pPr>
        <w:pStyle w:val="ListBullet"/>
        <w:spacing w:after="120" w:line="280" w:lineRule="auto"/>
        <w:ind w:left="720" w:hanging="360"/>
      </w:pPr>
      <w:r>
        <w:rPr>
          <w:rFonts w:ascii="Calibri" w:hAnsi="Calibri"/>
          <w:sz w:val="22"/>
        </w:rPr>
        <w:t>Added normalized governance service logic and API endpoints for governance summaries and resource listings.</w:t>
      </w:r>
    </w:p>
    <w:p>
      <w:pPr>
        <w:pStyle w:val="ListBullet"/>
        <w:spacing w:after="120" w:line="280" w:lineRule="auto"/>
        <w:ind w:left="720" w:hanging="360"/>
      </w:pPr>
      <w:r>
        <w:rPr>
          <w:rFonts w:ascii="Calibri" w:hAnsi="Calibri"/>
          <w:sz w:val="22"/>
        </w:rPr>
        <w:t>Added object-level governance endpoints for catalogs, schemas, tables, and volumes.</w:t>
      </w:r>
    </w:p>
    <w:p>
      <w:pPr>
        <w:pStyle w:val="ListBullet"/>
        <w:spacing w:after="120" w:line="280" w:lineRule="auto"/>
        <w:ind w:left="720" w:hanging="360"/>
      </w:pPr>
      <w:r>
        <w:rPr>
          <w:rFonts w:ascii="Calibri" w:hAnsi="Calibri"/>
          <w:sz w:val="22"/>
        </w:rPr>
        <w:t>Improved Databricks response handling so optional governance sections can fail gracefully without making the entire object page unusable.</w:t>
      </w:r>
    </w:p>
    <w:p>
      <w:pPr>
        <w:pStyle w:val="Heading1"/>
      </w:pPr>
      <w:r>
        <w:t>3. Object details and permissions</w:t>
      </w:r>
    </w:p>
    <w:p>
      <w:pPr>
        <w:pStyle w:val="ListBullet"/>
        <w:spacing w:after="120" w:line="280" w:lineRule="auto"/>
        <w:ind w:left="720" w:hanging="360"/>
      </w:pPr>
      <w:r>
        <w:rPr>
          <w:rFonts w:ascii="Calibri" w:hAnsi="Calibri"/>
          <w:sz w:val="22"/>
        </w:rPr>
        <w:t>Updated the object details card to expose governance information alongside object metadata.</w:t>
      </w:r>
    </w:p>
    <w:p>
      <w:pPr>
        <w:pStyle w:val="ListBullet"/>
        <w:spacing w:after="120" w:line="280" w:lineRule="auto"/>
        <w:ind w:left="720" w:hanging="360"/>
      </w:pPr>
      <w:r>
        <w:rPr>
          <w:rFonts w:ascii="Calibri" w:hAnsi="Calibri"/>
          <w:sz w:val="22"/>
        </w:rPr>
        <w:t>Refined the permission table and data-governance accordion presentation.</w:t>
      </w:r>
    </w:p>
    <w:p>
      <w:pPr>
        <w:pStyle w:val="ListBullet"/>
        <w:spacing w:after="120" w:line="280" w:lineRule="auto"/>
        <w:ind w:left="720" w:hanging="360"/>
      </w:pPr>
      <w:r>
        <w:rPr>
          <w:rFonts w:ascii="Calibri" w:hAnsi="Calibri"/>
          <w:sz w:val="22"/>
        </w:rPr>
        <w:t>Added or refined related application styling for governance panels, permission states, and responsive layouts.</w:t>
      </w:r>
    </w:p>
    <w:p>
      <w:pPr>
        <w:pStyle w:val="Heading1"/>
      </w:pPr>
      <w:r>
        <w:t>4. Excel reporting</w:t>
      </w:r>
    </w:p>
    <w:p>
      <w:pPr>
        <w:pStyle w:val="ListBullet"/>
        <w:spacing w:after="120" w:line="280" w:lineRule="auto"/>
        <w:ind w:left="720" w:hanging="360"/>
      </w:pPr>
      <w:r>
        <w:rPr>
          <w:rFonts w:ascii="Calibri" w:hAnsi="Calibri"/>
          <w:sz w:val="22"/>
        </w:rPr>
        <w:t>Expanded Excel export utilities for permissions, catalog bindings, schema objects, table statistics, and governance resource rows.</w:t>
      </w:r>
    </w:p>
    <w:p>
      <w:pPr>
        <w:pStyle w:val="ListBullet"/>
        <w:spacing w:after="120" w:line="280" w:lineRule="auto"/>
        <w:ind w:left="720" w:hanging="360"/>
      </w:pPr>
      <w:r>
        <w:rPr>
          <w:rFonts w:ascii="Calibri" w:hAnsi="Calibri"/>
          <w:sz w:val="22"/>
        </w:rPr>
        <w:t>Added richer exports for catalogs, schemas, tables, volumes, users, groups, group members, and user-comparison reports.</w:t>
      </w:r>
    </w:p>
    <w:p>
      <w:pPr>
        <w:pStyle w:val="ListBullet"/>
        <w:spacing w:after="120" w:line="280" w:lineRule="auto"/>
        <w:ind w:left="720" w:hanging="360"/>
      </w:pPr>
      <w:r>
        <w:rPr>
          <w:rFonts w:ascii="Calibri" w:hAnsi="Calibri"/>
          <w:sz w:val="22"/>
        </w:rPr>
        <w:t>Included report metadata such as export date and the exporting user where available.</w:t>
      </w:r>
    </w:p>
    <w:p>
      <w:pPr>
        <w:pStyle w:val="Heading1"/>
      </w:pPr>
      <w:r>
        <w:t>5. User comparison</w:t>
      </w:r>
    </w:p>
    <w:p>
      <w:pPr>
        <w:pStyle w:val="ListBullet"/>
        <w:spacing w:after="120" w:line="280" w:lineRule="auto"/>
        <w:ind w:left="720" w:hanging="360"/>
      </w:pPr>
      <w:r>
        <w:rPr>
          <w:rFonts w:ascii="Calibri" w:hAnsi="Calibri"/>
          <w:sz w:val="22"/>
        </w:rPr>
        <w:t>Updated the Compare Users interface and its backend comparison flow.</w:t>
      </w:r>
    </w:p>
    <w:p>
      <w:pPr>
        <w:pStyle w:val="ListBullet"/>
        <w:spacing w:after="120" w:line="280" w:lineRule="auto"/>
        <w:ind w:left="720" w:hanging="360"/>
      </w:pPr>
      <w:r>
        <w:rPr>
          <w:rFonts w:ascii="Calibri" w:hAnsi="Calibri"/>
          <w:sz w:val="22"/>
        </w:rPr>
        <w:t>Refined comparison of direct and group-derived access across Unity Catalog objects.</w:t>
      </w:r>
    </w:p>
    <w:p>
      <w:pPr>
        <w:pStyle w:val="Heading1"/>
      </w:pPr>
      <w:r>
        <w:t>6. Configuration and generated artifacts</w:t>
      </w:r>
    </w:p>
    <w:p>
      <w:pPr>
        <w:pStyle w:val="ListBullet"/>
        <w:spacing w:after="120" w:line="280" w:lineRule="auto"/>
        <w:ind w:left="720" w:hanging="360"/>
      </w:pPr>
      <w:r>
        <w:rPr>
          <w:rFonts w:ascii="Calibri" w:hAnsi="Calibri"/>
          <w:sz w:val="22"/>
        </w:rPr>
        <w:t>Updated backend environment configuration. Secret or credential values are intentionally excluded from this summary.</w:t>
      </w:r>
    </w:p>
    <w:p>
      <w:pPr>
        <w:pStyle w:val="ListBullet"/>
        <w:spacing w:after="120" w:line="280" w:lineRule="auto"/>
        <w:ind w:left="720" w:hanging="360"/>
      </w:pPr>
      <w:r>
        <w:rPr>
          <w:rFonts w:ascii="Calibri" w:hAnsi="Calibri"/>
          <w:sz w:val="22"/>
        </w:rPr>
        <w:t>Rebuilt the frontend production bundle under frontend/dist.</w:t>
      </w:r>
    </w:p>
    <w:p>
      <w:pPr>
        <w:pStyle w:val="ListBullet"/>
        <w:spacing w:after="120" w:line="280" w:lineRule="auto"/>
        <w:ind w:left="720" w:hanging="360"/>
      </w:pPr>
      <w:r>
        <w:rPr>
          <w:rFonts w:ascii="Calibri" w:hAnsi="Calibri"/>
          <w:sz w:val="22"/>
        </w:rPr>
        <w:t>Generated normal development artifacts, including Vite dependency cache files and Python bytecode caches.</w:t>
      </w:r>
    </w:p>
    <w:p>
      <w:pPr>
        <w:pStyle w:val="ListBullet"/>
        <w:spacing w:after="120" w:line="280" w:lineRule="auto"/>
        <w:ind w:left="720" w:hanging="360"/>
      </w:pPr>
      <w:r>
        <w:rPr>
          <w:rFonts w:ascii="Calibri" w:hAnsi="Calibri"/>
          <w:sz w:val="22"/>
        </w:rPr>
        <w:t>Downloaded a GitHub CLI archive (gh_cli.zip) into the project root.</w:t>
      </w:r>
    </w:p>
    <w:p>
      <w:pPr>
        <w:pStyle w:val="Heading1"/>
      </w:pPr>
      <w:r>
        <w:t>Primary files affected</w:t>
      </w:r>
    </w:p>
    <w:tbl>
      <w:tblPr>
        <w:tblStyle w:val="TableGrid"/>
        <w:tblW w:type="auto" w:w="0"/>
        <w:tblLayout w:type="fixed"/>
        <w:tblLook w:firstColumn="1" w:firstRow="1" w:lastColumn="0" w:lastRow="0" w:noHBand="0" w:noVBand="1" w:val="04A0"/>
      </w:tblPr>
      <w:tblGrid>
        <w:gridCol w:w="3096"/>
        <w:gridCol w:w="6264"/>
      </w:tblGrid>
      <w:tr>
        <w:trPr>
          <w:tblHeader w:val="true"/>
        </w:trPr>
        <w:tc>
          <w:tcPr>
            <w:tcW w:type="dxa" w:w="4680"/>
            <w:shd w:fill="F2F4F7"/>
            <w:tcMar>
              <w:top w:w="80" w:type="dxa"/>
              <w:start w:w="120" w:type="dxa"/>
              <w:bottom w:w="80" w:type="dxa"/>
              <w:end w:w="120" w:type="dxa"/>
            </w:tcMar>
          </w:tcPr>
          <w:p>
            <w:r>
              <w:rPr>
                <w:rFonts w:ascii="Calibri" w:hAnsi="Calibri"/>
                <w:b/>
                <w:sz w:val="22"/>
              </w:rPr>
              <w:t>Area</w:t>
            </w:r>
          </w:p>
        </w:tc>
        <w:tc>
          <w:tcPr>
            <w:tcW w:type="dxa" w:w="4680"/>
            <w:shd w:fill="F2F4F7"/>
            <w:tcMar>
              <w:top w:w="80" w:type="dxa"/>
              <w:start w:w="120" w:type="dxa"/>
              <w:bottom w:w="80" w:type="dxa"/>
              <w:end w:w="120" w:type="dxa"/>
            </w:tcMar>
          </w:tcPr>
          <w:p>
            <w:r>
              <w:rPr>
                <w:rFonts w:ascii="Calibri" w:hAnsi="Calibri"/>
                <w:b/>
                <w:sz w:val="22"/>
              </w:rPr>
              <w:t>Files</w:t>
            </w:r>
          </w:p>
        </w:tc>
      </w:tr>
      <w:tr>
        <w:tc>
          <w:tcPr>
            <w:tcW w:type="dxa" w:w="3096"/>
            <w:tcMar>
              <w:top w:w="80" w:type="dxa"/>
              <w:start w:w="120" w:type="dxa"/>
              <w:bottom w:w="80" w:type="dxa"/>
              <w:end w:w="120" w:type="dxa"/>
            </w:tcMar>
            <w:vAlign w:val="center"/>
          </w:tcPr>
          <w:p>
            <w:pPr>
              <w:spacing w:after="0" w:line="264" w:lineRule="auto"/>
            </w:pPr>
            <w:r>
              <w:rPr>
                <w:rFonts w:ascii="Calibri" w:hAnsi="Calibri"/>
                <w:sz w:val="20"/>
              </w:rPr>
              <w:t>Backend</w:t>
            </w:r>
          </w:p>
        </w:tc>
        <w:tc>
          <w:tcPr>
            <w:tcW w:type="dxa" w:w="6264"/>
            <w:tcMar>
              <w:top w:w="80" w:type="dxa"/>
              <w:start w:w="120" w:type="dxa"/>
              <w:bottom w:w="80" w:type="dxa"/>
              <w:end w:w="120" w:type="dxa"/>
            </w:tcMar>
            <w:vAlign w:val="center"/>
          </w:tcPr>
          <w:p>
            <w:pPr>
              <w:spacing w:after="0" w:line="264" w:lineRule="auto"/>
            </w:pPr>
            <w:r>
              <w:rPr>
                <w:rFonts w:ascii="Calibri" w:hAnsi="Calibri"/>
                <w:sz w:val="20"/>
              </w:rPr>
              <w:t>backend/app.py; backend/services/databricks_api.py; backend/services/governance_api.py</w:t>
            </w:r>
          </w:p>
        </w:tc>
      </w:tr>
      <w:tr>
        <w:tc>
          <w:tcPr>
            <w:tcW w:type="dxa" w:w="3096"/>
            <w:tcMar>
              <w:top w:w="80" w:type="dxa"/>
              <w:start w:w="120" w:type="dxa"/>
              <w:bottom w:w="80" w:type="dxa"/>
              <w:end w:w="120" w:type="dxa"/>
            </w:tcMar>
            <w:vAlign w:val="center"/>
          </w:tcPr>
          <w:p>
            <w:pPr>
              <w:spacing w:after="0" w:line="264" w:lineRule="auto"/>
            </w:pPr>
            <w:r>
              <w:rPr>
                <w:rFonts w:ascii="Calibri" w:hAnsi="Calibri"/>
                <w:sz w:val="20"/>
              </w:rPr>
              <w:t>Application shell</w:t>
            </w:r>
          </w:p>
        </w:tc>
        <w:tc>
          <w:tcPr>
            <w:tcW w:type="dxa" w:w="6264"/>
            <w:tcMar>
              <w:top w:w="80" w:type="dxa"/>
              <w:start w:w="120" w:type="dxa"/>
              <w:bottom w:w="80" w:type="dxa"/>
              <w:end w:w="120" w:type="dxa"/>
            </w:tcMar>
            <w:vAlign w:val="center"/>
          </w:tcPr>
          <w:p>
            <w:pPr>
              <w:spacing w:after="0" w:line="264" w:lineRule="auto"/>
            </w:pPr>
            <w:r>
              <w:rPr>
                <w:rFonts w:ascii="Calibri" w:hAnsi="Calibri"/>
                <w:sz w:val="20"/>
              </w:rPr>
              <w:t>frontend/src/App.jsx; frontend/src/App.css</w:t>
            </w:r>
          </w:p>
        </w:tc>
      </w:tr>
      <w:tr>
        <w:tc>
          <w:tcPr>
            <w:tcW w:type="dxa" w:w="3096"/>
            <w:tcMar>
              <w:top w:w="80" w:type="dxa"/>
              <w:start w:w="120" w:type="dxa"/>
              <w:bottom w:w="80" w:type="dxa"/>
              <w:end w:w="120" w:type="dxa"/>
            </w:tcMar>
            <w:vAlign w:val="center"/>
          </w:tcPr>
          <w:p>
            <w:pPr>
              <w:spacing w:after="0" w:line="264" w:lineRule="auto"/>
            </w:pPr>
            <w:r>
              <w:rPr>
                <w:rFonts w:ascii="Calibri" w:hAnsi="Calibri"/>
                <w:sz w:val="20"/>
              </w:rPr>
              <w:t>Frontend components</w:t>
            </w:r>
          </w:p>
        </w:tc>
        <w:tc>
          <w:tcPr>
            <w:tcW w:type="dxa" w:w="6264"/>
            <w:tcMar>
              <w:top w:w="80" w:type="dxa"/>
              <w:start w:w="120" w:type="dxa"/>
              <w:bottom w:w="80" w:type="dxa"/>
              <w:end w:w="120" w:type="dxa"/>
            </w:tcMar>
            <w:vAlign w:val="center"/>
          </w:tcPr>
          <w:p>
            <w:pPr>
              <w:spacing w:after="0" w:line="264" w:lineRule="auto"/>
            </w:pPr>
            <w:r>
              <w:rPr>
                <w:rFonts w:ascii="Calibri" w:hAnsi="Calibri"/>
                <w:sz w:val="20"/>
              </w:rPr>
              <w:t>ObjectDetailsCard.jsx; PermissionTable.jsx; CompareUsers.jsx; DataGovernanceAccordions.jsx</w:t>
            </w:r>
          </w:p>
        </w:tc>
      </w:tr>
      <w:tr>
        <w:tc>
          <w:tcPr>
            <w:tcW w:type="dxa" w:w="3096"/>
            <w:tcMar>
              <w:top w:w="80" w:type="dxa"/>
              <w:start w:w="120" w:type="dxa"/>
              <w:bottom w:w="80" w:type="dxa"/>
              <w:end w:w="120" w:type="dxa"/>
            </w:tcMar>
            <w:vAlign w:val="center"/>
          </w:tcPr>
          <w:p>
            <w:pPr>
              <w:spacing w:after="0" w:line="264" w:lineRule="auto"/>
            </w:pPr>
            <w:r>
              <w:rPr>
                <w:rFonts w:ascii="Calibri" w:hAnsi="Calibri"/>
                <w:sz w:val="20"/>
              </w:rPr>
              <w:t>Governance UI</w:t>
            </w:r>
          </w:p>
        </w:tc>
        <w:tc>
          <w:tcPr>
            <w:tcW w:type="dxa" w:w="6264"/>
            <w:tcMar>
              <w:top w:w="80" w:type="dxa"/>
              <w:start w:w="120" w:type="dxa"/>
              <w:bottom w:w="80" w:type="dxa"/>
              <w:end w:w="120" w:type="dxa"/>
            </w:tcMar>
            <w:vAlign w:val="center"/>
          </w:tcPr>
          <w:p>
            <w:pPr>
              <w:spacing w:after="0" w:line="264" w:lineRule="auto"/>
            </w:pPr>
            <w:r>
              <w:rPr>
                <w:rFonts w:ascii="Calibri" w:hAnsi="Calibri"/>
                <w:sz w:val="20"/>
              </w:rPr>
              <w:t>Multiple files under frontend/src/components/governance/</w:t>
            </w:r>
          </w:p>
        </w:tc>
      </w:tr>
      <w:tr>
        <w:tc>
          <w:tcPr>
            <w:tcW w:type="dxa" w:w="3096"/>
            <w:tcMar>
              <w:top w:w="80" w:type="dxa"/>
              <w:start w:w="120" w:type="dxa"/>
              <w:bottom w:w="80" w:type="dxa"/>
              <w:end w:w="120" w:type="dxa"/>
            </w:tcMar>
            <w:vAlign w:val="center"/>
          </w:tcPr>
          <w:p>
            <w:pPr>
              <w:spacing w:after="0" w:line="264" w:lineRule="auto"/>
            </w:pPr>
            <w:r>
              <w:rPr>
                <w:rFonts w:ascii="Calibri" w:hAnsi="Calibri"/>
                <w:sz w:val="20"/>
              </w:rPr>
              <w:t>Exports</w:t>
            </w:r>
          </w:p>
        </w:tc>
        <w:tc>
          <w:tcPr>
            <w:tcW w:type="dxa" w:w="6264"/>
            <w:tcMar>
              <w:top w:w="80" w:type="dxa"/>
              <w:start w:w="120" w:type="dxa"/>
              <w:bottom w:w="80" w:type="dxa"/>
              <w:end w:w="120" w:type="dxa"/>
            </w:tcMar>
            <w:vAlign w:val="center"/>
          </w:tcPr>
          <w:p>
            <w:pPr>
              <w:spacing w:after="0" w:line="264" w:lineRule="auto"/>
            </w:pPr>
            <w:r>
              <w:rPr>
                <w:rFonts w:ascii="Calibri" w:hAnsi="Calibri"/>
                <w:sz w:val="20"/>
              </w:rPr>
              <w:t>frontend/src/utils/excelExport.js</w:t>
            </w:r>
          </w:p>
        </w:tc>
      </w:tr>
      <w:tr>
        <w:tc>
          <w:tcPr>
            <w:tcW w:type="dxa" w:w="3096"/>
            <w:tcMar>
              <w:top w:w="80" w:type="dxa"/>
              <w:start w:w="120" w:type="dxa"/>
              <w:bottom w:w="80" w:type="dxa"/>
              <w:end w:w="120" w:type="dxa"/>
            </w:tcMar>
            <w:vAlign w:val="center"/>
          </w:tcPr>
          <w:p>
            <w:pPr>
              <w:spacing w:after="0" w:line="264" w:lineRule="auto"/>
            </w:pPr>
            <w:r>
              <w:rPr>
                <w:rFonts w:ascii="Calibri" w:hAnsi="Calibri"/>
                <w:sz w:val="20"/>
              </w:rPr>
              <w:t>Configuration</w:t>
            </w:r>
          </w:p>
        </w:tc>
        <w:tc>
          <w:tcPr>
            <w:tcW w:type="dxa" w:w="6264"/>
            <w:tcMar>
              <w:top w:w="80" w:type="dxa"/>
              <w:start w:w="120" w:type="dxa"/>
              <w:bottom w:w="80" w:type="dxa"/>
              <w:end w:w="120" w:type="dxa"/>
            </w:tcMar>
            <w:vAlign w:val="center"/>
          </w:tcPr>
          <w:p>
            <w:pPr>
              <w:spacing w:after="0" w:line="264" w:lineRule="auto"/>
            </w:pPr>
            <w:r>
              <w:rPr>
                <w:rFonts w:ascii="Calibri" w:hAnsi="Calibri"/>
                <w:sz w:val="20"/>
              </w:rPr>
              <w:t>backend/.env (values omitted)</w:t>
            </w:r>
          </w:p>
        </w:tc>
      </w:tr>
    </w:tbl>
    <w:p>
      <w:pPr>
        <w:pStyle w:val="Heading1"/>
      </w:pPr>
      <w:r>
        <w:t>Verification note</w:t>
      </w:r>
    </w:p>
    <w:p>
      <w:r>
        <w:rPr>
          <w:rFonts w:ascii="Calibri" w:hAnsi="Calibri"/>
          <w:i/>
          <w:color w:val="5F6368"/>
          <w:sz w:val="22"/>
        </w:rPr>
        <w:t>The repository's .git directory is currently empty or unusable, so an exact Git diff and commit-based history were not available. This summary was reconstructed from files modified on 14 July 2026 and from the functionality visible in the current code. Reverted, deleted, or unsaved work may not be represented.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F6368"/>
        <w:sz w:val="17"/>
      </w:rPr>
      <w:t>PRIVACY CONTROL CENTER  |  DEVELOPMENT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Changes Summary - 14 July 2026</dc:title>
  <dc:subject>Privacy Control Center daily development summary</dc:subject>
  <dc:creator>Privacy Control Center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