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pPr>
      <w:r w:rsidDel="00000000" w:rsidR="00000000" w:rsidRPr="00000000">
        <w:rPr>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pPr>
      <w:r w:rsidDel="00000000" w:rsidR="00000000" w:rsidRPr="00000000">
        <w:rPr>
          <w:b w:val="1"/>
          <w:bCs w:val="1"/>
          <w:sz w:val="24"/>
          <w:szCs w:val="24"/>
          <w:rtl w:val="0"/>
        </w:rPr>
        <w:t xml:space="preserve">ASSESSMENT TOOL 1: Analytical Problem Solving</w:t>
      </w:r>
      <w:r w:rsidDel="00000000" w:rsidR="00000000" w:rsidRPr="00000000">
        <w:rPr>
          <w:rtl w:val="0"/>
        </w:rPr>
      </w:r>
    </w:p>
    <w:p w:rsidR="00000000" w:rsidDel="00000000" w:rsidP="00000000" w:rsidRDefault="00000000" w:rsidRPr="00000000" w14:paraId="00000003">
      <w:pPr>
        <w:spacing w:after="40" w:line="240" w:lineRule="auto"/>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spacing w:after="0" w:lineRule="auto"/>
              <w:rPr>
                <w:sz w:val="24"/>
                <w:szCs w:val="24"/>
              </w:rPr>
            </w:pPr>
            <w:r w:rsidDel="00000000" w:rsidR="00000000" w:rsidRPr="00000000">
              <w:rPr>
                <w:b w:val="1"/>
                <w:bCs w:val="1"/>
                <w:sz w:val="24"/>
                <w:szCs w:val="24"/>
                <w:rtl w:val="0"/>
              </w:rPr>
              <w:t xml:space="preserve">COURSE NAME:</w:t>
            </w:r>
            <w:r w:rsidDel="00000000" w:rsidR="00000000" w:rsidRPr="00000000">
              <w:rPr>
                <w:rtl w:val="0"/>
              </w:rPr>
            </w:r>
          </w:p>
        </w:tc>
        <w:tc>
          <w:tcPr/>
          <w:p w:rsidR="00000000" w:rsidDel="00000000" w:rsidP="00000000" w:rsidRDefault="00000000" w:rsidRPr="00000000" w14:paraId="00000005">
            <w:pPr>
              <w:spacing w:after="0" w:lineRule="auto"/>
              <w:rPr>
                <w:sz w:val="24"/>
                <w:szCs w:val="24"/>
              </w:rPr>
            </w:pPr>
            <w:r w:rsidDel="00000000" w:rsidR="00000000" w:rsidRPr="00000000">
              <w:rPr>
                <w:sz w:val="24"/>
                <w:szCs w:val="24"/>
                <w:rtl w:val="0"/>
              </w:rPr>
              <w:t xml:space="preserve">Cloud Computing and Big Data Analytics </w:t>
            </w:r>
          </w:p>
        </w:tc>
        <w:tc>
          <w:tcPr/>
          <w:p w:rsidR="00000000" w:rsidDel="00000000" w:rsidP="00000000" w:rsidRDefault="00000000" w:rsidRPr="00000000" w14:paraId="00000006">
            <w:pPr>
              <w:spacing w:after="0" w:lineRule="auto"/>
              <w:rPr>
                <w:sz w:val="24"/>
                <w:szCs w:val="24"/>
              </w:rPr>
            </w:pPr>
            <w:r w:rsidDel="00000000" w:rsidR="00000000" w:rsidRPr="00000000">
              <w:rPr>
                <w:b w:val="1"/>
                <w:bCs w:val="1"/>
                <w:sz w:val="24"/>
                <w:szCs w:val="24"/>
                <w:rtl w:val="0"/>
              </w:rPr>
              <w:t xml:space="preserve">COURSE CODE:</w:t>
            </w:r>
            <w:r w:rsidDel="00000000" w:rsidR="00000000" w:rsidRPr="00000000">
              <w:rPr>
                <w:rtl w:val="0"/>
              </w:rPr>
            </w:r>
          </w:p>
        </w:tc>
        <w:tc>
          <w:tcPr/>
          <w:p w:rsidR="00000000" w:rsidDel="00000000" w:rsidP="00000000" w:rsidRDefault="00000000" w:rsidRPr="00000000" w14:paraId="00000007">
            <w:pPr>
              <w:spacing w:after="0" w:lineRule="auto"/>
              <w:rPr>
                <w:sz w:val="24"/>
                <w:szCs w:val="24"/>
              </w:rPr>
            </w:pPr>
            <w:r w:rsidDel="00000000" w:rsidR="00000000" w:rsidRPr="00000000">
              <w:rPr>
                <w:sz w:val="24"/>
                <w:szCs w:val="24"/>
                <w:rtl w:val="0"/>
              </w:rPr>
              <w:t xml:space="preserve">CSA15</w:t>
            </w:r>
          </w:p>
        </w:tc>
      </w:tr>
    </w:tbl>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Bdr>
          <w:bottom w:color="a6a6a6" w:space="1" w:sz="6" w:val="single"/>
        </w:pBdr>
        <w:spacing w:after="240" w:lineRule="auto"/>
        <w:rPr>
          <w:sz w:val="24"/>
          <w:szCs w:val="24"/>
        </w:rPr>
      </w:pPr>
      <w:r w:rsidDel="00000000" w:rsidR="00000000" w:rsidRPr="00000000">
        <w:rPr>
          <w:rtl w:val="0"/>
        </w:rPr>
      </w:r>
    </w:p>
    <w:p w:rsidR="00000000" w:rsidDel="00000000" w:rsidP="00000000" w:rsidRDefault="00000000" w:rsidRPr="00000000" w14:paraId="0000000A">
      <w:pPr>
        <w:spacing w:after="40" w:lineRule="auto"/>
        <w:rPr>
          <w:sz w:val="24"/>
          <w:szCs w:val="24"/>
        </w:rPr>
      </w:pPr>
      <w:r w:rsidDel="00000000" w:rsidR="00000000" w:rsidRPr="00000000">
        <w:rPr>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B">
      <w:pPr>
        <w:spacing w:after="120" w:lineRule="auto"/>
        <w:rPr>
          <w:sz w:val="24"/>
          <w:szCs w:val="24"/>
        </w:rPr>
      </w:pPr>
      <w:r w:rsidDel="00000000" w:rsidR="00000000" w:rsidRPr="00000000">
        <w:rPr>
          <w:b w:val="1"/>
          <w:bCs w:val="1"/>
          <w:sz w:val="24"/>
          <w:szCs w:val="24"/>
          <w:rtl w:val="0"/>
        </w:rPr>
        <w:t xml:space="preserve">CO2: </w:t>
      </w:r>
      <w:r w:rsidDel="00000000" w:rsidR="00000000" w:rsidRPr="00000000">
        <w:rPr>
          <w:i w:val="1"/>
          <w:iCs w:val="1"/>
          <w:sz w:val="24"/>
          <w:szCs w:val="24"/>
          <w:rtl w:val="0"/>
        </w:rPr>
        <w:t xml:space="preserve">Analyze virtualization architectures to identify performance and security issues in cloud computing environments.</w:t>
      </w:r>
      <w:r w:rsidDel="00000000" w:rsidR="00000000" w:rsidRPr="00000000">
        <w:rPr>
          <w:sz w:val="24"/>
          <w:szCs w:val="24"/>
          <w:rtl w:val="0"/>
        </w:rPr>
        <w:t xml:space="preserve"> (BL3)</w:t>
      </w:r>
    </w:p>
    <w:p w:rsidR="00000000" w:rsidDel="00000000" w:rsidP="00000000" w:rsidRDefault="00000000" w:rsidRPr="00000000" w14:paraId="0000000C">
      <w:pPr>
        <w:spacing w:after="40" w:lineRule="auto"/>
        <w:rPr>
          <w:sz w:val="24"/>
          <w:szCs w:val="24"/>
        </w:rPr>
      </w:pPr>
      <w:r w:rsidDel="00000000" w:rsidR="00000000" w:rsidRPr="00000000">
        <w:rPr>
          <w:sz w:val="24"/>
          <w:szCs w:val="24"/>
          <w:rtl w:val="0"/>
        </w:rPr>
        <w:t xml:space="preserve">Assessment Tool Weightage: 40%</w:t>
      </w:r>
    </w:p>
    <w:p w:rsidR="00000000" w:rsidDel="00000000" w:rsidP="00000000" w:rsidRDefault="00000000" w:rsidRPr="00000000" w14:paraId="0000000D">
      <w:pPr>
        <w:spacing w:after="40" w:lineRule="auto"/>
        <w:rPr>
          <w:sz w:val="24"/>
          <w:szCs w:val="24"/>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E">
            <w:pPr>
              <w:spacing w:after="0" w:lineRule="auto"/>
              <w:rPr>
                <w:sz w:val="24"/>
                <w:szCs w:val="24"/>
              </w:rPr>
            </w:pPr>
            <w:r w:rsidDel="00000000" w:rsidR="00000000" w:rsidRPr="00000000">
              <w:rPr>
                <w:sz w:val="24"/>
                <w:szCs w:val="24"/>
                <w:rtl w:val="0"/>
              </w:rPr>
              <w:t xml:space="preserve">Dave's Taxonomy: Manipulation (Level 2)</w:t>
              <w:br w:type="textWrapping"/>
              <w:t xml:space="preserve">Question Count: 5</w:t>
            </w:r>
          </w:p>
        </w:tc>
        <w:tc>
          <w:tcPr/>
          <w:p w:rsidR="00000000" w:rsidDel="00000000" w:rsidP="00000000" w:rsidRDefault="00000000" w:rsidRPr="00000000" w14:paraId="0000000F">
            <w:pPr>
              <w:spacing w:after="0" w:lineRule="auto"/>
              <w:jc w:val="right"/>
              <w:rPr>
                <w:sz w:val="24"/>
                <w:szCs w:val="24"/>
              </w:rPr>
            </w:pPr>
            <w:r w:rsidDel="00000000" w:rsidR="00000000" w:rsidRPr="00000000">
              <w:rPr>
                <w:b w:val="1"/>
                <w:bCs w:val="1"/>
                <w:sz w:val="24"/>
                <w:szCs w:val="24"/>
                <w:rtl w:val="0"/>
              </w:rPr>
              <w:t xml:space="preserve">Total Marks: 50</w:t>
            </w:r>
            <w:r w:rsidDel="00000000" w:rsidR="00000000" w:rsidRPr="00000000">
              <w:rPr>
                <w:rtl w:val="0"/>
              </w:rPr>
            </w:r>
          </w:p>
        </w:tc>
      </w:tr>
    </w:tbl>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Bdr>
          <w:bottom w:color="a6a6a6" w:space="1" w:sz="6" w:val="single"/>
        </w:pBdr>
        <w:rPr>
          <w:sz w:val="24"/>
          <w:szCs w:val="24"/>
        </w:rPr>
      </w:pPr>
      <w:r w:rsidDel="00000000" w:rsidR="00000000" w:rsidRPr="00000000">
        <w:rPr>
          <w:rtl w:val="0"/>
        </w:rPr>
      </w:r>
    </w:p>
    <w:p w:rsidR="00000000" w:rsidDel="00000000" w:rsidP="00000000" w:rsidRDefault="00000000" w:rsidRPr="00000000" w14:paraId="00000012">
      <w:pPr>
        <w:spacing w:after="40" w:lineRule="auto"/>
        <w:rPr>
          <w:sz w:val="24"/>
          <w:szCs w:val="24"/>
        </w:rPr>
      </w:pPr>
      <w:r w:rsidDel="00000000" w:rsidR="00000000" w:rsidRPr="00000000">
        <w:rPr>
          <w:b w:val="1"/>
          <w:bCs w:val="1"/>
          <w:sz w:val="24"/>
          <w:szCs w:val="24"/>
          <w:rtl w:val="0"/>
        </w:rPr>
        <w:t xml:space="preserve">Code of Conduct</w:t>
      </w:r>
      <w:r w:rsidDel="00000000" w:rsidR="00000000" w:rsidRPr="00000000">
        <w:rPr>
          <w:rtl w:val="0"/>
        </w:rPr>
      </w:r>
    </w:p>
    <w:p w:rsidR="00000000" w:rsidDel="00000000" w:rsidP="00000000" w:rsidRDefault="00000000" w:rsidRPr="00000000" w14:paraId="00000013">
      <w:pPr>
        <w:spacing w:after="40" w:lineRule="auto"/>
        <w:rPr>
          <w:sz w:val="24"/>
          <w:szCs w:val="24"/>
        </w:rPr>
      </w:pPr>
      <w:r w:rsidDel="00000000" w:rsidR="00000000" w:rsidRPr="00000000">
        <w:rPr>
          <w:sz w:val="24"/>
          <w:szCs w:val="24"/>
          <w:rtl w:val="0"/>
        </w:rPr>
        <w:t xml:space="preserve">V.M.Harihara prasath(192421393)(Name / Reg No) certify that this submission is my original work and that I have adhered to the guidelines specified for this assessment.</w:t>
      </w:r>
    </w:p>
    <w:p w:rsidR="00000000" w:rsidDel="00000000" w:rsidP="00000000" w:rsidRDefault="00000000" w:rsidRPr="00000000" w14:paraId="00000014">
      <w:pPr>
        <w:spacing w:after="40" w:lineRule="auto"/>
        <w:rPr>
          <w:sz w:val="24"/>
          <w:szCs w:val="24"/>
        </w:rPr>
      </w:pPr>
      <w:r w:rsidDel="00000000" w:rsidR="00000000" w:rsidRPr="00000000">
        <w:rPr>
          <w:sz w:val="24"/>
          <w:szCs w:val="24"/>
          <w:rtl w:val="0"/>
        </w:rPr>
        <w:t xml:space="preserve">I understand that any violation of academic integrity rules will result in disciplinary action.</w:t>
      </w:r>
    </w:p>
    <w:p w:rsidR="00000000" w:rsidDel="00000000" w:rsidP="00000000" w:rsidRDefault="00000000" w:rsidRPr="00000000" w14:paraId="00000015">
      <w:pPr>
        <w:spacing w:after="40" w:lineRule="auto"/>
        <w:rPr>
          <w:sz w:val="24"/>
          <w:szCs w:val="24"/>
        </w:rPr>
      </w:pPr>
      <w:r w:rsidDel="00000000" w:rsidR="00000000" w:rsidRPr="00000000">
        <w:rPr>
          <w:rtl w:val="0"/>
        </w:rPr>
      </w:r>
    </w:p>
    <w:p w:rsidR="00000000" w:rsidDel="00000000" w:rsidP="00000000" w:rsidRDefault="00000000" w:rsidRPr="00000000" w14:paraId="00000016">
      <w:pPr>
        <w:spacing w:after="40" w:lineRule="auto"/>
        <w:rPr>
          <w:sz w:val="24"/>
          <w:szCs w:val="24"/>
        </w:rPr>
      </w:pPr>
      <w:r w:rsidDel="00000000" w:rsidR="00000000" w:rsidRPr="00000000">
        <w:rPr>
          <w:sz w:val="24"/>
          <w:szCs w:val="24"/>
          <w:rtl w:val="0"/>
        </w:rPr>
        <w:t xml:space="preserve">Signature of the student: V.M.Harihara prasath</w:t>
      </w:r>
    </w:p>
    <w:p w:rsidR="00000000" w:rsidDel="00000000" w:rsidP="00000000" w:rsidRDefault="00000000" w:rsidRPr="00000000" w14:paraId="00000017">
      <w:pPr>
        <w:spacing w:after="40" w:lineRule="auto"/>
        <w:rPr>
          <w:sz w:val="24"/>
          <w:szCs w:val="24"/>
        </w:rPr>
      </w:pPr>
      <w:r w:rsidDel="00000000" w:rsidR="00000000" w:rsidRPr="00000000">
        <w:rPr>
          <w:rtl w:val="0"/>
        </w:rPr>
      </w:r>
    </w:p>
    <w:p w:rsidR="00000000" w:rsidDel="00000000" w:rsidP="00000000" w:rsidRDefault="00000000" w:rsidRPr="00000000" w14:paraId="00000018">
      <w:pPr>
        <w:spacing w:after="40" w:lineRule="auto"/>
        <w:rPr>
          <w:sz w:val="24"/>
          <w:szCs w:val="24"/>
        </w:rPr>
      </w:pPr>
      <w:r w:rsidDel="00000000" w:rsidR="00000000" w:rsidRPr="00000000">
        <w:rPr>
          <w:rtl w:val="0"/>
        </w:rPr>
      </w:r>
    </w:p>
    <w:tbl>
      <w:tblPr>
        <w:tblStyle w:val="Table3"/>
        <w:tblW w:w="9349.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9"/>
        <w:gridCol w:w="1606"/>
        <w:gridCol w:w="1521"/>
        <w:gridCol w:w="1584"/>
        <w:gridCol w:w="1238"/>
        <w:gridCol w:w="1265"/>
        <w:gridCol w:w="916"/>
        <w:tblGridChange w:id="0">
          <w:tblGrid>
            <w:gridCol w:w="1219"/>
            <w:gridCol w:w="1606"/>
            <w:gridCol w:w="1521"/>
            <w:gridCol w:w="1584"/>
            <w:gridCol w:w="1238"/>
            <w:gridCol w:w="1265"/>
            <w:gridCol w:w="916"/>
          </w:tblGrid>
        </w:tblGridChange>
      </w:tblGrid>
      <w:tr>
        <w:trPr>
          <w:cantSplit w:val="0"/>
          <w:trHeight w:val="707" w:hRule="atLeast"/>
          <w:tblHeader w:val="0"/>
        </w:trPr>
        <w:tc>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before="7" w:line="240" w:lineRule="auto"/>
              <w:rPr>
                <w:color w:val="000000"/>
                <w:sz w:val="20"/>
                <w:szCs w:val="2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before="1" w:line="240" w:lineRule="auto"/>
              <w:ind w:left="107" w:firstLine="0"/>
              <w:rPr>
                <w:color w:val="000000"/>
                <w:sz w:val="20"/>
                <w:szCs w:val="20"/>
              </w:rPr>
            </w:pPr>
            <w:r w:rsidDel="00000000" w:rsidR="00000000" w:rsidRPr="00000000">
              <w:rPr>
                <w:b w:val="1"/>
                <w:bCs w:val="1"/>
                <w:color w:val="000000"/>
                <w:sz w:val="20"/>
                <w:szCs w:val="20"/>
                <w:rtl w:val="0"/>
              </w:rPr>
              <w:t xml:space="preserve">Criteria</w:t>
            </w:r>
            <w:r w:rsidDel="00000000" w:rsidR="00000000" w:rsidRPr="00000000">
              <w:rPr>
                <w:rtl w:val="0"/>
              </w:rPr>
            </w:r>
          </w:p>
        </w:tc>
        <w:tc>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before="122" w:line="240" w:lineRule="auto"/>
              <w:ind w:left="107" w:firstLine="328"/>
              <w:rPr>
                <w:color w:val="000000"/>
                <w:sz w:val="20"/>
                <w:szCs w:val="20"/>
              </w:rPr>
            </w:pPr>
            <w:r w:rsidDel="00000000" w:rsidR="00000000" w:rsidRPr="00000000">
              <w:rPr>
                <w:b w:val="1"/>
                <w:bCs w:val="1"/>
                <w:color w:val="000000"/>
                <w:sz w:val="20"/>
                <w:szCs w:val="20"/>
                <w:rtl w:val="0"/>
              </w:rPr>
              <w:t xml:space="preserve">Problem Interpretation (2)</w:t>
            </w:r>
            <w:r w:rsidDel="00000000" w:rsidR="00000000" w:rsidRPr="00000000">
              <w:rPr>
                <w:rtl w:val="0"/>
              </w:rPr>
            </w:r>
          </w:p>
        </w:tc>
        <w:tc>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before="7" w:line="240" w:lineRule="auto"/>
              <w:rPr>
                <w:color w:val="000000"/>
                <w:sz w:val="20"/>
                <w:szCs w:val="20"/>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before="1" w:line="240" w:lineRule="auto"/>
              <w:ind w:left="12" w:firstLine="0"/>
              <w:jc w:val="center"/>
              <w:rPr>
                <w:color w:val="000000"/>
                <w:sz w:val="20"/>
                <w:szCs w:val="20"/>
              </w:rPr>
            </w:pPr>
            <w:r w:rsidDel="00000000" w:rsidR="00000000" w:rsidRPr="00000000">
              <w:rPr>
                <w:b w:val="1"/>
                <w:bCs w:val="1"/>
                <w:color w:val="000000"/>
                <w:sz w:val="20"/>
                <w:szCs w:val="20"/>
                <w:rtl w:val="0"/>
              </w:rPr>
              <w:t xml:space="preserve">Analytical Reasoning (2.5)</w:t>
            </w:r>
            <w:r w:rsidDel="00000000" w:rsidR="00000000" w:rsidRPr="00000000">
              <w:rPr>
                <w:rtl w:val="0"/>
              </w:rPr>
            </w:r>
          </w:p>
        </w:tc>
        <w:tc>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before="7" w:line="240" w:lineRule="auto"/>
              <w:rPr>
                <w:color w:val="000000"/>
                <w:sz w:val="20"/>
                <w:szCs w:val="20"/>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before="1" w:line="240" w:lineRule="auto"/>
              <w:ind w:left="10" w:firstLine="0"/>
              <w:jc w:val="center"/>
              <w:rPr>
                <w:color w:val="000000"/>
                <w:sz w:val="20"/>
                <w:szCs w:val="20"/>
              </w:rPr>
            </w:pPr>
            <w:r w:rsidDel="00000000" w:rsidR="00000000" w:rsidRPr="00000000">
              <w:rPr>
                <w:b w:val="1"/>
                <w:bCs w:val="1"/>
                <w:color w:val="000000"/>
                <w:sz w:val="20"/>
                <w:szCs w:val="20"/>
                <w:rtl w:val="0"/>
              </w:rPr>
              <w:t xml:space="preserve">Method Selection (2)</w:t>
            </w:r>
            <w:r w:rsidDel="00000000" w:rsidR="00000000" w:rsidRPr="00000000">
              <w:rPr>
                <w:rtl w:val="0"/>
              </w:rPr>
            </w:r>
          </w:p>
        </w:tc>
        <w:tc>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before="1" w:line="240" w:lineRule="auto"/>
              <w:ind w:left="11" w:right="5" w:firstLine="0"/>
              <w:jc w:val="center"/>
              <w:rPr>
                <w:color w:val="000000"/>
                <w:sz w:val="20"/>
                <w:szCs w:val="20"/>
              </w:rPr>
            </w:pPr>
            <w:r w:rsidDel="00000000" w:rsidR="00000000" w:rsidRPr="00000000">
              <w:rPr>
                <w:b w:val="1"/>
                <w:bCs w:val="1"/>
                <w:color w:val="000000"/>
                <w:sz w:val="20"/>
                <w:szCs w:val="20"/>
                <w:rtl w:val="0"/>
              </w:rPr>
              <w:t xml:space="preserve">Solution Quality (2)</w:t>
            </w:r>
            <w:r w:rsidDel="00000000" w:rsidR="00000000" w:rsidRPr="00000000">
              <w:rPr>
                <w:rtl w:val="0"/>
              </w:rPr>
            </w:r>
          </w:p>
        </w:tc>
        <w:tc>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before="122" w:line="240" w:lineRule="auto"/>
              <w:ind w:left="119" w:firstLine="0"/>
              <w:rPr>
                <w:color w:val="000000"/>
                <w:sz w:val="20"/>
                <w:szCs w:val="20"/>
              </w:rPr>
            </w:pPr>
            <w:r w:rsidDel="00000000" w:rsidR="00000000" w:rsidRPr="00000000">
              <w:rPr>
                <w:b w:val="1"/>
                <w:bCs w:val="1"/>
                <w:color w:val="000000"/>
                <w:sz w:val="20"/>
                <w:szCs w:val="20"/>
                <w:rtl w:val="0"/>
              </w:rPr>
              <w:t xml:space="preserve">Presentation of Analysis (1.5)</w:t>
            </w:r>
            <w:r w:rsidDel="00000000" w:rsidR="00000000" w:rsidRPr="00000000">
              <w:rPr>
                <w:rtl w:val="0"/>
              </w:rPr>
            </w:r>
          </w:p>
        </w:tc>
        <w:tc>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ind w:left="292" w:right="86" w:hanging="183"/>
              <w:rPr>
                <w:color w:val="000000"/>
                <w:sz w:val="20"/>
                <w:szCs w:val="20"/>
              </w:rPr>
            </w:pPr>
            <w:r w:rsidDel="00000000" w:rsidR="00000000" w:rsidRPr="00000000">
              <w:rPr>
                <w:b w:val="1"/>
                <w:bCs w:val="1"/>
                <w:color w:val="000000"/>
                <w:sz w:val="20"/>
                <w:szCs w:val="20"/>
                <w:rtl w:val="0"/>
              </w:rPr>
              <w:t xml:space="preserve">TOTAL (10)</w:t>
            </w: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before="62" w:line="240" w:lineRule="auto"/>
              <w:ind w:left="107" w:firstLine="0"/>
              <w:rPr>
                <w:color w:val="000000"/>
                <w:sz w:val="20"/>
                <w:szCs w:val="20"/>
              </w:rPr>
            </w:pPr>
            <w:r w:rsidDel="00000000" w:rsidR="00000000" w:rsidRPr="00000000">
              <w:rPr>
                <w:b w:val="1"/>
                <w:bCs w:val="1"/>
                <w:color w:val="000000"/>
                <w:sz w:val="20"/>
                <w:szCs w:val="20"/>
                <w:rtl w:val="0"/>
              </w:rPr>
              <w:t xml:space="preserve">Weightage</w:t>
            </w:r>
            <w:r w:rsidDel="00000000" w:rsidR="00000000" w:rsidRPr="00000000">
              <w:rPr>
                <w:rtl w:val="0"/>
              </w:rPr>
            </w:r>
          </w:p>
        </w:tc>
        <w:tc>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before="62" w:line="240" w:lineRule="auto"/>
              <w:ind w:left="10" w:firstLine="0"/>
              <w:jc w:val="center"/>
              <w:rPr>
                <w:color w:val="000000"/>
                <w:sz w:val="20"/>
                <w:szCs w:val="20"/>
              </w:rPr>
            </w:pPr>
            <w:r w:rsidDel="00000000" w:rsidR="00000000" w:rsidRPr="00000000">
              <w:rPr>
                <w:b w:val="1"/>
                <w:bCs w:val="1"/>
                <w:color w:val="000000"/>
                <w:sz w:val="20"/>
                <w:szCs w:val="20"/>
                <w:rtl w:val="0"/>
              </w:rPr>
              <w:t xml:space="preserve">20%</w:t>
            </w:r>
            <w:r w:rsidDel="00000000" w:rsidR="00000000" w:rsidRPr="00000000">
              <w:rPr>
                <w:rtl w:val="0"/>
              </w:rPr>
            </w:r>
          </w:p>
        </w:tc>
        <w:tc>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before="62" w:line="240" w:lineRule="auto"/>
              <w:ind w:left="12" w:right="3" w:firstLine="0"/>
              <w:jc w:val="center"/>
              <w:rPr>
                <w:color w:val="000000"/>
                <w:sz w:val="20"/>
                <w:szCs w:val="20"/>
              </w:rPr>
            </w:pPr>
            <w:r w:rsidDel="00000000" w:rsidR="00000000" w:rsidRPr="00000000">
              <w:rPr>
                <w:b w:val="1"/>
                <w:bCs w:val="1"/>
                <w:color w:val="000000"/>
                <w:sz w:val="20"/>
                <w:szCs w:val="20"/>
                <w:rtl w:val="0"/>
              </w:rPr>
              <w:t xml:space="preserve">25%</w:t>
            </w:r>
            <w:r w:rsidDel="00000000" w:rsidR="00000000" w:rsidRPr="00000000">
              <w:rPr>
                <w:rtl w:val="0"/>
              </w:rPr>
            </w:r>
          </w:p>
        </w:tc>
        <w:tc>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before="62" w:line="240" w:lineRule="auto"/>
              <w:ind w:left="10" w:firstLine="0"/>
              <w:jc w:val="center"/>
              <w:rPr>
                <w:color w:val="000000"/>
                <w:sz w:val="20"/>
                <w:szCs w:val="20"/>
              </w:rPr>
            </w:pPr>
            <w:r w:rsidDel="00000000" w:rsidR="00000000" w:rsidRPr="00000000">
              <w:rPr>
                <w:b w:val="1"/>
                <w:bCs w:val="1"/>
                <w:color w:val="000000"/>
                <w:sz w:val="20"/>
                <w:szCs w:val="20"/>
                <w:rtl w:val="0"/>
              </w:rPr>
              <w:t xml:space="preserve">20%</w:t>
            </w:r>
            <w:r w:rsidDel="00000000" w:rsidR="00000000" w:rsidRPr="00000000">
              <w:rPr>
                <w:rtl w:val="0"/>
              </w:rPr>
            </w:r>
          </w:p>
        </w:tc>
        <w:tc>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before="62" w:line="240" w:lineRule="auto"/>
              <w:ind w:left="11" w:firstLine="0"/>
              <w:jc w:val="center"/>
              <w:rPr>
                <w:color w:val="000000"/>
                <w:sz w:val="20"/>
                <w:szCs w:val="20"/>
              </w:rPr>
            </w:pPr>
            <w:r w:rsidDel="00000000" w:rsidR="00000000" w:rsidRPr="00000000">
              <w:rPr>
                <w:b w:val="1"/>
                <w:bCs w:val="1"/>
                <w:color w:val="000000"/>
                <w:sz w:val="20"/>
                <w:szCs w:val="20"/>
                <w:rtl w:val="0"/>
              </w:rPr>
              <w:t xml:space="preserve">20%</w:t>
            </w:r>
            <w:r w:rsidDel="00000000" w:rsidR="00000000" w:rsidRPr="00000000">
              <w:rPr>
                <w:rtl w:val="0"/>
              </w:rPr>
            </w:r>
          </w:p>
        </w:tc>
        <w:tc>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before="62" w:line="240" w:lineRule="auto"/>
              <w:ind w:left="14" w:firstLine="0"/>
              <w:jc w:val="center"/>
              <w:rPr>
                <w:color w:val="000000"/>
                <w:sz w:val="20"/>
                <w:szCs w:val="20"/>
              </w:rPr>
            </w:pPr>
            <w:r w:rsidDel="00000000" w:rsidR="00000000" w:rsidRPr="00000000">
              <w:rPr>
                <w:b w:val="1"/>
                <w:bCs w:val="1"/>
                <w:color w:val="000000"/>
                <w:sz w:val="20"/>
                <w:szCs w:val="20"/>
                <w:rtl w:val="0"/>
              </w:rPr>
              <w:t xml:space="preserve">15%</w:t>
            </w:r>
            <w:r w:rsidDel="00000000" w:rsidR="00000000" w:rsidRPr="00000000">
              <w:rPr>
                <w:rtl w:val="0"/>
              </w:rPr>
            </w:r>
          </w:p>
        </w:tc>
        <w:tc>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ind w:left="210" w:firstLine="0"/>
              <w:rPr>
                <w:color w:val="000000"/>
                <w:sz w:val="20"/>
                <w:szCs w:val="20"/>
              </w:rPr>
            </w:pPr>
            <w:r w:rsidDel="00000000" w:rsidR="00000000" w:rsidRPr="00000000">
              <w:rPr>
                <w:b w:val="1"/>
                <w:bCs w:val="1"/>
                <w:color w:val="000000"/>
                <w:sz w:val="20"/>
                <w:szCs w:val="20"/>
                <w:rtl w:val="0"/>
              </w:rPr>
              <w:t xml:space="preserve">100%</w:t>
            </w: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before="59" w:line="240" w:lineRule="auto"/>
              <w:ind w:left="107" w:firstLine="0"/>
              <w:rPr>
                <w:color w:val="000000"/>
                <w:sz w:val="24"/>
                <w:szCs w:val="24"/>
              </w:rPr>
            </w:pPr>
            <w:r w:rsidDel="00000000" w:rsidR="00000000" w:rsidRPr="00000000">
              <w:rPr>
                <w:color w:val="000000"/>
                <w:sz w:val="24"/>
                <w:szCs w:val="24"/>
                <w:rtl w:val="0"/>
              </w:rPr>
              <w:t xml:space="preserve">Q1</w:t>
            </w:r>
          </w:p>
        </w:tc>
        <w:tc>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before="59" w:line="240" w:lineRule="auto"/>
              <w:ind w:left="107" w:firstLine="0"/>
              <w:rPr>
                <w:color w:val="000000"/>
                <w:sz w:val="24"/>
                <w:szCs w:val="24"/>
              </w:rPr>
            </w:pPr>
            <w:r w:rsidDel="00000000" w:rsidR="00000000" w:rsidRPr="00000000">
              <w:rPr>
                <w:color w:val="000000"/>
                <w:sz w:val="24"/>
                <w:szCs w:val="24"/>
                <w:rtl w:val="0"/>
              </w:rPr>
              <w:t xml:space="preserve">Q2</w:t>
            </w:r>
          </w:p>
        </w:tc>
        <w:tc>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before="59" w:line="240" w:lineRule="auto"/>
              <w:ind w:left="107" w:firstLine="0"/>
              <w:rPr>
                <w:color w:val="000000"/>
                <w:sz w:val="24"/>
                <w:szCs w:val="24"/>
              </w:rPr>
            </w:pPr>
            <w:r w:rsidDel="00000000" w:rsidR="00000000" w:rsidRPr="00000000">
              <w:rPr>
                <w:color w:val="000000"/>
                <w:sz w:val="24"/>
                <w:szCs w:val="24"/>
                <w:rtl w:val="0"/>
              </w:rPr>
              <w:t xml:space="preserve">Q3</w:t>
            </w:r>
          </w:p>
        </w:tc>
        <w:tc>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before="59" w:line="240" w:lineRule="auto"/>
              <w:ind w:left="107" w:firstLine="0"/>
              <w:rPr>
                <w:color w:val="000000"/>
                <w:sz w:val="24"/>
                <w:szCs w:val="24"/>
              </w:rPr>
            </w:pPr>
            <w:r w:rsidDel="00000000" w:rsidR="00000000" w:rsidRPr="00000000">
              <w:rPr>
                <w:color w:val="000000"/>
                <w:sz w:val="24"/>
                <w:szCs w:val="24"/>
                <w:rtl w:val="0"/>
              </w:rPr>
              <w:t xml:space="preserve">Q4</w:t>
            </w:r>
          </w:p>
        </w:tc>
        <w:tc>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before="59" w:line="240" w:lineRule="auto"/>
              <w:ind w:left="107" w:firstLine="0"/>
              <w:rPr>
                <w:color w:val="000000"/>
                <w:sz w:val="24"/>
                <w:szCs w:val="24"/>
              </w:rPr>
            </w:pPr>
            <w:r w:rsidDel="00000000" w:rsidR="00000000" w:rsidRPr="00000000">
              <w:rPr>
                <w:color w:val="000000"/>
                <w:sz w:val="24"/>
                <w:szCs w:val="24"/>
                <w:rtl w:val="0"/>
              </w:rPr>
              <w:t xml:space="preserve">Q5</w:t>
            </w:r>
          </w:p>
        </w:tc>
        <w:tc>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c>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tc>
      </w:tr>
    </w:tbl>
    <w:p w:rsidR="00000000" w:rsidDel="00000000" w:rsidP="00000000" w:rsidRDefault="00000000" w:rsidRPr="00000000" w14:paraId="0000004D">
      <w:pPr>
        <w:spacing w:after="40" w:lineRule="auto"/>
        <w:rPr>
          <w:sz w:val="24"/>
          <w:szCs w:val="24"/>
        </w:rPr>
      </w:pPr>
      <w:r w:rsidDel="00000000" w:rsidR="00000000" w:rsidRPr="00000000">
        <w:rPr>
          <w:rtl w:val="0"/>
        </w:rPr>
      </w:r>
    </w:p>
    <w:p w:rsidR="00000000" w:rsidDel="00000000" w:rsidP="00000000" w:rsidRDefault="00000000" w:rsidRPr="00000000" w14:paraId="0000004E">
      <w:pPr>
        <w:spacing w:after="40" w:lineRule="auto"/>
        <w:rPr>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6121"/>
        </w:tabs>
        <w:spacing w:after="120" w:lineRule="auto"/>
        <w:ind w:left="360" w:firstLine="0"/>
        <w:rPr>
          <w:color w:val="000000"/>
        </w:rPr>
      </w:pPr>
      <w:r w:rsidDel="00000000" w:rsidR="00000000" w:rsidRPr="00000000">
        <w:rPr>
          <w:color w:val="000000"/>
          <w:rtl w:val="0"/>
        </w:rPr>
        <w:t xml:space="preserve">Signature of the Faculty</w:t>
        <w:tab/>
        <w:t xml:space="preserve">Total Marks Awarded:</w:t>
      </w:r>
    </w:p>
    <w:p w:rsidR="00000000" w:rsidDel="00000000" w:rsidP="00000000" w:rsidRDefault="00000000" w:rsidRPr="00000000" w14:paraId="00000050">
      <w:pPr>
        <w:spacing w:after="40" w:lineRule="auto"/>
        <w:rPr>
          <w:sz w:val="24"/>
          <w:szCs w:val="24"/>
        </w:rPr>
      </w:pPr>
      <w:r w:rsidDel="00000000" w:rsidR="00000000" w:rsidRPr="00000000">
        <w:rPr>
          <w:rtl w:val="0"/>
        </w:rPr>
      </w:r>
    </w:p>
    <w:p w:rsidR="00000000" w:rsidDel="00000000" w:rsidP="00000000" w:rsidRDefault="00000000" w:rsidRPr="00000000" w14:paraId="00000051">
      <w:pPr>
        <w:spacing w:after="40" w:line="240" w:lineRule="auto"/>
        <w:rPr/>
      </w:pPr>
      <w:r w:rsidDel="00000000" w:rsidR="00000000" w:rsidRPr="00000000">
        <w:rPr>
          <w:rtl w:val="0"/>
        </w:rPr>
      </w:r>
    </w:p>
    <w:p w:rsidR="00000000" w:rsidDel="00000000" w:rsidP="00000000" w:rsidRDefault="00000000" w:rsidRPr="00000000" w14:paraId="00000052">
      <w:pPr>
        <w:spacing w:after="40" w:lineRule="auto"/>
        <w:rPr>
          <w:b w:val="1"/>
          <w:bCs w:val="1"/>
          <w:sz w:val="24"/>
          <w:szCs w:val="24"/>
        </w:rPr>
      </w:pPr>
      <w:r w:rsidDel="00000000" w:rsidR="00000000" w:rsidRPr="00000000">
        <w:rPr>
          <w:rtl w:val="0"/>
        </w:rPr>
      </w:r>
    </w:p>
    <w:p w:rsidR="00000000" w:rsidDel="00000000" w:rsidP="00000000" w:rsidRDefault="00000000" w:rsidRPr="00000000" w14:paraId="00000053">
      <w:pPr>
        <w:spacing w:after="40" w:lineRule="auto"/>
        <w:rPr>
          <w:b w:val="1"/>
          <w:bCs w:val="1"/>
          <w:sz w:val="24"/>
          <w:szCs w:val="24"/>
        </w:rPr>
      </w:pPr>
      <w:r w:rsidDel="00000000" w:rsidR="00000000" w:rsidRPr="00000000">
        <w:rPr>
          <w:rtl w:val="0"/>
        </w:rPr>
      </w:r>
    </w:p>
    <w:p w:rsidR="00000000" w:rsidDel="00000000" w:rsidP="00000000" w:rsidRDefault="00000000" w:rsidRPr="00000000" w14:paraId="00000054">
      <w:pPr>
        <w:spacing w:after="40" w:lineRule="auto"/>
        <w:rPr>
          <w:sz w:val="24"/>
          <w:szCs w:val="24"/>
        </w:rPr>
      </w:pPr>
      <w:r w:rsidDel="00000000" w:rsidR="00000000" w:rsidRPr="00000000">
        <w:rPr>
          <w:b w:val="1"/>
          <w:bCs w:val="1"/>
          <w:sz w:val="24"/>
          <w:szCs w:val="24"/>
          <w:rtl w:val="0"/>
        </w:rPr>
        <w:t xml:space="preserve">Analytical Problem Solving</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A cloud datacenter host has 64 CPU cores and supports CPU overcommitment at a ratio of 2.5:1. Each virtual machine (VM) requires 4 vCPUs.Calculate the maximum number of VMs that can be deployed on this host. If actual CPU utilization reaches 85%, analyze whether further VM allocation is advisable.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A virtualized storage system provides 20 TB of physical storage with thin provisioning at a ratio of 3:1. Each VM is allocated 500 GB of virtual disk space. Calculate the maximum number of VMs that can be provisioned.</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Evaluate the security implications of multi-tenancy in cloud datacenters. Analyze how virtualization can both enable and weaken isolation, and recommend mechanisms to strengthen tenant separation.</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Analyze the role of Service-Oriented Architecture (SOA) in enabling interoperability across heterogeneous cloud platforms. Identify key challenges such as service latency, security, and version control, and propose solutions.</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A cloud system implementing presence services faces scalability issues during peak usage. Analyze the architectural bottlenecks and recommend design improvements to ensure real-time updates and efficient resource utilization.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360" w:hanging="360"/>
        <w:jc w:val="both"/>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tl w:val="0"/>
        </w:rPr>
      </w:r>
    </w:p>
    <w:p w:rsidR="00000000" w:rsidDel="00000000" w:rsidP="00000000" w:rsidRDefault="00000000" w:rsidRPr="00000000" w14:paraId="00000060">
      <w:pPr>
        <w:spacing w:after="40" w:line="240" w:lineRule="auto"/>
        <w:rPr/>
      </w:pPr>
      <w:r w:rsidDel="00000000" w:rsidR="00000000" w:rsidRPr="00000000">
        <w:rPr>
          <w:rtl w:val="0"/>
        </w:rPr>
      </w:r>
    </w:p>
    <w:p w:rsidR="00000000" w:rsidDel="00000000" w:rsidP="00000000" w:rsidRDefault="00000000" w:rsidRPr="00000000" w14:paraId="00000061">
      <w:pPr>
        <w:spacing w:after="40" w:line="24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spacing w:after="120" w:lineRule="auto"/>
        <w:jc w:val="center"/>
        <w:rPr>
          <w:rFonts w:ascii="Times New Roman" w:cs="Times New Roman" w:eastAsia="Times New Roman" w:hAnsi="Times New Roman"/>
          <w:color w:val="000000"/>
          <w:sz w:val="46"/>
          <w:szCs w:val="46"/>
        </w:rPr>
      </w:pPr>
      <w:r w:rsidDel="00000000" w:rsidR="00000000" w:rsidRPr="00000000">
        <w:rPr>
          <w:rFonts w:ascii="Times New Roman" w:cs="Times New Roman" w:eastAsia="Times New Roman" w:hAnsi="Times New Roman"/>
          <w:color w:val="000000"/>
          <w:sz w:val="46"/>
          <w:szCs w:val="46"/>
          <w:rtl w:val="0"/>
        </w:rPr>
        <w:t xml:space="preserve">CLOUD COMPUTING AND BIG DATA ANALYTICS</w:t>
      </w:r>
    </w:p>
    <w:p w:rsidR="00000000" w:rsidDel="00000000" w:rsidP="00000000" w:rsidRDefault="00000000" w:rsidRPr="00000000" w14:paraId="00000070">
      <w:pPr>
        <w:pStyle w:val="Heading1"/>
        <w:keepNext w:val="0"/>
        <w:keepLines w:val="0"/>
        <w:spacing w:after="120" w:lineRule="auto"/>
        <w:jc w:val="center"/>
        <w:rPr>
          <w:rFonts w:ascii="Times New Roman" w:cs="Times New Roman" w:eastAsia="Times New Roman" w:hAnsi="Times New Roman"/>
          <w:color w:val="000000"/>
          <w:sz w:val="46"/>
          <w:szCs w:val="46"/>
        </w:rPr>
      </w:pPr>
      <w:bookmarkStart w:colFirst="0" w:colLast="0" w:name="_6b3qtmu0cwsj" w:id="0"/>
      <w:bookmarkEnd w:id="0"/>
      <w:r w:rsidDel="00000000" w:rsidR="00000000" w:rsidRPr="00000000">
        <w:rPr>
          <w:rFonts w:ascii="Times New Roman" w:cs="Times New Roman" w:eastAsia="Times New Roman" w:hAnsi="Times New Roman"/>
          <w:color w:val="000000"/>
          <w:sz w:val="46"/>
          <w:szCs w:val="46"/>
          <w:rtl w:val="0"/>
        </w:rPr>
        <w:t xml:space="preserve">Assessment Tool 1 – Analytical Problem Solving</w:t>
      </w:r>
    </w:p>
    <w:p w:rsidR="00000000" w:rsidDel="00000000" w:rsidP="00000000" w:rsidRDefault="00000000" w:rsidRPr="00000000" w14:paraId="00000071">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9eeo63wyfqk" w:id="1"/>
      <w:bookmarkEnd w:id="1"/>
      <w:r w:rsidDel="00000000" w:rsidR="00000000" w:rsidRPr="00000000">
        <w:rPr>
          <w:rFonts w:ascii="Times New Roman" w:cs="Times New Roman" w:eastAsia="Times New Roman" w:hAnsi="Times New Roman"/>
          <w:color w:val="000000"/>
          <w:sz w:val="28"/>
          <w:szCs w:val="28"/>
          <w:rtl w:val="0"/>
        </w:rPr>
        <w:t xml:space="preserve">Q1. CPU Overcommitment Analysis</w:t>
      </w:r>
    </w:p>
    <w:p w:rsidR="00000000" w:rsidDel="00000000" w:rsidP="00000000" w:rsidRDefault="00000000" w:rsidRPr="00000000" w14:paraId="00000072">
      <w:pPr>
        <w:rPr/>
      </w:pPr>
      <w:r w:rsidDel="00000000" w:rsidR="00000000" w:rsidRPr="00000000">
        <w:rPr>
          <w:rtl w:val="0"/>
        </w:rPr>
        <w:t xml:space="preserve">Given:</w:t>
        <w:br w:type="textWrapping"/>
        <w:t xml:space="preserve"> • Physical CPU cores = 64</w:t>
        <w:br w:type="textWrapping"/>
        <w:t xml:space="preserve"> • CPU overcommitment ratio = 2.5 : 1</w:t>
        <w:br w:type="textWrapping"/>
        <w:t xml:space="preserve"> • Each VM requires = 4 vCPUs</w:t>
      </w:r>
    </w:p>
    <w:p w:rsidR="00000000" w:rsidDel="00000000" w:rsidP="00000000" w:rsidRDefault="00000000" w:rsidRPr="00000000" w14:paraId="00000073">
      <w:pPr>
        <w:rPr/>
      </w:pPr>
      <w:r w:rsidDel="00000000" w:rsidR="00000000" w:rsidRPr="00000000">
        <w:rPr>
          <w:rtl w:val="0"/>
        </w:rPr>
        <w:t xml:space="preserve">Calculation:</w:t>
        <w:br w:type="textWrapping"/>
        <w:t xml:space="preserve"> Total available vCPUs = 64 × 2.5 = 160 vCPUs</w:t>
        <w:br w:type="textWrapping"/>
        <w:t xml:space="preserve"> Maximum VMs = 160 ÷ 4 = 40 VMs</w:t>
      </w:r>
    </w:p>
    <w:p w:rsidR="00000000" w:rsidDel="00000000" w:rsidP="00000000" w:rsidRDefault="00000000" w:rsidRPr="00000000" w14:paraId="00000074">
      <w:pPr>
        <w:rPr/>
      </w:pPr>
      <w:r w:rsidDel="00000000" w:rsidR="00000000" w:rsidRPr="00000000">
        <w:rPr>
          <w:rtl w:val="0"/>
        </w:rPr>
        <w:t xml:space="preserve">Analysis:</w:t>
        <w:br w:type="textWrapping"/>
        <w:t xml:space="preserve"> Current CPU utilization is 85%, leaving only 15% available capacity. Although CPU overcommitment allows additional virtual CPUs, allocating more VMs may cause CPU contention, scheduling delays, reduced VM performance, and SLA violations during workload spikes.</w:t>
      </w:r>
    </w:p>
    <w:p w:rsidR="00000000" w:rsidDel="00000000" w:rsidP="00000000" w:rsidRDefault="00000000" w:rsidRPr="00000000" w14:paraId="00000075">
      <w:pPr>
        <w:rPr/>
      </w:pPr>
      <w:r w:rsidDel="00000000" w:rsidR="00000000" w:rsidRPr="00000000">
        <w:rPr>
          <w:rtl w:val="0"/>
        </w:rPr>
        <w:t xml:space="preserve">Conclusion:</w:t>
        <w:br w:type="textWrapping"/>
        <w:t xml:space="preserve"> Maximum deployable VMs = 40. Further VM allocation is not advisable because CPU utilization is already high. Additional workloads should be placed on another host or host capacity should be increased.</w:t>
      </w:r>
    </w:p>
    <w:p w:rsidR="00000000" w:rsidDel="00000000" w:rsidP="00000000" w:rsidRDefault="00000000" w:rsidRPr="00000000" w14:paraId="00000076">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fp7a618t4q2w" w:id="2"/>
      <w:bookmarkEnd w:id="2"/>
      <w:r w:rsidDel="00000000" w:rsidR="00000000" w:rsidRPr="00000000">
        <w:rPr>
          <w:rFonts w:ascii="Times New Roman" w:cs="Times New Roman" w:eastAsia="Times New Roman" w:hAnsi="Times New Roman"/>
          <w:color w:val="000000"/>
          <w:sz w:val="28"/>
          <w:szCs w:val="28"/>
          <w:rtl w:val="0"/>
        </w:rPr>
        <w:t xml:space="preserve">Q2. Thin Provisioning Calculation</w:t>
      </w:r>
    </w:p>
    <w:p w:rsidR="00000000" w:rsidDel="00000000" w:rsidP="00000000" w:rsidRDefault="00000000" w:rsidRPr="00000000" w14:paraId="00000077">
      <w:pPr>
        <w:rPr/>
      </w:pPr>
      <w:r w:rsidDel="00000000" w:rsidR="00000000" w:rsidRPr="00000000">
        <w:rPr>
          <w:rtl w:val="0"/>
        </w:rPr>
        <w:t xml:space="preserve">Given:</w:t>
        <w:br w:type="textWrapping"/>
        <w:t xml:space="preserve"> • Physical storage = 20 TB</w:t>
        <w:br w:type="textWrapping"/>
        <w:t xml:space="preserve"> • Thin provisioning ratio = 3 : 1</w:t>
        <w:br w:type="textWrapping"/>
        <w:t xml:space="preserve"> • Virtual disk per VM = 500 GB</w:t>
      </w:r>
    </w:p>
    <w:p w:rsidR="00000000" w:rsidDel="00000000" w:rsidP="00000000" w:rsidRDefault="00000000" w:rsidRPr="00000000" w14:paraId="00000078">
      <w:pPr>
        <w:rPr/>
      </w:pPr>
      <w:r w:rsidDel="00000000" w:rsidR="00000000" w:rsidRPr="00000000">
        <w:rPr>
          <w:rtl w:val="0"/>
        </w:rPr>
        <w:t xml:space="preserve">Calculation:</w:t>
        <w:br w:type="textWrapping"/>
        <w:t xml:space="preserve"> Virtual storage = 20 × 3 = 60 TB = 60,000 GB</w:t>
        <w:br w:type="textWrapping"/>
        <w:t xml:space="preserve"> Maximum VMs = 60,000 ÷ 500 = 120 VMs</w:t>
      </w:r>
    </w:p>
    <w:p w:rsidR="00000000" w:rsidDel="00000000" w:rsidP="00000000" w:rsidRDefault="00000000" w:rsidRPr="00000000" w14:paraId="00000079">
      <w:pPr>
        <w:rPr/>
      </w:pPr>
      <w:r w:rsidDel="00000000" w:rsidR="00000000" w:rsidRPr="00000000">
        <w:rPr>
          <w:rtl w:val="0"/>
        </w:rPr>
        <w:t xml:space="preserve">Analysis:</w:t>
        <w:br w:type="textWrapping"/>
        <w:t xml:space="preserve"> Thin provisioning enables more virtual storage than physically available because all VMs do not consume their allocated storage immediately. However, storage usage must be monitored to avoid storage exhaustion and VM failures.</w:t>
      </w:r>
    </w:p>
    <w:p w:rsidR="00000000" w:rsidDel="00000000" w:rsidP="00000000" w:rsidRDefault="00000000" w:rsidRPr="00000000" w14:paraId="0000007A">
      <w:pPr>
        <w:rPr/>
      </w:pPr>
      <w:r w:rsidDel="00000000" w:rsidR="00000000" w:rsidRPr="00000000">
        <w:rPr>
          <w:rtl w:val="0"/>
        </w:rPr>
        <w:t xml:space="preserve">Conclusion:</w:t>
        <w:br w:type="textWrapping"/>
        <w:t xml:space="preserve"> Maximum VMs that can be provisioned = 120.</w:t>
      </w:r>
    </w:p>
    <w:p w:rsidR="00000000" w:rsidDel="00000000" w:rsidP="00000000" w:rsidRDefault="00000000" w:rsidRPr="00000000" w14:paraId="0000007B">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329ctbgelvxn" w:id="3"/>
      <w:bookmarkEnd w:id="3"/>
      <w:r w:rsidDel="00000000" w:rsidR="00000000" w:rsidRPr="00000000">
        <w:rPr>
          <w:rtl w:val="0"/>
        </w:rPr>
      </w:r>
    </w:p>
    <w:p w:rsidR="00000000" w:rsidDel="00000000" w:rsidP="00000000" w:rsidRDefault="00000000" w:rsidRPr="00000000" w14:paraId="0000007C">
      <w:pPr>
        <w:pStyle w:val="Heading2"/>
        <w:keepNext w:val="0"/>
        <w:keepLines w:val="0"/>
        <w:spacing w:after="80" w:befor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Q3. Security Implications of Multi-Tenancy</w:t>
      </w:r>
    </w:p>
    <w:p w:rsidR="00000000" w:rsidDel="00000000" w:rsidP="00000000" w:rsidRDefault="00000000" w:rsidRPr="00000000" w14:paraId="0000007D">
      <w:pPr>
        <w:rPr/>
      </w:pPr>
      <w:r w:rsidDel="00000000" w:rsidR="00000000" w:rsidRPr="00000000">
        <w:rPr>
          <w:rtl w:val="0"/>
        </w:rPr>
        <w:t xml:space="preserve">Virtualization enables multiple tenants to securely share the same physical infrastructure through logical isolation.</w:t>
      </w:r>
    </w:p>
    <w:p w:rsidR="00000000" w:rsidDel="00000000" w:rsidP="00000000" w:rsidRDefault="00000000" w:rsidRPr="00000000" w14:paraId="0000007E">
      <w:pPr>
        <w:rPr/>
      </w:pPr>
      <w:r w:rsidDel="00000000" w:rsidR="00000000" w:rsidRPr="00000000">
        <w:rPr>
          <w:rtl w:val="0"/>
        </w:rPr>
        <w:t xml:space="preserve">How virtualization enables isolation:</w:t>
        <w:br w:type="textWrapping"/>
        <w:t xml:space="preserve"> • Separate virtual machines</w:t>
        <w:br w:type="textWrapping"/>
        <w:t xml:space="preserve"> • Independent operating systems</w:t>
        <w:br w:type="textWrapping"/>
        <w:t xml:space="preserve"> • Dedicated virtual networking</w:t>
        <w:br w:type="textWrapping"/>
        <w:t xml:space="preserve"> • Controlled resource allocation</w:t>
      </w:r>
    </w:p>
    <w:p w:rsidR="00000000" w:rsidDel="00000000" w:rsidP="00000000" w:rsidRDefault="00000000" w:rsidRPr="00000000" w14:paraId="0000007F">
      <w:pPr>
        <w:rPr/>
      </w:pPr>
      <w:r w:rsidDel="00000000" w:rsidR="00000000" w:rsidRPr="00000000">
        <w:rPr>
          <w:rtl w:val="0"/>
        </w:rPr>
        <w:t xml:space="preserve">Security risks:</w:t>
        <w:br w:type="textWrapping"/>
        <w:t xml:space="preserve"> • VM escape attacks</w:t>
        <w:br w:type="textWrapping"/>
        <w:t xml:space="preserve"> • Hypervisor vulnerabilities</w:t>
        <w:br w:type="textWrapping"/>
        <w:t xml:space="preserve"> • Side-channel attacks</w:t>
        <w:br w:type="textWrapping"/>
        <w:t xml:space="preserve"> • Shared resource leakage</w:t>
        <w:br w:type="textWrapping"/>
        <w:t xml:space="preserve"> • Cross-tenant data access</w:t>
        <w:br w:type="textWrapping"/>
        <w:t xml:space="preserve"> • Resource exhaustion</w:t>
      </w:r>
    </w:p>
    <w:p w:rsidR="00000000" w:rsidDel="00000000" w:rsidP="00000000" w:rsidRDefault="00000000" w:rsidRPr="00000000" w14:paraId="00000080">
      <w:pPr>
        <w:rPr/>
      </w:pPr>
      <w:r w:rsidDel="00000000" w:rsidR="00000000" w:rsidRPr="00000000">
        <w:rPr>
          <w:rtl w:val="0"/>
        </w:rPr>
        <w:t xml:space="preserve">Mechanisms to strengthen tenant separation:</w:t>
        <w:br w:type="textWrapping"/>
        <w:t xml:space="preserve"> • Hypervisor hardening and regular patching</w:t>
        <w:br w:type="textWrapping"/>
        <w:t xml:space="preserve"> • Strong authentication and access control</w:t>
        <w:br w:type="textWrapping"/>
        <w:t xml:space="preserve"> • Network segmentation (VLAN/SDN)</w:t>
        <w:br w:type="textWrapping"/>
        <w:t xml:space="preserve"> • Data encryption</w:t>
        <w:br w:type="textWrapping"/>
        <w:t xml:space="preserve"> • Secure VM migration</w:t>
        <w:br w:type="textWrapping"/>
        <w:t xml:space="preserve"> • Continuous monitoring and intrusion detection</w:t>
        <w:br w:type="textWrapping"/>
        <w:t xml:space="preserve"> • Resource quotas</w:t>
      </w:r>
    </w:p>
    <w:p w:rsidR="00000000" w:rsidDel="00000000" w:rsidP="00000000" w:rsidRDefault="00000000" w:rsidRPr="00000000" w14:paraId="00000081">
      <w:pPr>
        <w:rPr/>
      </w:pPr>
      <w:r w:rsidDel="00000000" w:rsidR="00000000" w:rsidRPr="00000000">
        <w:rPr>
          <w:rtl w:val="0"/>
        </w:rPr>
        <w:t xml:space="preserve">Conclusion:</w:t>
        <w:br w:type="textWrapping"/>
        <w:t xml:space="preserve"> Strong isolation mechanisms combined with secure virtualization significantly improve tenant security.</w:t>
      </w:r>
    </w:p>
    <w:p w:rsidR="00000000" w:rsidDel="00000000" w:rsidP="00000000" w:rsidRDefault="00000000" w:rsidRPr="00000000" w14:paraId="00000082">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fouk5pusosjf" w:id="4"/>
      <w:bookmarkEnd w:id="4"/>
      <w:r w:rsidDel="00000000" w:rsidR="00000000" w:rsidRPr="00000000">
        <w:rPr>
          <w:rFonts w:ascii="Times New Roman" w:cs="Times New Roman" w:eastAsia="Times New Roman" w:hAnsi="Times New Roman"/>
          <w:color w:val="000000"/>
          <w:sz w:val="28"/>
          <w:szCs w:val="28"/>
          <w:rtl w:val="0"/>
        </w:rPr>
        <w:t xml:space="preserve">Q4. Role of Service-Oriented Architecture (SOA)</w:t>
      </w:r>
    </w:p>
    <w:p w:rsidR="00000000" w:rsidDel="00000000" w:rsidP="00000000" w:rsidRDefault="00000000" w:rsidRPr="00000000" w14:paraId="00000083">
      <w:pPr>
        <w:rPr/>
      </w:pPr>
      <w:r w:rsidDel="00000000" w:rsidR="00000000" w:rsidRPr="00000000">
        <w:rPr>
          <w:rtl w:val="0"/>
        </w:rPr>
        <w:t xml:space="preserve">SOA enables heterogeneous cloud platforms to communicate using standardized services and interfaces.</w:t>
      </w:r>
    </w:p>
    <w:p w:rsidR="00000000" w:rsidDel="00000000" w:rsidP="00000000" w:rsidRDefault="00000000" w:rsidRPr="00000000" w14:paraId="00000084">
      <w:pPr>
        <w:rPr/>
      </w:pPr>
      <w:r w:rsidDel="00000000" w:rsidR="00000000" w:rsidRPr="00000000">
        <w:rPr>
          <w:rtl w:val="0"/>
        </w:rPr>
        <w:t xml:space="preserve">Benefits:</w:t>
        <w:br w:type="textWrapping"/>
        <w:t xml:space="preserve"> • Platform independence</w:t>
        <w:br w:type="textWrapping"/>
        <w:t xml:space="preserve"> • Service reuse</w:t>
        <w:br w:type="textWrapping"/>
        <w:t xml:space="preserve"> • Loose coupling</w:t>
        <w:br w:type="textWrapping"/>
        <w:t xml:space="preserve"> • Scalability</w:t>
        <w:br w:type="textWrapping"/>
        <w:t xml:space="preserve"> • Flexibility</w:t>
      </w:r>
    </w:p>
    <w:p w:rsidR="00000000" w:rsidDel="00000000" w:rsidP="00000000" w:rsidRDefault="00000000" w:rsidRPr="00000000" w14:paraId="00000085">
      <w:pPr>
        <w:rPr/>
      </w:pPr>
      <w:r w:rsidDel="00000000" w:rsidR="00000000" w:rsidRPr="00000000">
        <w:rPr>
          <w:rtl w:val="0"/>
        </w:rPr>
        <w:t xml:space="preserve">Challenges and solutions:</w:t>
        <w:br w:type="textWrapping"/>
        <w:t xml:space="preserve"> 1. Service latency – Use caching, load balancing, and edge computing.</w:t>
        <w:br w:type="textWrapping"/>
        <w:t xml:space="preserve"> 2. Security – Implement TLS, OAuth, API gateways, authentication, and authorization.</w:t>
        <w:br w:type="textWrapping"/>
        <w:t xml:space="preserve"> 3. Version control – Use API versioning, backward compatibility, and proper documentation.</w:t>
      </w:r>
    </w:p>
    <w:p w:rsidR="00000000" w:rsidDel="00000000" w:rsidP="00000000" w:rsidRDefault="00000000" w:rsidRPr="00000000" w14:paraId="00000086">
      <w:pPr>
        <w:rPr/>
      </w:pPr>
      <w:r w:rsidDel="00000000" w:rsidR="00000000" w:rsidRPr="00000000">
        <w:rPr>
          <w:rtl w:val="0"/>
        </w:rPr>
        <w:t xml:space="preserve">Conclusion:</w:t>
        <w:br w:type="textWrapping"/>
        <w:t xml:space="preserve"> SOA enables interoperability while effective management of latency, security, and version control ensures reliable cloud services.</w:t>
      </w:r>
    </w:p>
    <w:p w:rsidR="00000000" w:rsidDel="00000000" w:rsidP="00000000" w:rsidRDefault="00000000" w:rsidRPr="00000000" w14:paraId="00000087">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a6pj9r28thie" w:id="5"/>
      <w:bookmarkEnd w:id="5"/>
      <w:r w:rsidDel="00000000" w:rsidR="00000000" w:rsidRPr="00000000">
        <w:rPr>
          <w:rtl w:val="0"/>
        </w:rPr>
      </w:r>
    </w:p>
    <w:p w:rsidR="00000000" w:rsidDel="00000000" w:rsidP="00000000" w:rsidRDefault="00000000" w:rsidRPr="00000000" w14:paraId="00000088">
      <w:pPr>
        <w:pStyle w:val="Heading2"/>
        <w:keepNext w:val="0"/>
        <w:keepLines w:val="0"/>
        <w:spacing w:after="80" w:befor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Q5. Presence Services Scalability</w:t>
      </w:r>
    </w:p>
    <w:p w:rsidR="00000000" w:rsidDel="00000000" w:rsidP="00000000" w:rsidRDefault="00000000" w:rsidRPr="00000000" w14:paraId="00000089">
      <w:pPr>
        <w:rPr/>
      </w:pPr>
      <w:r w:rsidDel="00000000" w:rsidR="00000000" w:rsidRPr="00000000">
        <w:rPr>
          <w:rtl w:val="0"/>
        </w:rPr>
        <w:t xml:space="preserve">Presence services provide real-time user status updates but face scalability challenges during peak usage.</w:t>
      </w:r>
    </w:p>
    <w:p w:rsidR="00000000" w:rsidDel="00000000" w:rsidP="00000000" w:rsidRDefault="00000000" w:rsidRPr="00000000" w14:paraId="0000008A">
      <w:pPr>
        <w:rPr/>
      </w:pPr>
      <w:r w:rsidDel="00000000" w:rsidR="00000000" w:rsidRPr="00000000">
        <w:rPr>
          <w:rtl w:val="0"/>
        </w:rPr>
        <w:t xml:space="preserve">Architectural bottlenecks:</w:t>
        <w:br w:type="textWrapping"/>
        <w:t xml:space="preserve"> • Centralized server</w:t>
        <w:br w:type="textWrapping"/>
        <w:t xml:space="preserve"> • Database overload</w:t>
        <w:br w:type="textWrapping"/>
        <w:t xml:space="preserve"> • Network congestion</w:t>
        <w:br w:type="textWrapping"/>
        <w:t xml:space="preserve"> • High message processing load</w:t>
        <w:br w:type="textWrapping"/>
        <w:t xml:space="preserve"> • Resource contention</w:t>
      </w:r>
    </w:p>
    <w:p w:rsidR="00000000" w:rsidDel="00000000" w:rsidP="00000000" w:rsidRDefault="00000000" w:rsidRPr="00000000" w14:paraId="0000008B">
      <w:pPr>
        <w:rPr/>
      </w:pPr>
      <w:r w:rsidDel="00000000" w:rsidR="00000000" w:rsidRPr="00000000">
        <w:rPr>
          <w:rtl w:val="0"/>
        </w:rPr>
        <w:t xml:space="preserve">Recommended improvements:</w:t>
        <w:br w:type="textWrapping"/>
        <w:t xml:space="preserve"> • Horizontal scaling</w:t>
        <w:br w:type="textWrapping"/>
        <w:t xml:space="preserve"> • Load balancing</w:t>
        <w:br w:type="textWrapping"/>
        <w:t xml:space="preserve"> • Distributed databases</w:t>
        <w:br w:type="textWrapping"/>
        <w:t xml:space="preserve"> • Publish–subscribe messaging</w:t>
        <w:br w:type="textWrapping"/>
        <w:t xml:space="preserve"> • Caching</w:t>
        <w:br w:type="textWrapping"/>
        <w:t xml:space="preserve"> • Auto scaling</w:t>
        <w:br w:type="textWrapping"/>
        <w:t xml:space="preserve"> • Microservices</w:t>
      </w:r>
    </w:p>
    <w:p w:rsidR="00000000" w:rsidDel="00000000" w:rsidP="00000000" w:rsidRDefault="00000000" w:rsidRPr="00000000" w14:paraId="0000008C">
      <w:pPr>
        <w:rPr/>
      </w:pPr>
      <w:r w:rsidDel="00000000" w:rsidR="00000000" w:rsidRPr="00000000">
        <w:rPr>
          <w:rtl w:val="0"/>
        </w:rPr>
        <w:t xml:space="preserve">Conclusion:</w:t>
        <w:br w:type="textWrapping"/>
        <w:t xml:space="preserve"> A distributed, event-driven architecture ensures real-time updates and efficient resource utilization during peak traffic.</w:t>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