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Coastal Management Plan 2026: Public Consultation Draft</w:t>
      </w:r>
    </w:p>
    <w:p>
      <w:pPr>
        <w:pStyle w:val="Heading2"/>
      </w:pPr>
      <w:r>
        <w:t xml:space="preserve">1. Public Safety Measures</w:t>
      </w:r>
    </w:p>
    <w:p>
      <w:r>
        <w:t xml:space="preserve">The plan proposes expanding shark nets and drumlines across all patrolled beaches. Nets would be installed 500 metres offshore and maintained year-round. The primary objective is protection of beachgoers and support for the local tourism economy, which depends on public confidence in beach safety.</w:t>
      </w:r>
    </w:p>
    <w:p>
      <w:pPr>
        <w:pStyle w:val="Heading2"/>
      </w:pPr>
      <w:r>
        <w:t xml:space="preserve">2. Commercial Fishing Access</w:t>
      </w:r>
    </w:p>
    <w:p>
      <w:r>
        <w:t xml:space="preserve">Commercial trawling would be permitted to continue within three nautical miles of the coast, including in waters adjacent to known marine mammal breeding areas. No seasonal closures are proposed. Bycatch reporting would remain voluntary rather than mandatory.</w:t>
      </w:r>
    </w:p>
    <w:p>
      <w:pPr>
        <w:pStyle w:val="Heading2"/>
      </w:pPr>
      <w:r>
        <w:t xml:space="preserve">3. Marine Protected Zones</w:t>
      </w:r>
    </w:p>
    <w:p>
      <w:r>
        <w:t xml:space="preserve">Two existing protected zones would be reduced in size to allow for a new boat ramp and jetty development. The plan argues that recreational access delivers greater economic value than the protected habitat it replaces.</w:t>
      </w:r>
    </w:p>
    <w:p>
      <w:pPr>
        <w:pStyle w:val="Heading2"/>
      </w:pPr>
      <w:r>
        <w:t xml:space="preserve">4. Monitoring and Research</w:t>
      </w:r>
    </w:p>
    <w:p>
      <w:r>
        <w:t xml:space="preserve">Funding for population monitoring of threatened marine species would be reduced by forty percent, with those funds redirected to beach patrols. The plan assumes existing population data is sufficient for the next decade.</w:t>
      </w:r>
    </w:p>
    <w:p>
      <w:pPr>
        <w:pStyle w:val="Heading2"/>
      </w:pPr>
      <w:r>
        <w:t xml:space="preserve">5. Community Education</w:t>
      </w:r>
    </w:p>
    <w:p>
      <w:r>
        <w:t xml:space="preserve">A public education campaign would promote coexistence with marine wildlife and safe behaviour around breeding colonies during sensitive seasons.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2026-07-20T12:38:32.017Z</dcterms:created>
  <dcterms:modified xsi:type="dcterms:W3CDTF">2026-07-20T12:38:32.017Z</dcterms:modified>
</cp:coreProperties>
</file>

<file path=docProps/custom.xml><?xml version="1.0" encoding="utf-8"?>
<Properties xmlns="http://schemas.openxmlformats.org/officeDocument/2006/custom-properties" xmlns:vt="http://schemas.openxmlformats.org/officeDocument/2006/docPropsVTypes"/>
</file>